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HelveticaNeue-bold.ttf" ContentType="application/x-font-ttf"/>
  <Override PartName="/word/fonts/HelveticaNeue-boldItalic.ttf" ContentType="application/x-font-ttf"/>
  <Override PartName="/word/fonts/HelveticaNeue-italic.ttf" ContentType="application/x-font-ttf"/>
  <Override PartName="/word/fonts/HelveticaNeue-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14:paraId="00000003">
      <w:pPr>
        <w:pStyle w:val="Title"/>
        <w:keepNext w:val="1"/>
        <w:spacing w:after="100" w:line="278.00000000000006" w:lineRule="auto"/>
        <w:rPr/>
      </w:pPr>
      <w:r>
        <w:rPr>
          <w:rFonts w:ascii="Helvetica Neue" w:hAnsi="Helvetica Neue"/>
        </w:rPr>
        <w:t>PRMS Project Part B Implementation Report</w:t>
      </w:r>
    </w:p>
    <w:tbl>
      <w:tblPr>
        <w:tblStyle w:val="Table1"/>
        <w:tblW w:w="9360.0" w:type="dxa"/>
        <w:jc w:val="left"/>
        <w:tblLayout w:type="fixed"/>
        <w:tblLook w:val="0600"/>
      </w:tblPr>
      <w:tblGrid>
        <w:gridCol w:w="4305"/>
        <w:gridCol w:w="901.6666666666654"/>
        <w:gridCol w:w="4153.333333333335"/>
        <w:tblGridChange w:id="0">
          <w:tblGrid>
            <w:gridCol w:w="4305"/>
            <w:gridCol w:w="901.6666666666654"/>
            <w:gridCol w:w="4153.333333333335"/>
          </w:tblGrid>
        </w:tblGridChange>
      </w:tblGrid>
      <w:tr>
        <w:trPr>
          <w:cantSplit w:val="1"/>
          <w:tblHeader w:val="0"/>
        </w:trPr>
        <w:tc>
          <w:tcPr>
            <w:tcMar>
              <w:top w:w="0.0" w:type="dxa"/>
              <w:left w:w="0.0" w:type="dxa"/>
              <w:bottom w:w="0.0" w:type="dxa"/>
              <w:right w:w="0.0" w:type="dxa"/>
            </w:tcMar>
          </w:tcPr>
          <w:p>
            <w:r>
              <w:t>Full stack implementation completion and validation report</w:t>
            </w:r>
          </w:p>
        </w:tc>
        <w:tc>
          <w:tcPr>
            <w:tcMar>
              <w:top w:w="0.0" w:type="dxa"/>
              <w:left w:w="0.0" w:type="dxa"/>
              <w:bottom w:w="0.0" w:type="dxa"/>
              <w:right w:w="0.0" w:type="dxa"/>
            </w:tcMar>
          </w:tcPr>
          <w:p w14:paraId="00000005">
            <w:pPr>
              <w:spacing w:after="0" w:line="240" w:lineRule="auto"/>
              <w:rPr>
                <w:color w:val="666666"/>
              </w:rPr>
            </w:pPr>
            <w:r>
              <w:rPr>
                <w:rtl w:val="0"/>
              </w:rPr>
            </w:r>
          </w:p>
        </w:tc>
        <w:tc>
          <w:tcPr>
            <w:tcMar>
              <w:top w:w="0.0" w:type="dxa"/>
              <w:left w:w="0.0" w:type="dxa"/>
              <w:bottom w:w="0.0" w:type="dxa"/>
              <w:right w:w="0.0" w:type="dxa"/>
            </w:tcMar>
          </w:tcPr>
          <w:p>
            <w:r>
              <w:t>Prepared by Group 14</w:t>
              <w:br/>
              <w:t>September 2026</w:t>
            </w:r>
          </w:p>
        </w:tc>
      </w:tr>
    </w:tbl>
    <w:p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 w:line="278.00000000000006" w:lineRule="auto"/>
        <w:ind w:left="0" w:right="0" w:firstLine="0"/>
        <w:jc w:val="left"/>
        <w:rPr>
          <w:rFonts w:ascii="Helvetica Neue" w:cs="Helvetica Neue" w:eastAsia="Helvetica Neue" w:hAnsi="Helvetica Neue"/>
          <w:b w:val="0"/>
          <w:bCs w:val="0"/>
          <w:i w:val="0"/>
          <w:iCs w:val="0"/>
          <w:smallCaps w:val="0"/>
          <w:strike w:val="0"/>
          <w:color w:val="7a7a7a"/>
          <w:sz w:val="18"/>
          <w:szCs w:val="18"/>
          <w:u w:val="none"/>
          <w:shd w:fill="auto" w:val="clear"/>
          <w:vertAlign w:val="baseline"/>
        </w:rPr>
        <w:sectPr>
          <w:footerReference r:id="rId8" w:type="default"/>
          <w:headerReference w:type="default" r:id="rId6"/>
          <w:pgSz w:h="15840" w:w="12240" w:orient="portrait"/>
          <w:pgMar w:bottom="1440" w:top="1440" w:left="1440" w:right="1440" w:header="720" w:footer="720"/>
          <w:pgNumType w:start="1"/>
        </w:sectPr>
      </w:pPr>
      <w:r>
        <w:rPr>
          <w:rFonts w:ascii="Helvetica Neue" w:hAnsi="Helvetica Neue"/>
          <w:rtl w:val="0"/>
        </w:rPr>
      </w:r>
    </w:p>
    <w:p w14:paraId="00000009">
      <w:pPr>
        <w:keepNext w:val="1"/>
        <w:keepLines w:val="0"/>
        <w:pageBreakBefore w:val="0"/>
        <w:widowControl w:val="1"/>
        <w:pBdr>
          <w:top w:space="0" w:sz="0" w:val="nil"/>
          <w:left w:space="0" w:sz="0" w:val="nil"/>
          <w:bottom w:space="0" w:sz="0" w:val="nil"/>
          <w:right w:space="0" w:sz="0" w:val="nil"/>
          <w:between w:space="0" w:sz="0" w:val="nil"/>
        </w:pBdr>
        <w:shd w:fill="auto" w:val="clear"/>
        <w:spacing w:after="360" w:before="360" w:line="278.00000000000006" w:lineRule="auto"/>
        <w:ind w:left="0" w:right="0" w:firstLine="0"/>
        <w:jc w:val="left"/>
        <w:rPr>
          <w:rFonts w:ascii="Helvetica Neue" w:cs="Helvetica Neue" w:eastAsia="Helvetica Neue" w:hAnsi="Helvetica Neue"/>
          <w:b w:val="0"/>
          <w:bCs w:val="0"/>
          <w:i w:val="0"/>
          <w:iCs w:val="0"/>
          <w:smallCaps w:val="0"/>
          <w:strike w:val="0"/>
          <w:color w:val="000000"/>
          <w:sz w:val="48"/>
          <w:szCs w:val="48"/>
          <w:u w:val="none"/>
          <w:shd w:fill="auto" w:val="clear"/>
          <w:vertAlign w:val="baseline"/>
        </w:rPr>
      </w:pPr>
      <w:r>
        <w:rPr>
          <w:rFonts w:ascii="Helvetica Neue" w:hAnsi="Helvetica Neue"/>
        </w:rPr>
        <w:t>Contents</w:t>
      </w:r>
    </w:p>
    <w:p w14:paraId="0000000A">
      <w:pPr>
        <w:keepNext w:val="1"/>
        <w:keepLines w:val="0"/>
        <w:pageBreakBefore w:val="0"/>
        <w:widowControl w:val="1"/>
        <w:pBdr>
          <w:top w:space="0" w:sz="0" w:val="nil"/>
          <w:left w:space="0" w:sz="0" w:val="nil"/>
          <w:bottom w:space="0" w:sz="0" w:val="nil"/>
          <w:right w:space="0" w:sz="0" w:val="nil"/>
          <w:between w:space="0" w:sz="0" w:val="nil"/>
        </w:pBdr>
        <w:shd w:fill="auto" w:val="clear"/>
        <w:spacing w:after="360" w:before="360" w:line="278.00000000000006" w:lineRule="auto"/>
        <w:ind w:left="0" w:right="0" w:firstLine="0"/>
        <w:jc w:val="left"/>
        <w:rPr>
          <w:sz w:val="48"/>
          <w:szCs w:val="48"/>
        </w:rPr>
      </w:pPr>
      <w:r>
        <w:rPr>
          <w:rFonts w:ascii="Helvetica Neue" w:hAnsi="Helvetica Neue"/>
        </w:rPr>
        <w:t>Executive summary</w:t>
        <w:br/>
        <w:t>Implementation scope</w:t>
        <w:br/>
        <w:t>Completed system capabilities</w:t>
        <w:br/>
        <w:t>Validation results</w:t>
        <w:br/>
        <w:t>Compliance assessment</w:t>
        <w:br/>
        <w:t>Remaining production work</w:t>
        <w:br/>
        <w:t>Appendix</w:t>
      </w:r>
    </w:p>
    <w:bookmarkStart w:colFirst="0" w:colLast="0" w:name="bookmark=id.i23wo83gyh7m" w:id="1"/>
    <w:bookmarkEnd w:id="1"/>
    <w:p w14:paraId="00000017">
      <w:pPr>
        <w:pStyle w:val="Heading1"/>
        <w:pageBreakBefore w:val="1"/>
        <w:rPr/>
      </w:pPr>
      <w:r>
        <w:rPr>
          <w:rFonts w:ascii="Helvetica Neue" w:hAnsi="Helvetica Neue"/>
        </w:rPr>
        <w:t>Executive summary</w:t>
      </w:r>
    </w:p>
    <w:p w14:paraId="00000018">
      <w:pPr>
        <w:rPr/>
      </w:pPr>
      <w:r>
        <w:rPr>
          <w:rFonts w:ascii="Helvetica Neue" w:hAnsi="Helvetica Neue"/>
        </w:rPr>
        <w:t>The Property Rental Management System has progressed from the planning and design work documented in Project Part A into a functioning full stack implementation for Project Part B. The current solution provides role-based experiences for Administrators, Landlords, Tenants, and Agents, supported by a React frontend, an Express and TypeScript backend, Prisma data access, and a SQLite development database.</w:t>
      </w:r>
    </w:p>
    <w:p w14:paraId="00000019">
      <w:pPr>
        <w:rPr/>
      </w:pPr>
      <w:r>
        <w:rPr>
          <w:rFonts w:ascii="Helvetica Neue" w:hAnsi="Helvetica Neue"/>
        </w:rPr>
        <w:t>The implemented system now covers property discovery and management, booking approval, rental agreements, payment and invoice records, maintenance requests, messaging, notifications, reporting, identity review, and personal-data controls. Public and authenticated pages were tested through the running website, and the final automated validation completed with successful frontend and backend builds, 66 backend tests, 9 frontend authentication tests, and a clean ESLint error check.</w:t>
      </w:r>
    </w:p>
    <w:bookmarkStart w:colFirst="0" w:colLast="0" w:name="bookmark=id.1sqjewf8afxt" w:id="2"/>
    <w:bookmarkEnd w:id="2"/>
    <w:p w14:paraId="0000001A">
      <w:pPr>
        <w:pStyle w:val="Heading2"/>
        <w:rPr/>
      </w:pPr>
      <w:r>
        <w:rPr>
          <w:rFonts w:ascii="Helvetica Neue" w:hAnsi="Helvetica Neue"/>
        </w:rPr>
        <w:t>At a glance</w:t>
      </w:r>
    </w:p>
    <w:p w14:paraId="0000001B">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540" w:right="0" w:hanging="270"/>
        <w:jc w:val="left"/>
        <w:rPr/>
      </w:pPr>
      <w:r>
        <w:rPr>
          <w:rFonts w:ascii="Helvetica Neue" w:hAnsi="Helvetica Neue"/>
        </w:rPr>
        <w:t>Four role-specific portals are connected to live backend data and enforce role and ownership boundaries.</w:t>
      </w:r>
    </w:p>
    <w:p w14:paraId="0000001C">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540" w:right="0" w:hanging="270"/>
        <w:jc w:val="left"/>
        <w:rPr/>
      </w:pPr>
      <w:r>
        <w:rPr>
          <w:rFonts w:ascii="Helvetica Neue" w:hAnsi="Helvetica Neue"/>
        </w:rPr>
        <w:t>Sixty realistic Malaysian property records were added across six required categories, with MYR pricing and map coordinates.</w:t>
      </w:r>
    </w:p>
    <w:p w14:paraId="0000001D">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540" w:right="0" w:hanging="270"/>
        <w:jc w:val="left"/>
        <w:rPr/>
      </w:pPr>
      <w:r>
        <w:rPr>
          <w:rFonts w:ascii="Helvetica Neue" w:hAnsi="Helvetica Neue"/>
        </w:rPr>
        <w:t>PDPA-supporting controls now include notice, consent history, data export, data-subject requests, incident tracking, retention cleanup, and privacy administration.</w:t>
      </w:r>
    </w:p>
    <w:bookmarkStart w:colFirst="0" w:colLast="0" w:name="bookmark=id.4t4jj91ycfx" w:id="3"/>
    <w:bookmarkEnd w:id="3"/>
    <w:p w14:paraId="0000001E">
      <w:pPr>
        <w:pStyle w:val="Heading2"/>
        <w:rPr/>
      </w:pPr>
      <w:r>
        <w:rPr>
          <w:rFonts w:ascii="Helvetica Neue" w:hAnsi="Helvetica Neue"/>
        </w:rPr>
        <w:t>Implementation scope</w:t>
      </w:r>
    </w:p>
    <w:p w14:paraId="0000001F">
      <w:pPr>
        <w:rPr/>
      </w:pPr>
      <w:r>
        <w:rPr>
          <w:rFonts w:ascii="Helvetica Neue" w:hAnsi="Helvetica Neue"/>
        </w:rPr>
        <w:t>The work reviewed the Sprint 1 to Sprint 3 reports from Project Part A and compared their planned modules with the existing repository. Missing routes, inconsistent data fields, incomplete role pages, authorization gaps, unresponsive layouts, and disconnected demonstration content were identified and corrected in staged implementation passes.</w:t>
      </w:r>
    </w:p>
    <w:p w14:paraId="00000020">
      <w:pPr>
        <w:rPr/>
      </w:pPr>
      <w:r>
        <w:rPr>
          <w:rFonts w:ascii="Helvetica Neue" w:hAnsi="Helvetica Neue"/>
        </w:rPr>
        <w:t>All work remains local in the project workspace. No commit or push has been performed, in accordance with the project owner's instruction. The development servers were also fully stopped after verification and can be restarted when work resumes.</w:t>
      </w:r>
    </w:p>
    <w:bookmarkStart w:colFirst="0" w:colLast="0" w:name="bookmark=id.xx7bxdemqiq" w:id="4"/>
    <w:bookmarkEnd w:id="4"/>
    <w:p w14:paraId="00000021">
      <w:pPr>
        <w:pStyle w:val="Heading1"/>
        <w:pageBreakBefore w:val="1"/>
        <w:rPr/>
      </w:pPr>
      <w:r>
        <w:rPr>
          <w:rFonts w:ascii="Helvetica Neue" w:hAnsi="Helvetica Neue"/>
        </w:rPr>
        <w:t>Completed system capabilities</w:t>
      </w:r>
    </w:p>
    <w:p w14:paraId="00000022">
      <w:pPr>
        <w:rPr/>
      </w:pPr>
      <w:r>
        <w:rPr>
          <w:rFonts w:ascii="Helvetica Neue" w:hAnsi="Helvetica Neue"/>
        </w:rPr>
        <w:t>The implementation delivers the following working capabilities across the application.</w:t>
      </w:r>
    </w:p>
    <w:p w14:paraId="00000023">
      <w:pPr>
        <w:pStyle w:val="Heading2"/>
        <w:rPr/>
      </w:pPr>
      <w:r>
        <w:rPr>
          <w:rFonts w:ascii="Helvetica Neue" w:hAnsi="Helvetica Neue"/>
        </w:rPr>
        <w:t>Frontend and role experiences</w:t>
      </w:r>
    </w:p>
    <w:p w14:paraId="00000024">
      <w:pPr>
        <w:rPr/>
      </w:pPr>
      <w:r>
        <w:rPr>
          <w:rFonts w:ascii="Helvetica Neue" w:hAnsi="Helvetica Neue"/>
        </w:rPr>
        <w:t>Responsive public pages, registration, authentication, navigation, property browsing, and role-specific dashboards are available for Admin, Landlord, Tenant, and Agent users. The Tenant and Agent dashboards were converted from outdated demonstration cards to live bookings, properties, payments, favourites, and maintenance data. Mobile horizontal overflow was corrected on property browsing and registration pages.</w:t>
      </w:r>
    </w:p>
    <w:p w14:paraId="00000025">
      <w:pPr>
        <w:pStyle w:val="Heading2"/>
        <w:rPr/>
      </w:pPr>
      <w:r>
        <w:rPr>
          <w:rFonts w:ascii="Helvetica Neue" w:hAnsi="Helvetica Neue"/>
        </w:rPr>
        <w:t>Backend workflows and access control</w:t>
      </w:r>
    </w:p>
    <w:p w14:paraId="00000026">
      <w:pPr>
        <w:rPr/>
      </w:pPr>
      <w:r>
        <w:rPr>
          <w:rFonts w:ascii="Helvetica Neue" w:hAnsi="Helvetica Neue"/>
        </w:rPr>
        <w:t>Booking confirmation now creates the related rental agreement, pending payment, invoice, and notifications. Payment, booking, reporting, maintenance, messaging, favourite, and notification access was tightened so users receive only authorised records. Agent category access and assigned-property workflows were connected, and landlord reporting is restricted to owned properties.</w:t>
      </w:r>
    </w:p>
    <w:p w14:paraId="00000027">
      <w:pPr>
        <w:rPr/>
      </w:pPr>
      <w:r>
        <w:rPr>
          <w:rFonts w:ascii="Helvetica Neue" w:hAnsi="Helvetica Neue"/>
          <w:rtl w:val="0"/>
        </w:rPr>
      </w:r>
    </w:p>
    <w:p w14:paraId="00000028">
      <w:pPr>
        <w:keepNext w:val="0"/>
        <w:keepLines w:val="1"/>
        <w:pageBreakBefore w:val="0"/>
        <w:widowControl w:val="1"/>
        <w:pBdr>
          <w:top w:space="0" w:sz="0" w:val="nil"/>
          <w:left w:color="595959" w:space="8" w:sz="16" w:val="single"/>
          <w:bottom w:space="0" w:sz="0" w:val="nil"/>
          <w:right w:space="0" w:sz="0" w:val="nil"/>
          <w:between w:space="0" w:sz="0" w:val="nil"/>
        </w:pBdr>
        <w:shd w:fill="f2f2f2" w:val="clear"/>
        <w:spacing w:after="200" w:before="160" w:line="269" w:lineRule="auto"/>
        <w:ind w:left="259" w:right="259" w:firstLine="0"/>
        <w:jc w:val="left"/>
        <w:rPr/>
      </w:pPr>
      <w:r>
        <w:rPr>
          <w:rFonts w:ascii="Helvetica Neue" w:hAnsi="Helvetica Neue"/>
        </w:rPr>
        <w:t>Key takeaway. The main Sprint 1 to Sprint 3 functional scope is now represented by working full stack flows rather than isolated interface mock-ups.</w:t>
      </w:r>
    </w:p>
    <w:p w14:paraId="00000029">
      <w:pPr>
        <w:rPr/>
      </w:pPr>
      <w:r>
        <w:rPr>
          <w:rFonts w:ascii="Helvetica Neue" w:hAnsi="Helvetica Neue"/>
        </w:rPr>
      </w:r>
    </w:p>
    <w:bookmarkStart w:colFirst="0" w:colLast="0" w:name="bookmark=id.suv0vlq0gz4r" w:id="5"/>
    <w:bookmarkEnd w:id="5"/>
    <w:p w14:paraId="0000002A">
      <w:pPr>
        <w:pStyle w:val="Heading2"/>
        <w:rPr/>
      </w:pPr>
      <w:r>
        <w:rPr>
          <w:rFonts w:ascii="Helvetica Neue" w:hAnsi="Helvetica Neue"/>
        </w:rPr>
        <w:t>Database and Malaysian data</w:t>
      </w:r>
    </w:p>
    <w:p w14:paraId="0000002B">
      <w:pPr>
        <w:rPr/>
      </w:pPr>
      <w:r>
        <w:rPr>
          <w:rFonts w:ascii="Helvetica Neue" w:hAnsi="Helvetica Neue"/>
        </w:rPr>
        <w:t>The Prisma schema now includes rental agreements, privacy consent, data-subject requests, data-breach incidents, KYC review fields, property coordinates, and maintenance relationships. The development database contains 60 newly seeded Malaysian listings across Terrace, Double Storey, Apartment, Condominium, Semi-D, and Bungalow categories, plus two preserved pre-existing records. System currency was changed to MYR.</w:t>
      </w:r>
      <w:r>
        <w:rPr>
          <w:rFonts w:ascii="Helvetica Neue" w:hAnsi="Helvetica Neue"/>
        </w:rPr>
        <w:br w:type="page"/>
      </w:r>
    </w:p>
    <w:tbl>
      <w:tblPr>
        <w:tblStyle w:val="Table2"/>
        <w:tblW w:w="9120.0" w:type="dxa"/>
        <w:jc w:val="left"/>
        <w:tblInd w:w="120.0" w:type="dxa"/>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1800"/>
        <w:gridCol w:w="3300"/>
        <w:gridCol w:w="4020"/>
        <w:tblGridChange w:id="0">
          <w:tblGrid>
            <w:gridCol w:w="1800"/>
            <w:gridCol w:w="3300"/>
            <w:gridCol w:w="4020"/>
          </w:tblGrid>
        </w:tblGridChange>
      </w:tblGrid>
      <w:tr>
        <w:trPr>
          <w:cantSplit w:val="0"/>
          <w:tblHeader w:val="1"/>
        </w:trPr>
        <w:tc>
          <w:tcPr>
            <w:shd w:fill="f2f2f2" w:val="clear"/>
            <w:tcMar>
              <w:top w:w="110.0" w:type="dxa"/>
              <w:bottom w:w="110.0" w:type="dxa"/>
            </w:tcMar>
            <w:vAlign w:val="center"/>
          </w:tcPr>
          <w:p>
            <w:r>
              <w:t>Area</w:t>
            </w:r>
          </w:p>
        </w:tc>
        <w:tc>
          <w:tcPr>
            <w:shd w:fill="f2f2f2" w:val="clear"/>
            <w:tcMar>
              <w:top w:w="110.0" w:type="dxa"/>
              <w:bottom w:w="110.0" w:type="dxa"/>
            </w:tcMar>
            <w:vAlign w:val="center"/>
          </w:tcPr>
          <w:p>
            <w:r>
              <w:t>Completed implementation</w:t>
            </w:r>
          </w:p>
        </w:tc>
        <w:tc>
          <w:tcPr>
            <w:shd w:fill="f2f2f2" w:val="clear"/>
            <w:tcMar>
              <w:top w:w="110.0" w:type="dxa"/>
              <w:bottom w:w="110.0" w:type="dxa"/>
            </w:tcMar>
            <w:vAlign w:val="center"/>
          </w:tcPr>
          <w:p>
            <w:r>
              <w:t>Current outcome</w:t>
            </w:r>
          </w:p>
        </w:tc>
      </w:tr>
      <w:tr>
        <w:trPr>
          <w:cantSplit w:val="0"/>
          <w:tblHeader w:val="0"/>
        </w:trPr>
        <w:tc>
          <w:tcPr>
            <w:shd w:fill="ffffff" w:val="clear"/>
            <w:tcMar>
              <w:top w:w="110.0" w:type="dxa"/>
              <w:bottom w:w="110.0" w:type="dxa"/>
            </w:tcMar>
            <w:vAlign w:val="center"/>
          </w:tcPr>
          <w:p>
            <w:r>
              <w:t>Core workflows</w:t>
            </w:r>
          </w:p>
        </w:tc>
        <w:tc>
          <w:tcPr>
            <w:shd w:fill="ffffff" w:val="clear"/>
            <w:tcMar>
              <w:top w:w="110.0" w:type="dxa"/>
              <w:bottom w:w="110.0" w:type="dxa"/>
            </w:tcMar>
            <w:vAlign w:val="center"/>
          </w:tcPr>
          <w:p>
            <w:r>
              <w:t>Properties, bookings, agreements, payments, maintenance, messaging, notifications, reports</w:t>
            </w:r>
          </w:p>
        </w:tc>
        <w:tc>
          <w:tcPr>
            <w:shd w:fill="ffffff" w:val="clear"/>
            <w:tcMar>
              <w:top w:w="110.0" w:type="dxa"/>
              <w:bottom w:w="110.0" w:type="dxa"/>
            </w:tcMar>
            <w:vAlign w:val="center"/>
          </w:tcPr>
          <w:p>
            <w:r>
              <w:t>Role-specific full stack flows operate with live records</w:t>
            </w:r>
          </w:p>
        </w:tc>
      </w:tr>
      <w:tr>
        <w:trPr>
          <w:cantSplit w:val="0"/>
          <w:tblHeader w:val="0"/>
        </w:trPr>
        <w:tc>
          <w:tcPr>
            <w:shd w:fill="ffffff" w:val="clear"/>
            <w:tcMar>
              <w:top w:w="110.0" w:type="dxa"/>
              <w:bottom w:w="110.0" w:type="dxa"/>
            </w:tcMar>
            <w:vAlign w:val="center"/>
          </w:tcPr>
          <w:p>
            <w:r>
              <w:t>Security and privacy</w:t>
            </w:r>
          </w:p>
        </w:tc>
        <w:tc>
          <w:tcPr>
            <w:shd w:fill="ffffff" w:val="clear"/>
            <w:tcMar>
              <w:top w:w="110.0" w:type="dxa"/>
              <w:bottom w:w="110.0" w:type="dxa"/>
            </w:tcMar>
            <w:vAlign w:val="center"/>
          </w:tcPr>
          <w:p>
            <w:r>
              <w:t>Authentication, RBAC, ownership filtering, KYC review, consent and privacy operations</w:t>
            </w:r>
          </w:p>
        </w:tc>
        <w:tc>
          <w:tcPr>
            <w:shd w:fill="ffffff" w:val="clear"/>
            <w:tcMar>
              <w:top w:w="110.0" w:type="dxa"/>
              <w:bottom w:w="110.0" w:type="dxa"/>
            </w:tcMar>
            <w:vAlign w:val="center"/>
          </w:tcPr>
          <w:p>
            <w:r>
              <w:t>Access is restricted by role and record ownership</w:t>
            </w:r>
          </w:p>
        </w:tc>
      </w:tr>
      <w:tr>
        <w:trPr>
          <w:cantSplit w:val="0"/>
          <w:tblHeader w:val="0"/>
        </w:trPr>
        <w:tc>
          <w:tcPr>
            <w:shd w:fill="ffffff" w:val="clear"/>
            <w:tcMar>
              <w:top w:w="110.0" w:type="dxa"/>
              <w:bottom w:w="110.0" w:type="dxa"/>
            </w:tcMar>
            <w:vAlign w:val="center"/>
          </w:tcPr>
          <w:p>
            <w:r>
              <w:t>Quality</w:t>
            </w:r>
          </w:p>
        </w:tc>
        <w:tc>
          <w:tcPr>
            <w:shd w:fill="ffffff" w:val="clear"/>
            <w:tcMar>
              <w:top w:w="110.0" w:type="dxa"/>
              <w:bottom w:w="110.0" w:type="dxa"/>
            </w:tcMar>
            <w:vAlign w:val="center"/>
          </w:tcPr>
          <w:p>
            <w:r>
              <w:t>Responsive fixes, Malaysian seed data, browser testing, builds, tests and lint</w:t>
            </w:r>
          </w:p>
        </w:tc>
        <w:tc>
          <w:tcPr>
            <w:shd w:fill="ffffff" w:val="clear"/>
            <w:tcMar>
              <w:top w:w="110.0" w:type="dxa"/>
              <w:bottom w:w="110.0" w:type="dxa"/>
            </w:tcMar>
            <w:vAlign w:val="center"/>
          </w:tcPr>
          <w:p>
            <w:r>
              <w:t>Application is ready for the next academic review stage</w:t>
            </w:r>
          </w:p>
        </w:tc>
      </w:tr>
    </w:tbl>
    <w:bookmarkStart w:colFirst="0" w:colLast="0" w:name="bookmark=id.vvr4bduzzdc0" w:id="6"/>
    <w:bookmarkEnd w:id="6"/>
    <w:p w14:paraId="00000038">
      <w:pPr>
        <w:pStyle w:val="Heading1"/>
        <w:pageBreakBefore w:val="1"/>
        <w:rPr/>
      </w:pPr>
      <w:r>
        <w:rPr>
          <w:rFonts w:ascii="Helvetica Neue" w:hAnsi="Helvetica Neue"/>
        </w:rPr>
        <w:t>Validation results</w:t>
      </w:r>
    </w:p>
    <w:p w14:paraId="00000039">
      <w:pPr>
        <w:rPr/>
      </w:pPr>
      <w:r>
        <w:rPr>
          <w:rFonts w:ascii="Helvetica Neue" w:hAnsi="Helvetica Neue"/>
        </w:rPr>
        <w:t>Validation was performed at code, API, and browser levels. Public pages and the four authenticated portals were exercised against the running local backend. The results below reflect the final verification completed after the dashboard and authorization corrections.</w:t>
      </w:r>
    </w:p>
    <w:p w14:paraId="0000003A">
      <w:pPr>
        <w:keepNext w:val="0"/>
        <w:keepLines w:val="1"/>
        <w:pageBreakBefore w:val="0"/>
        <w:widowControl w:val="1"/>
        <w:numPr>
          <w:ilvl w:val="0"/>
          <w:numId w:val="2"/>
        </w:numPr>
        <w:pBdr>
          <w:top w:space="0" w:sz="0" w:val="nil"/>
          <w:left w:space="0" w:sz="0" w:val="nil"/>
          <w:bottom w:space="0" w:sz="0" w:val="nil"/>
          <w:right w:space="0" w:sz="0" w:val="nil"/>
          <w:between w:space="0" w:sz="0" w:val="nil"/>
        </w:pBdr>
        <w:shd w:fill="auto" w:val="clear"/>
        <w:spacing w:after="180" w:before="0" w:line="276" w:lineRule="auto"/>
        <w:ind w:left="540" w:right="0" w:hanging="270"/>
        <w:jc w:val="left"/>
        <w:rPr/>
      </w:pPr>
      <w:r>
        <w:rPr>
          <w:rFonts w:ascii="Helvetica Neue" w:hAnsi="Helvetica Neue"/>
        </w:rPr>
        <w:t>Backend verification. TypeScript compilation completed successfully and all 66 backend tests passed across three suites.</w:t>
      </w:r>
    </w:p>
    <w:p w14:paraId="0000003B">
      <w:pPr>
        <w:keepNext w:val="0"/>
        <w:keepLines w:val="1"/>
        <w:pageBreakBefore w:val="0"/>
        <w:widowControl w:val="1"/>
        <w:numPr>
          <w:ilvl w:val="0"/>
          <w:numId w:val="2"/>
        </w:numPr>
        <w:pBdr>
          <w:top w:space="0" w:sz="0" w:val="nil"/>
          <w:left w:space="0" w:sz="0" w:val="nil"/>
          <w:bottom w:space="0" w:sz="0" w:val="nil"/>
          <w:right w:space="0" w:sz="0" w:val="nil"/>
          <w:between w:space="0" w:sz="0" w:val="nil"/>
        </w:pBdr>
        <w:shd w:fill="auto" w:val="clear"/>
        <w:spacing w:after="180" w:before="0" w:line="276" w:lineRule="auto"/>
        <w:ind w:left="540" w:right="0" w:hanging="270"/>
        <w:jc w:val="left"/>
        <w:rPr/>
      </w:pPr>
      <w:r>
        <w:rPr>
          <w:rFonts w:ascii="Helvetica Neue" w:hAnsi="Helvetica Neue"/>
        </w:rPr>
        <w:t>Frontend verification. The Vite production build completed successfully, all 9 authentication tests passed, and ESLint reported no errors.</w:t>
      </w:r>
    </w:p>
    <w:p w14:paraId="0000003C">
      <w:pPr>
        <w:keepNext w:val="0"/>
        <w:keepLines w:val="1"/>
        <w:pageBreakBefore w:val="0"/>
        <w:widowControl w:val="1"/>
        <w:numPr>
          <w:ilvl w:val="0"/>
          <w:numId w:val="2"/>
        </w:numPr>
        <w:pBdr>
          <w:top w:space="0" w:sz="0" w:val="nil"/>
          <w:left w:space="0" w:sz="0" w:val="nil"/>
          <w:bottom w:space="0" w:sz="0" w:val="nil"/>
          <w:right w:space="0" w:sz="0" w:val="nil"/>
          <w:between w:space="0" w:sz="0" w:val="nil"/>
        </w:pBdr>
        <w:shd w:fill="auto" w:val="clear"/>
        <w:spacing w:after="180" w:before="0" w:line="276" w:lineRule="auto"/>
        <w:ind w:left="540" w:right="0" w:hanging="270"/>
        <w:jc w:val="left"/>
        <w:rPr/>
      </w:pPr>
      <w:r>
        <w:rPr>
          <w:rFonts w:ascii="Helvetica Neue" w:hAnsi="Helvetica Neue"/>
        </w:rPr>
        <w:t>Browser verification. Admin, Landlord, Tenant, and Agent dashboards and their principal workflow pages loaded successfully. CORS, public settings, responsive overflow, landlord dashboard loading, tenant payment mapping, and Agent category authorization defects found during testing were corrected.</w:t>
      </w:r>
    </w:p>
    <w:bookmarkStart w:colFirst="0" w:colLast="0" w:name="bookmark=id.rl3o3rp5qmnq" w:id="7"/>
    <w:bookmarkEnd w:id="7"/>
    <w:p w14:paraId="0000003D">
      <w:pPr>
        <w:pStyle w:val="Heading2"/>
        <w:rPr/>
      </w:pPr>
      <w:r>
        <w:rPr>
          <w:rFonts w:ascii="Helvetica Neue" w:hAnsi="Helvetica Neue"/>
        </w:rPr>
        <w:t>Compliance assessment</w:t>
      </w:r>
    </w:p>
    <w:p w14:paraId="0000003E">
      <w:pPr>
        <w:rPr/>
      </w:pPr>
      <w:r>
        <w:rPr>
          <w:rFonts w:ascii="Helvetica Neue" w:hAnsi="Helvetica Neue"/>
        </w:rPr>
        <w:t>The application provides technical controls that support Malaysia's Personal Data Protection Act principles: a visible privacy notice, recorded consent choices, access and correction request handling, consent withdrawal and objection requests, personal-data export, retention cleanup, incident registration, and administrative request tracking. Google Maps is click-to-load and informs the user that third-party data transfer may occur.</w:t>
      </w:r>
    </w:p>
    <w:p w14:paraId="0000003F">
      <w:pPr>
        <w:rPr/>
      </w:pPr>
      <w:r>
        <w:rPr>
          <w:rFonts w:ascii="Helvetica Neue" w:hAnsi="Helvetica Neue"/>
        </w:rPr>
        <w:t>Technical controls alone do not establish complete legal compliance. Before production use, the organisation must confirm its lawful purposes, privacy contact or Data Protection Officer arrangements, retention schedule, processor agreements, security operations, breach-notification procedure, hosting location, and final legal wording.</w:t>
      </w:r>
    </w:p>
    <w:bookmarkStart w:colFirst="0" w:colLast="0" w:name="bookmark=id.cf45595vup8a" w:id="8"/>
    <w:bookmarkEnd w:id="8"/>
    <w:p w14:paraId="00000040">
      <w:pPr>
        <w:pStyle w:val="Heading1"/>
        <w:pageBreakBefore w:val="1"/>
        <w:rPr/>
      </w:pPr>
      <w:r>
        <w:rPr>
          <w:rFonts w:ascii="Helvetica Neue" w:hAnsi="Helvetica Neue"/>
        </w:rPr>
        <w:t>Remaining production work</w:t>
      </w:r>
    </w:p>
    <w:bookmarkStart w:colFirst="0" w:colLast="0" w:name="bookmark=id.ptrg31dozyqs" w:id="9"/>
    <w:bookmarkEnd w:id="9"/>
    <w:p w14:paraId="00000041">
      <w:pPr>
        <w:pStyle w:val="Heading2"/>
        <w:rPr/>
      </w:pPr>
      <w:r>
        <w:rPr>
          <w:rFonts w:ascii="Helvetica Neue" w:hAnsi="Helvetica Neue"/>
        </w:rPr>
        <w:t>The core implementation is complete for continued development and academic demonstration. The following items remain deployment and operational tasks rather than missing local application modules.</w:t>
      </w:r>
    </w:p>
    <w:p w14:paraId="00000042">
      <w:pPr>
        <w:rPr/>
      </w:pPr>
      <w:r>
        <w:rPr>
          <w:rFonts w:ascii="Helvetica Neue" w:hAnsi="Helvetica Neue"/>
        </w:rPr>
        <w:t>• Configure a production database, HTTPS hosting, environment secrets, backups, monitoring, email delivery, and a real payment provider.</w:t>
      </w:r>
    </w:p>
    <w:p w14:paraId="00000043">
      <w:pPr>
        <w:rPr/>
      </w:pPr>
      <w:r>
        <w:rPr>
          <w:rFonts w:ascii="Helvetica Neue" w:hAnsi="Helvetica Neue"/>
        </w:rPr>
        <w:t>• Replace placeholder organisational privacy contacts and policy wording with approved details, complete final user acceptance testing, and optimise the main frontend bundle through additional code splitting if required.</w:t>
      </w:r>
    </w:p>
    <w:bookmarkStart w:colFirst="0" w:colLast="0" w:name="bookmark=id.nnk1eebni0ji" w:id="10"/>
    <w:bookmarkEnd w:id="10"/>
    <w:p w14:paraId="00000044">
      <w:pPr>
        <w:pStyle w:val="Heading2"/>
        <w:rPr/>
      </w:pPr>
      <w:r>
        <w:rPr>
          <w:rFonts w:ascii="Helvetica Neue" w:hAnsi="Helvetica Neue"/>
        </w:rPr>
        <w:t>Appendix</w:t>
      </w:r>
    </w:p>
    <w:p w14:paraId="00000045">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540" w:right="0" w:hanging="270"/>
        <w:jc w:val="left"/>
        <w:rPr/>
      </w:pPr>
      <w:r>
        <w:rPr>
          <w:rFonts w:ascii="Helvetica Neue" w:hAnsi="Helvetica Neue"/>
        </w:rPr>
        <w:t>Technology stack: React 19, Vite, Axios, Express, TypeScript, Prisma, SQLite development database, Jest, and ESLint.</w:t>
      </w:r>
    </w:p>
    <w:p w14:paraId="00000046">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540" w:right="0" w:hanging="270"/>
        <w:jc w:val="left"/>
        <w:rPr/>
      </w:pPr>
      <w:r>
        <w:rPr>
          <w:rFonts w:ascii="Helvetica Neue" w:hAnsi="Helvetica Neue"/>
        </w:rPr>
        <w:t>Final automated result: backend build passed; 66 of 66 backend tests passed; frontend build passed; 9 of 9 frontend authentication tests passed; frontend lint passed.</w:t>
      </w:r>
    </w:p>
    <w:p w14:paraId="00000047">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540" w:right="0" w:hanging="270"/>
        <w:jc w:val="left"/>
        <w:rPr/>
      </w:pPr>
      <w:r>
        <w:rPr>
          <w:rFonts w:ascii="Helvetica Neue" w:hAnsi="Helvetica Neue"/>
        </w:rPr>
        <w:t>Runtime status at report preparation: frontend and backend development servers are stopped. Source changes and the development database remain uncommitted and unpushed.</w:t>
      </w:r>
    </w:p>
    <w:p w14:paraId="00000048">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540" w:right="0" w:hanging="270"/>
        <w:jc w:val="left"/>
        <w:rPr/>
      </w:pPr>
      <w:r>
        <w:rPr>
          <w:rFonts w:ascii="Helvetica Neue" w:hAnsi="Helvetica Neue"/>
        </w:rPr>
        <w:t>Reference basis: COS40005 Sprint 1 Deliverables, Group 14 Sprint Report 2, PRMS Sprint 3 Report, the PRMS repository implementation, and official Malaysian Personal Data Protection guidance reviewed during development.</w:t>
      </w:r>
    </w:p>
    <w:p w14:paraId="00000049">
      <w:pPr>
        <w:keepNext w:val="0"/>
        <w:keepLines w:val="1"/>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pPr>
      <w:r>
        <w:rPr>
          <w:rFonts w:ascii="Helvetica Neue" w:hAnsi="Helvetica Neue"/>
          <w:rtl w:val="0"/>
        </w:rPr>
      </w:r>
    </w:p>
    <w:p w14:paraId="0000004A">
      <w:pPr>
        <w:keepNext w:val="0"/>
        <w:keepLines w:val="1"/>
        <w:pageBreakBefore w:val="0"/>
        <w:widowControl w:val="1"/>
        <w:pBdr>
          <w:top w:space="0" w:sz="0" w:val="nil"/>
          <w:left w:color="595959" w:space="8" w:sz="16" w:val="single"/>
          <w:bottom w:space="0" w:sz="0" w:val="nil"/>
          <w:right w:space="0" w:sz="0" w:val="nil"/>
          <w:between w:space="0" w:sz="0" w:val="nil"/>
        </w:pBdr>
        <w:shd w:fill="f2f2f2" w:val="clear"/>
        <w:spacing w:after="200" w:before="160" w:line="269" w:lineRule="auto"/>
        <w:ind w:left="259" w:right="259" w:firstLine="0"/>
        <w:jc w:val="left"/>
        <w:rPr>
          <w:rFonts w:ascii="Helvetica Neue" w:cs="Helvetica Neue" w:eastAsia="Helvetica Neue" w:hAnsi="Helvetica Neue"/>
          <w:b w:val="0"/>
          <w:bCs w:val="0"/>
          <w:i w:val="0"/>
          <w:iCs w:val="0"/>
          <w:smallCaps w:val="0"/>
          <w:strike w:val="0"/>
          <w:color w:val="000000"/>
          <w:u w:val="none"/>
          <w:shd w:fill="auto" w:val="clear"/>
          <w:vertAlign w:val="baseline"/>
        </w:rPr>
      </w:pPr>
      <w:r>
        <w:rPr>
          <w:rFonts w:ascii="Helvetica Neue" w:hAnsi="Helvetica Neue"/>
        </w:rPr>
        <w:t>Prepared for the continuation of COS40005 Project Part B implementation and review.</w:t>
      </w:r>
    </w:p>
    <w:sectPr>
      <w:headerReference r:id="rId9" w:type="default"/>
      <w:footerReference r:id="rId10" w:type="default"/>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right"/>
      <w:rPr>
        <w:rFonts w:ascii="Helvetica Neue" w:cs="Helvetica Neue" w:eastAsia="Helvetica Neue" w:hAnsi="Helvetica Neue"/>
        <w:b w:val="0"/>
        <w:bCs w:val="0"/>
        <w:i w:val="0"/>
        <w:iCs w:val="0"/>
        <w:smallCaps w:val="0"/>
        <w:strike w:val="0"/>
        <w:color w:val="7a7a7a"/>
        <w:sz w:val="18"/>
        <w:szCs w:val="18"/>
        <w:u w:val="none"/>
        <w:shd w:fill="auto" w:val="clear"/>
        <w:vertAlign w:val="baseline"/>
      </w:rPr>
    </w:pPr>
    <w:r>
      <w:rPr>
        <w:rFonts w:ascii="Helvetica Neue" w:cs="Helvetica Neue" w:eastAsia="Helvetica Neue" w:hAnsi="Helvetica Neue"/>
        <w:b w:val="0"/>
        <w:bCs w:val="0"/>
        <w:i w:val="0"/>
        <w:iCs w:val="0"/>
        <w:smallCaps w:val="0"/>
        <w:strike w:val="0"/>
        <w:color w:val="7a7a7a"/>
        <w:sz w:val="18"/>
        <w:szCs w:val="18"/>
        <w:u w:val="none"/>
        <w:shd w:fill="auto" w:val="clear"/>
        <w:vertAlign w:val="baseline"/>
      </w:rPr>
      <w:fldChar w:fldCharType="begin"/>
      <w:instrText xml:space="preserve">PAGE</w:instrText>
      <w:fldChar w:fldCharType="separate"/>
      <w:fldChar w:fldCharType="end"/>
    </w:r>
    <w:r>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51">
    <w:pPr>
      <w:rPr/>
    </w:pPr>
    <w:r>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4B">
    <w:pPr>
      <w:keepNext w:val="0"/>
      <w:keepLines w:val="0"/>
      <w:pageBreakBefore w:val="0"/>
      <w:widowControl w:val="1"/>
      <w:pBdr>
        <w:top w:space="0" w:sz="0" w:val="nil"/>
        <w:left w:space="0" w:sz="0" w:val="nil"/>
        <w:bottom w:color="d9d9d9" w:space="5" w:sz="4" w:val="single"/>
        <w:right w:space="0" w:sz="0" w:val="nil"/>
        <w:between w:space="0" w:sz="0" w:val="nil"/>
      </w:pBdr>
      <w:shd w:fill="auto" w:val="clear"/>
      <w:spacing w:after="80" w:before="0" w:line="278.00000000000006" w:lineRule="auto"/>
      <w:ind w:left="0" w:right="0" w:firstLine="0"/>
      <w:jc w:val="left"/>
      <w:rPr>
        <w:color w:val="7a7a7a"/>
        <w:sz w:val="17"/>
        <w:szCs w:val="17"/>
      </w:rPr>
    </w:pPr>
    <w:r>
      <w:rPr>
        <w:rtl w:val="0"/>
      </w:rPr>
    </w:r>
  </w:p>
  <w:sdt>
    <w:sdtPr>
      <w:lock w:val="contentLocked"/>
      <w:id w:val="2109222018"/>
      <w:tag w:val="goog_rdk_0"/>
    </w:sdtPr>
    <w:sdtContent>
      <w:tbl>
        <w:tblPr>
          <w:tblStyle w:val="Table3"/>
          <w:tblW w:w="9360.0" w:type="dxa"/>
          <w:jc w:val="left"/>
          <w:tblLayout w:type="fixed"/>
          <w:tblLook w:val="0600"/>
        </w:tblPr>
        <w:tblGrid>
          <w:gridCol w:w="4680"/>
          <w:gridCol w:w="4680"/>
          <w:tblGridChange w:id="0">
            <w:tblGrid>
              <w:gridCol w:w="4680"/>
              <w:gridCol w:w="4680"/>
            </w:tblGrid>
          </w:tblGridChange>
        </w:tblGrid>
        <w:tr>
          <w:trPr>
            <w:cantSplit w:val="1"/>
            <w:trHeight w:val="325.74149576822384" w:hRule="atLeast"/>
            <w:tblHeader w:val="0"/>
          </w:trPr>
          <w:tc>
            <w:tcPr>
              <w:shd w:fill="auto" w:val="clear"/>
              <w:tcMar>
                <w:top w:w="0.0" w:type="dxa"/>
                <w:left w:w="0.0" w:type="dxa"/>
                <w:bottom w:w="0.0" w:type="dxa"/>
                <w:right w:w="0.0" w:type="dxa"/>
              </w:tcMar>
              <w:vAlign w:val="top"/>
            </w:tcPr>
            <w:p w14:paraId="0000004C">
              <w:pPr>
                <w:pBdr>
                  <w:top w:space="0" w:sz="0" w:val="nil"/>
                  <w:left w:space="0" w:sz="0" w:val="nil"/>
                  <w:bottom w:space="0" w:sz="0" w:val="nil"/>
                  <w:right w:space="0" w:sz="0" w:val="nil"/>
                  <w:between w:space="0" w:sz="0" w:val="nil"/>
                </w:pBdr>
                <w:shd w:fill="auto" w:val="clear"/>
                <w:spacing w:after="80" w:line="278.00000000000006" w:lineRule="auto"/>
                <w:rPr>
                  <w:color w:val="7a7a7a"/>
                  <w:sz w:val="17"/>
                  <w:szCs w:val="17"/>
                </w:rPr>
              </w:pPr>
              <w:r>
                <w:rPr>
                  <w:color w:val="7a7a7a"/>
                  <w:sz w:val="17"/>
                  <w:szCs w:val="17"/>
                  <w:rtl w:val="0"/>
                </w:rPr>
                <w:t xml:space="preserve">PRMS Project Part B Implementation Report</w:t>
              </w:r>
            </w:p>
            <w:p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7a7a7a"/>
                  <w:sz w:val="17"/>
                  <w:szCs w:val="17"/>
                </w:rPr>
              </w:pPr>
              <w:r>
                <w:rPr>
                  <w:rtl w:val="0"/>
                </w:rPr>
              </w:r>
            </w:p>
          </w:tc>
          <w:tc>
            <w:tcPr>
              <w:shd w:fill="auto" w:val="clear"/>
              <w:tcMar>
                <w:top w:w="0.0" w:type="dxa"/>
                <w:left w:w="0.0" w:type="dxa"/>
                <w:bottom w:w="0.0" w:type="dxa"/>
                <w:right w:w="0.0" w:type="dxa"/>
              </w:tcMar>
              <w:vAlign w:val="top"/>
            </w:tcPr>
            <w:p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color w:val="7a7a7a"/>
                  <w:sz w:val="17"/>
                  <w:szCs w:val="17"/>
                </w:rPr>
              </w:pPr>
              <w:r>
                <w:rPr>
                  <w:color w:val="7a7a7a"/>
                  <w:sz w:val="17"/>
                  <w:szCs w:val="17"/>
                  <w:rtl w:val="0"/>
                </w:rPr>
                <w:t xml:space="preserve">September 2026</w:t>
              </w:r>
            </w:p>
          </w:tc>
        </w:tr>
      </w:tbl>
    </w:sdtContent>
  </w:sdt>
  <w:p w14:paraId="0000004F">
    <w:pPr>
      <w:rPr/>
    </w:pPr>
    <w:r>
      <w:rPr>
        <w:rtl w:val="0"/>
      </w:r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40" w:hanging="270"/>
      </w:pPr>
      <w:rPr>
        <w:rFonts w:ascii="Helvetica Neue" w:cs="Helvetica Neue" w:eastAsia="Helvetica Neue" w:hAnsi="Helvetica Neu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540" w:hanging="270"/>
      </w:pPr>
      <w:rPr>
        <w:rFonts w:ascii="Helvetica Neue" w:cs="Helvetica Neue" w:eastAsia="Helvetica Neue" w:hAnsi="Helvetica Neu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Helvetica Neue" w:cs="Helvetica Neue" w:eastAsia="Helvetica Neue" w:hAnsi="Helvetica Neue"/>
        <w:sz w:val="22"/>
        <w:szCs w:val="22"/>
        <w:lang w:val="en"/>
      </w:rPr>
    </w:rPrDefault>
    <w:pPrDefault>
      <w:pPr>
        <w:spacing w:after="12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00" w:before="360" w:lineRule="auto"/>
    </w:pPr>
    <w:rPr>
      <w:rFonts w:ascii="Helvetica Neue" w:cs="Helvetica Neue" w:eastAsia="Helvetica Neue" w:hAnsi="Helvetica Neue"/>
      <w:b w:val="0"/>
      <w:bCs w:val="0"/>
      <w:color w:val="000000"/>
      <w:sz w:val="48"/>
      <w:szCs w:val="48"/>
    </w:rPr>
  </w:style>
  <w:style w:type="paragraph" w:styleId="Heading2">
    <w:name w:val="heading 2"/>
    <w:basedOn w:val="Normal"/>
    <w:next w:val="Normal"/>
    <w:pPr>
      <w:keepNext w:val="1"/>
      <w:keepLines w:val="1"/>
      <w:spacing w:after="120" w:before="280" w:lineRule="auto"/>
    </w:pPr>
    <w:rPr>
      <w:rFonts w:ascii="Helvetica Neue" w:cs="Helvetica Neue" w:eastAsia="Helvetica Neue" w:hAnsi="Helvetica Neue"/>
      <w:b w:val="0"/>
      <w:bCs w:val="0"/>
      <w:color w:val="000000"/>
      <w:sz w:val="30"/>
      <w:szCs w:val="30"/>
    </w:rPr>
  </w:style>
  <w:style w:type="paragraph" w:styleId="Heading3">
    <w:name w:val="heading 3"/>
    <w:basedOn w:val="Normal"/>
    <w:next w:val="Normal"/>
    <w:pPr>
      <w:keepNext w:val="1"/>
      <w:keepLines w:val="1"/>
      <w:spacing w:after="80" w:before="200" w:lineRule="auto"/>
    </w:pPr>
    <w:rPr>
      <w:rFonts w:ascii="Helvetica Neue" w:cs="Helvetica Neue" w:eastAsia="Helvetica Neue" w:hAnsi="Helvetica Neue"/>
      <w:b w:val="1"/>
      <w:bCs w:val="1"/>
      <w:color w:val="000000"/>
      <w:sz w:val="24"/>
      <w:szCs w:val="24"/>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100" w:line="278.00000000000006" w:lineRule="auto"/>
    </w:pPr>
    <w:rPr>
      <w:b w:val="1"/>
      <w:bCs w:val="1"/>
      <w:color w:val="000000"/>
      <w:sz w:val="80"/>
      <w:szCs w:val="80"/>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7" Type="http://schemas.openxmlformats.org/officeDocument/2006/relationships/image" Target="media/image1.png"/><Relationship Id="rId8" Type="http://schemas.openxmlformats.org/officeDocument/2006/relationships/footer" Target="footer2.xml"/><Relationship Id="rId6"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ore.xml><?xml version="1.0" encoding="utf-8"?>
<cp:coreProperties xmlns:cp="http://schemas.openxmlformats.org/package/2006/metadata/core-properties" xmlns:dc="http://purl.org/dc/elements/1.1/" xmlns:dcterms="http://purl.org/dc/terms/" xmlns:xsi="http://www.w3.org/2001/XMLSchema-instance">
  <dc:title>PRMS Project Part B Implementation Report</dc:title>
  <cp:lastModifiedBy>python-docx</cp:lastModifiedBy>
  <cp:revision>1</cp:revision>
  <dcterms:modified xsi:type="dcterms:W3CDTF">2026-09-07T02:35:09Z</dcterms:modified>
  <dc:subject>Completed full stack implementation and validation</dc:subject>
  <dc:creator>Group 14</dc:creator>
  <dc:description/>
</cp:coreProperties>
</file>