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商业地产行业研究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杭州解百集团股份有限公司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600814.SH  ·  联营百货 · 现金流与估值专题研究</w:t>
      </w:r>
    </w:p>
    <w:p>
      <w:pPr>
        <w:pBdr>
          <w:bottom w:val="single" w:color="2E75B6" w:sz="6" w:space="8"/>
        </w:pBd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2026.05.06  ·  个人投资研究备忘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核心结论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联营百货在财务端是"过路财神"，账面现金庞大但大量是代供应商保管的结算资金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真实可自由支配净现金约22-25亿，对应57亿市值仍有较高安全边际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业务端三年连续下滑（营收17亿→净利2.24亿，同比-9.3%），结构性压力来自电商分流和本地竞争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当前估值（7.7元）处于合理偏贵区间；真实买入催化剂需等待派息率实质性提升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框架启示：联营百货的FCF收益率因联营结算时间差被系统性高估，需结合应付账款周转天数修正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一、公司基本情况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股权与控制结构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杭州解百由杭州市商贸旅游集团有限公司控股（持股66.40%），后者由杭州市人民政府国有资产监督管理委员会持股90.44%，属于地方国资体系。这一股权结构决定了分红政策受国资监管导向影响，并非纯粹的市场化决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股票代码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600814.SH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上交所主板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控股股东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杭州商贸旅游集团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持股66.40%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实际控制人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杭州市国资委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持股90.44%（间接）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总股本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7.35亿股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截至2025.12.31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主营业务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商品零售·购物中心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联营为主+自营+租赁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主要门店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公司核心资产为两家主要门店：解百购物广场和杭州大厦购物城，均位于杭州市中心。两处门店均为租赁场地，无自有产权，使用权资产12.33亿元对应租赁负债10.58亿元。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商业模式：联营 + 自营 + 租赁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模式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联营（主）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自营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租赁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收入占比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53.96%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24.10%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约22%（含其他）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盈利来源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售价×扣点比例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进销差价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租金-物业成本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库存风险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供应商承担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公司承担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商户承担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现金流特征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全额收款→定期结算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直接确认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稳定月付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二、财务分析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近三年主要财务数据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2023年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2024年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2025年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营业收入（亿元）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20.27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17.53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17.00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YoY增速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-13.5%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-3.0%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归母净利润（亿元）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2.24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YoY增速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-5.0%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-9.3%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经营活动现金流（亿元）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7.52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7.71%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6.96%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6.08%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加权平均净资产（亿元）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34.76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36.41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37.37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基本每股收益（元）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0.31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趋势判断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营收和净利润三年连续下滑，下滑速度在2025年有所放缓（-3.0% vs 2023年-13.5%），但结构性压力未消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ROE从7.71%持续压缩至6.08%，低于合理资本成本（8-10%），净资产在积累但资本回报率在下降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经营现金流波动较大（2023年12.78亿→2024年6.88亿→2025年7.52亿），联营结算时间差导致年度间波动，单年数字参考价值有限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资产负债表关键项（2025年末）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项目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金额（亿元）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性质说明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货币资金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49.78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含代供应商保管的结算资金，非全部自由支配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交易性金融资产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短期理财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使用权资产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12.33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租赁门店场地的会计资本化，对应租赁负债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应付账款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7.84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欠供应商货款，联营模式的核心负债项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其他应付款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12.82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含供应商结算资金、押金等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租赁负债（流动+非流动）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12.86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使用权资产对应的租赁义务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短期借款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极低，基本无银行信贷依赖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归母净资产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37.37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三年持续增长，利润留存叠加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现金流动机制：联营模式的"过路财神"效应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现金流动路径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联营模式下，顾客支付的全额货款（100%）进入解百账户，但解百确认的营业收入仅为扣点部分（约25-30%）。剩余约70-75%暂时挂在应付账款和其他应付款，等待定期结算给供应商。这造成解百账面现金远大于其真实经营盈利能力的结构性特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现金流向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金额示例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会计处理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顾客付款（全额）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现金流入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进入银行账户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解百扣点收入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250元（25%）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确认营业收入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真正属于解百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应付供应商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750元（75%）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挂应付账款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待结算的"过路钱"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结算周期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约30-90天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现金流出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形成季节性波动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真实可支配净现金估算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账面货币资金49.78亿，表面上看极其充裕。但扣除运营性负债后，真实可自由支配的净现金约22-25亿：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项目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金额（亿元）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+货币资金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+49.78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账面现金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+交易性金融资产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+0.52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短期理财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-应付账款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-7.84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欠供应商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-其他应付款（主要部分）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~-10.00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供应商结算资金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-短期借款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-0.76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银行贷款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≈ 真实可支配净现金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~22-25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约为市值40%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Q1经营现金流暴跌83%的解释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2026年Q1经营现金流仅0.13亿，同比暴跌83.5%，但归母净利润还增长4.2%。原因在于联营结算的季节性节奏：Q3-Q4是销售旺季，大量现金流入；Q1则集中向供应商支付上季度货款，叠加税费集中缴纳，形成现金流出高峰。这是结构性的季节波动，不代表经营恶化。年度数字才具有参考意义。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三、三因子框架评估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指标计算（基于2025年年报）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因子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原始数值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修正说明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判断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FCF Yield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108%（筛选器）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联营过路资金虚增经营CF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⚠️ 严重失真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扣净现金PE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真实净现金约22亿，修正后约14倍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修正后合理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现金缺口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+3.8亿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自造血能力尚可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18"/>
                <w:szCs w:val="18"/>
              </w:rPr>
              <w:t xml:space="preserve">✅ 通过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派息率（修正）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~59%（归母）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原始字段含少数股东分红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中等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框架局限性：联营百货的FCF失真问题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联营模式下，经营现金流 = 全额货款收入 - 结算支出，天然虚高于真实盈利能力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资本开支极低（无需建设存货、装修按摊销处理），FCF = 经营CF - 资本开支 异常高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FCF Yield = FCF / EV，108%的数字是系统性失真，不是真实的投资回报率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修正方向：应用应付账款周转天数剔除联营结算资金，或直接用扣点收入/市值作为真实收益率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真实FCF收益率估算：扣点收入（约4.5亿）/ EV（约35亿）≈ 13%，仍算合理但不算极度低估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四、估值判断（当前股价7.7元）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多维估值对比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估值方法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参数假设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对应目标价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相对当前溢折价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经营业务PE法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净利2.24亿 × 10倍PE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22.4亿业务价值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+净现金（保守）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账面净现金约25亿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+25亿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总计47.4亿≈6.5元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股息率法（维持40%）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DPS 0.125元 / 股息率4%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3.1元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当前价大幅高于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股息率法（提升至80%）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DPS 0.25元 / 股息率3.5%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7.1元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接近当前价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PB法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净资产37.4亿 / 7.35亿股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5.1元（PB=1.0）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当前PB≈1.5倍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核心矛盾：净现金大但ROE低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解百净资产37亿里约有20亿是趴着不动的超额现金。如果把这20亿还给股东，剩余净资产约17亿，同样的2.24亿净利润对应ROE约13%——经营业务本身不差。但现实是现金留在账上，持续拉低整体ROE，形成价值漏损。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这正是新引入的第四因子（股东回报率/派息率）试图捕捉的：赚了钱不用、不分，本身就是损失。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催化剂与风险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✅ 正面催化剂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⚠️ 主要风险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国资委推进提高分红比例政策落地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百货业态长期结构性萎缩（电商+新零售替代）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派息率从40%提升至60-80%，股息率升至2.5-4%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杭州购物中心竞争激烈（银泰、万象城、龙湖天街）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净现金保护垫，极低破产风险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净利润继续下滑（三年连续负增长）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国资背景，信用风险接近于零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分红决策受国资政策约束，不确定性高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2026Q1营收同比+3.8%，短期有改善迹象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FCF指标因联营模式被系统性虚高，框架判断失真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五、框架修正建议</w:t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联营百货的FCF修正方法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对联营百货、大型商超类公司，建议在FCF计算时加入"应付账款变动修正"，剔除联营结算时间差带来的虚增现金流：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修正经营CF = 原经营CF + 应付账款本期增量（正值代表延迟支付供应商，虚增现金流）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或直接用"扣点净收入 = 营业收入"替代全额货款来估算真实现金流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观察应付账款周转天数：若周转天数异常拉长，说明现金流有虚高成分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第四因子：股东回报率的意义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解百案例验证了引入派息率作为第四因子的必要性。当一家公司持续积累超额现金但不分配时，ROE被系统性压低，而FCF看起来很高——两个指标都在误导判断。派息率因子的作用是：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惩罚"囤钱不分"的公司，推动候选池向真实回报股东的公司倾斜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配合扣净现金PE，识别"现金囤积型低估"（格力）和"结算资金型虚高"（解百）的本质差异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格力派息率62.7%、净现金真实可用571亿，是更好的现金管理范本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研究结论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解百不是理想的投资标的：业务萎缩+低分红+FCF失真，三个维度都对框架适用性提出质疑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但它是极好的框架修正案例：揭示了联营百货在筛选器中的系统性高估问题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真实买入价格应在6元以下（PB≈1.0或股息率≈3%），当前7.7元性价比不足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最重要的启示：任何量化框架都需要理解底层商业模式，数字背后的现金流质量比数字本身更重要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本报告为个人投资研究备忘，不构成任何投资建议 · 数据来源：杭州解百2025年年报摘要、2026年Q1报告 · 研究日期：2026.05.06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2026-05-06T05:39:45.233Z</dcterms:created>
  <dcterms:modified xsi:type="dcterms:W3CDTF">2026-05-06T05:39:45.233Z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