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0" w:after="40" w:beforeAutospacing="0" w:afterAutospacing="0"/>
        <w:jc w:val="left"/>
      </w:pPr>
    </w:p>
    <w:p>
      <w:pPr>
        <w:spacing w:before="0" w:after="40" w:beforeAutospacing="0" w:afterAutospacing="0"/>
        <w:jc w:val="left"/>
      </w:pPr>
    </w:p>
    <w:p>
      <w:pPr>
        <w:spacing w:before="0" w:after="40" w:beforeAutospacing="0" w:afterAutospacing="0"/>
        <w:jc w:val="left"/>
      </w:pPr>
    </w:p>
    <w:p>
      <w:pPr>
        <w:spacing w:before="0" w:after="40" w:beforeAutospacing="0" w:afterAutospacing="0"/>
        <w:jc w:val="left"/>
      </w:pPr>
    </w:p>
    <w:p>
      <w:pPr>
        <w:spacing w:before="0" w:after="40" w:beforeAutospacing="0" w:afterAutospacing="0"/>
        <w:jc w:val="left"/>
      </w:pPr>
    </w:p>
    <w:p>
      <w:pPr>
        <w:spacing w:before="0" w:after="40" w:beforeAutospacing="0" w:afterAutospacing="0"/>
        <w:jc w:val="left"/>
      </w:pPr>
    </w:p>
    <w:p>
      <w:pPr>
        <w:spacing w:after="100" w:beforeAutospacing="0" w:afterAutospacing="0"/>
        <w:jc w:val="center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52"/>
          <w:szCs w:val="52"/>
        </w:rPr>
        <w:t>EXPENSE TRACKER</w:t>
      </w:r>
    </w:p>
    <w:p>
      <w:pPr>
        <w:spacing w:after="200" w:beforeAutospacing="0" w:afterAutospacing="0"/>
        <w:jc w:val="center"/>
      </w:pPr>
      <w:r>
        <w:rPr>
          <w:rFonts w:ascii="Calibri" w:hAnsi="Calibri" w:cs="Calibri" w:eastAsia="Calibri"/>
          <w:b w:val="0"/>
          <w:i w:val="1"/>
          <w:bCs w:val="0"/>
          <w:iCs w:val="1"/>
          <w:color w:val="2D7DD2"/>
          <w:sz w:val="28"/>
          <w:szCs w:val="28"/>
        </w:rPr>
        <w:t>API Integration Guide for Frontend Developers</w:t>
      </w:r>
    </w:p>
    <w:p>
      <w:pPr>
        <w:spacing w:after="120" w:beforeAutospacing="0" w:afterAutospacing="0"/>
        <w:jc w:val="center"/>
      </w:pPr>
      <w:r>
        <w:rPr>
          <w:rFonts w:ascii="Calibri" w:hAnsi="Calibri" w:cs="Calibri" w:eastAsia="Calibri"/>
          <w:b w:val="0"/>
          <w:i w:val="0"/>
          <w:bCs w:val="0"/>
          <w:iCs w:val="0"/>
          <w:color w:val="777777"/>
          <w:sz w:val="20"/>
          <w:szCs w:val="20"/>
        </w:rPr>
        <w:t xml:space="preserve">Version 1.0  ·  September 2026</w:t>
      </w:r>
    </w:p>
    <w:p>
      <w:pPr>
        <w:pBdr>
          <w:top w:val="none" w:sz="0" w:space="0" w:shadow="0" w:frame="0" w:color="auto"/>
          <w:left w:val="none" w:sz="0" w:space="0" w:shadow="0" w:frame="0" w:color="auto"/>
          <w:bottom w:val="single" w:sz="12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after="400" w:beforeAutospacing="0" w:afterAutospacing="0"/>
      </w:pP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Overview</w:t>
      </w:r>
    </w:p>
    <w:p>
      <w:pPr>
        <w:spacing w:before="0" w:after="12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This document describes every REST API endpoint exposed by the Expense Tracker backend. It is intended for frontend developers integrating with this service. All protected endpoints require a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Bearer &lt;JWT&gt;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token in the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Authorization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HTTP header.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Base URL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http://</w:t>
            </w: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  <w:rtl w:val="0"/>
                <w:lang w:val="en-US" w:bidi="en-US" w:eastAsia="en-US"/>
              </w:rPr>
              <w:t>localhost:8080/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Auth Scheme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Bearer JWT (obtained from /login)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Content-Type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application/json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 Format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ISO 8601 — 2026-09-04 / 2026-09-04T10:30:00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Decimal Format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Dot-separated (e.g. 10000.00)</w:t>
            </w:r>
          </w:p>
        </w:tc>
      </w:tr>
    </w:tbl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1. Authentication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/pjsofttech_welcome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No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80"/>
        <w:gridCol w:w="3840"/>
        <w:gridCol w:w="5160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/pjsofttech_welcome/health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Health check — returns "Healthy"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/pjsofttech_welcome/register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Register a new user account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/pjsofttech_welcome/login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Login and receive JWT token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POST /pjsofttech_welcome/register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800"/>
        <w:gridCol w:w="1400"/>
        <w:gridCol w:w="1000"/>
        <w:gridCol w:w="4200"/>
      </w:tblGrid>
      <w:tr>
        <w:trPr>
          <w:tblHeader/>
        </w:trPr>
        <w:tc>
          <w:tcPr>
            <w:tcW w:w="1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Validation</w:t>
            </w:r>
          </w:p>
        </w:tc>
      </w:tr>
      <w:tr>
        <w:tc>
          <w:tcPr>
            <w:tcW w:w="1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Required</w:t>
            </w:r>
          </w:p>
        </w:tc>
      </w:tr>
      <w:tr>
        <w:tc>
          <w:tcPr>
            <w:tcW w:w="1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phoneNumber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Exactly 10 digits</w:t>
            </w:r>
          </w:p>
        </w:tc>
      </w:tr>
      <w:tr>
        <w:tc>
          <w:tcPr>
            <w:tcW w:w="1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Valid email format</w:t>
            </w:r>
          </w:p>
        </w:tc>
      </w:tr>
      <w:tr>
        <w:tc>
          <w:tcPr>
            <w:tcW w:w="1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password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Required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8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Response: user object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{ name, phoneNumber, email }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POST /pjsofttech_welcome/login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Send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{ email, password }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. Response is a raw JWT string — store it and send as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Authorization: Bearer &lt;token&gt;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on every subsequent request.</w:t>
      </w: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2. Banks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/pjsofttech/bank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80"/>
        <w:gridCol w:w="3840"/>
        <w:gridCol w:w="5160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/pjsofttech/bank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Add a bank account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/pjsofttech/bank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bank accounts for the logged-in user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/pjsofttech/bank/{id}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a bank account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Request Fields — Add Bank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800"/>
        <w:gridCol w:w="1400"/>
        <w:gridCol w:w="900"/>
        <w:gridCol w:w="4300"/>
      </w:tblGrid>
      <w:tr>
        <w:trPr>
          <w:tblHeader/>
        </w:trPr>
        <w:tc>
          <w:tcPr>
            <w:tcW w:w="1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1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9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name (e.g. HDFC Bank)</w:t>
            </w:r>
          </w:p>
        </w:tc>
      </w:tr>
      <w:tr>
        <w:tc>
          <w:tcPr>
            <w:tcW w:w="1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branch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9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Branch name</w:t>
            </w:r>
          </w:p>
        </w:tc>
      </w:tr>
      <w:tr>
        <w:tc>
          <w:tcPr>
            <w:tcW w:w="1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accountNumber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9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 number</w:t>
            </w:r>
          </w:p>
        </w:tc>
      </w:tr>
      <w:tr>
        <w:tc>
          <w:tcPr>
            <w:tcW w:w="1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ifsc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9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IFSC code</w:t>
            </w:r>
          </w:p>
        </w:tc>
      </w:tr>
      <w:tr>
        <w:tc>
          <w:tcPr>
            <w:tcW w:w="1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accountType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9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SAVINGS, CURRENT, etc.</w:t>
            </w:r>
          </w:p>
        </w:tc>
      </w:tr>
      <w:tr>
        <w:tc>
          <w:tcPr>
            <w:tcW w:w="1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openingBalance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9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Opening balance (≥ 0)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Response Fields — BankResponseDto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600"/>
        <w:gridCol w:w="48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ID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name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branch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Branch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accountNumber</w:t>
            </w:r>
          </w:p>
        </w:tc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 number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ifsc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IFSC code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accountType</w:t>
            </w:r>
          </w:p>
        </w:tc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Account type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openingBalance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Balance at creation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currentBalance</w:t>
            </w:r>
          </w:p>
        </w:tc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Live running balance — auto-updated by all transactions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egoe UI Emoji" w:cs="Calibri" w:eastAsia="Calibri"/>
          <w:b w:val="1"/>
          <w:i w:val="0"/>
          <w:bCs w:val="1"/>
          <w:iCs w:val="0"/>
          <w:color w:val="E67E22"/>
          <w:sz w:val="20"/>
          <w:szCs w:val="20"/>
        </w:rPr>
        <w:t>⚠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E67E2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6D3A00"/>
          <w:sz w:val="18"/>
          <w:szCs w:val="18"/>
        </w:rPr>
        <w:t>currentBalance is maintained automatically. Do NOT compute it on the frontend — always read it from this field.</w:t>
      </w: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3. Categories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/pjsofttech/category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80"/>
        <w:gridCol w:w="3840"/>
        <w:gridCol w:w="5160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/pjsofttech/category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 new expense category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/pjsofttech/category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categories for the logged-in user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/pjsofttech/category/{id}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a category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8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Request body: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{ "name": "Utilities" }</w:t>
      </w:r>
    </w:p>
    <w:p>
      <w:pPr>
        <w:spacing w:before="0" w:after="8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Response: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{ id, name }</w:t>
      </w: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4. Contacts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/pjsofttech/user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Contacts represent vendors, lenders, clients, or any party referenced in transactions. Each contact is scoped to the logged-in user.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80"/>
        <w:gridCol w:w="3840"/>
        <w:gridCol w:w="5160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/pjsofttech/user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 new contact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/pjsofttech/user/users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active contacts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/pjsofttech/user/{id}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a contact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/pjsofttech/user/{id}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Soft-delete a contact (marks inactive)</w:t>
            </w:r>
          </w:p>
        </w:tc>
      </w:tr>
    </w:tbl>
    <w:p>
      <w:pPr>
        <w:spacing w:before="0" w:after="40" w:beforeAutospacing="0" w:afterAutospacing="0"/>
        <w:jc w:val="left"/>
      </w:pP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600"/>
        <w:gridCol w:w="48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Contact full name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phoneNumber</w:t>
            </w:r>
          </w:p>
        </w:tc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Phone number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email</w:t>
            </w:r>
          </w:p>
        </w:tc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Email address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ans Serif Collection" w:cs="Calibri" w:eastAsia="Calibri"/>
          <w:b w:val="1"/>
          <w:i w:val="0"/>
          <w:bCs w:val="1"/>
          <w:iCs w:val="0"/>
          <w:color w:val="2D7DD2"/>
          <w:sz w:val="20"/>
          <w:szCs w:val="20"/>
        </w:rPr>
        <w:t>ℹ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555555"/>
          <w:sz w:val="18"/>
          <w:szCs w:val="18"/>
        </w:rPr>
        <w:t>Deleting a contact is a soft delete — the contact is marked inactive and hidden from listings, but all historical expenses referencing it are preserved.</w:t>
      </w: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5. Expenses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/pjsofttech/expense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917"/>
        <w:gridCol w:w="4779"/>
        <w:gridCol w:w="4384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an expense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/pjsofttech/expense/expenses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expenses for the user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 single expense by ID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/pjsofttech/expense/{id}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an expense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/pjsofttech/expense/{expenseId}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an expense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/pjsofttech/expense/installment/{id}/payment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Record an installment payment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/pjsofttech/expense/by-category/{id}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category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/pjsofttech/expense/by-contact/{id}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contact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/pjsofttech/expense/by-payment-type?type=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payment type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/pjsofttech/expense/by-payment-method?method=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payment method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/pjsofttech/expense/by-type?type=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transaction type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/pjsofttech/expense/by-date?date=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Filter by date (YYYY-MM-DD)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5.1 Create Expense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Request Fields — ExpenseRequestDto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400"/>
        <w:gridCol w:w="1300"/>
        <w:gridCol w:w="37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contactId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 of an existing contact (must belong to user)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categoryId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 of an existing category (must belong to user)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Conditional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Required when paymentMethod = BANK_TRANSFER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EXPENSE or INCOME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Transaction date-time (ISO 8601)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particular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 / narration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Base amount &gt; 0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gstPercentage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0–100. Defaults to 0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gstNumber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 registration number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tdsPercentage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0–100. Defaults to 0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paymentType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ONE_TIME or INSTALLMENT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CASH, BANK_TRANSFER, UPI, CHEQUE, CARD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free-text note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numberOfInstallments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 INSTALLMENT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Number of planned installments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installments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Array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 INSTALLMENT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Schedule — see below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1"/>
          <w:i w:val="0"/>
          <w:bCs w:val="1"/>
          <w:iCs w:val="0"/>
          <w:color w:val="000000"/>
          <w:sz w:val="20"/>
          <w:szCs w:val="20"/>
        </w:rPr>
        <w:t xml:space="preserve">Server-side total calculation: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total = amount + (amount × gstPercentage / 100) − (amount × tdsPercentage / 100)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Installment Schedule Item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400"/>
        <w:gridCol w:w="1000"/>
        <w:gridCol w:w="38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Rule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installmentNumber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Sequential from 1; must match position in array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dueAmount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 due for this installment (&gt; 0)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Must be strictly after the previous installment date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egoe UI Emoji" w:cs="Calibri" w:eastAsia="Calibri"/>
          <w:b w:val="1"/>
          <w:i w:val="0"/>
          <w:bCs w:val="1"/>
          <w:iCs w:val="0"/>
          <w:color w:val="E67E22"/>
          <w:sz w:val="20"/>
          <w:szCs w:val="20"/>
        </w:rPr>
        <w:t>⚠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E67E2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6D3A00"/>
          <w:sz w:val="18"/>
          <w:szCs w:val="18"/>
        </w:rPr>
        <w:t>Sum of all dueAmount values must exactly equal the computed total. Due dates must be strictly ascending.</w:t>
      </w: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5.2 Expense Response Fields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500"/>
        <w:gridCol w:w="47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Expense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index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Sequential display index in list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Transaction date-time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EXPENSE / INCOME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sourceType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MANUAL, ASSET_PURCHASE, LIABILITY_PAYMENT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particular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Note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contact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Object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{ id, name, email, phoneNumber }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category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Object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{ id, name } — may be null for asset purchases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used (if applicable)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Base amount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gstPercentage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 percentage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Computed GST amount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gstNumberStr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GST registration number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tdsPercentage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TDS percentage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tdsAmount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Computed TDS amount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Final amount (amount + GST − TDS)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 paid so far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pending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 − paid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paymentType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ONE_TIME / INSTALLMENT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method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paymentStatus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PENDING, PARTIAL, COMPLETE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numberOfInstallments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Count (INSTALLMENT only)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installments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Array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 details (INSTALLMENT only)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Installment Item in Response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500"/>
        <w:gridCol w:w="47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 ID — use this for the payment endpoint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installmentNumber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Sequence number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Planned due amount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paidAmount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 paid so far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pendingAmount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Remaining unpaid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dueDate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 date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PENDING, PARTIAL, PAID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payments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Array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Individual payment records { id, amount, paymentDate, remark }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5.3 Record Installment Payment</w:t>
      </w:r>
    </w:p>
    <w:p>
      <w:pPr>
        <w:spacing w:before="0" w:after="80" w:beforeAutospacing="0" w:afterAutospacing="0"/>
        <w:jc w:val="left"/>
      </w:pPr>
      <w:r>
        <w:rPr>
          <w:rFonts w:ascii="Courier New" w:hAnsi="Courier New" w:cs="Courier New" w:eastAsia="Courier New"/>
          <w:color w:val="1E3A5F"/>
          <w:sz w:val="18"/>
          <w:szCs w:val="18"/>
        </w:rPr>
        <w:t>POST /pjsofttech/expense/installment/{installmentId}/payment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Use the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installments[].id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from the expense response as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{installmentId}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.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600"/>
        <w:gridCol w:w="1400"/>
        <w:gridCol w:w="1000"/>
        <w:gridCol w:w="4400"/>
      </w:tblGrid>
      <w:tr>
        <w:trPr>
          <w:tblHeader/>
        </w:trPr>
        <w:tc>
          <w:tcPr>
            <w:tcW w:w="1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4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Rule</w:t>
            </w:r>
          </w:p>
        </w:tc>
      </w:tr>
      <w:tr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Must not exceed the installment's pendingAmount</w:t>
            </w:r>
          </w:p>
        </w:tc>
      </w:tr>
      <w:tr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4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date</w:t>
            </w:r>
          </w:p>
        </w:tc>
      </w:tr>
      <w:tr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note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ans Serif Collection" w:cs="Calibri" w:eastAsia="Calibri"/>
          <w:b w:val="1"/>
          <w:i w:val="0"/>
          <w:bCs w:val="1"/>
          <w:iCs w:val="0"/>
          <w:color w:val="2D7DD2"/>
          <w:sz w:val="20"/>
          <w:szCs w:val="20"/>
        </w:rPr>
        <w:t>ℹ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555555"/>
          <w:sz w:val="18"/>
          <w:szCs w:val="18"/>
        </w:rPr>
        <w:t>Bank balance is debited only at the time of each payment recording — not when the installment expense is first created.</w:t>
      </w: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5.4 Delete Expense Rules</w:t>
      </w:r>
    </w:p>
    <w:p>
      <w:pPr>
        <w:spacing w:before="0" w:after="100" w:beforeAutospacing="0" w:afterAutospacing="0"/>
        <w:jc w:val="left"/>
      </w:pPr>
      <w:r>
        <w:rPr>
          <w:rFonts w:ascii="Calibri" w:hAnsi="Segoe UI Emoji" w:cs="Calibri" w:eastAsia="Calibri"/>
          <w:b w:val="1"/>
          <w:i w:val="0"/>
          <w:bCs w:val="1"/>
          <w:iCs w:val="0"/>
          <w:color w:val="E67E22"/>
          <w:sz w:val="20"/>
          <w:szCs w:val="20"/>
        </w:rPr>
        <w:t>⚠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E67E2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6D3A00"/>
          <w:sz w:val="18"/>
          <w:szCs w:val="18"/>
        </w:rPr>
        <w:t>Expenses with sourceType = ASSET_PURCHASE or LIABILITY_PAYMENT cannot be deleted from the expense list. Delete the parent asset or liability instead. Hide the delete button for these on the frontend.</w:t>
      </w:r>
    </w:p>
    <w:p>
      <w:pPr>
        <w:spacing w:before="0" w:after="8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On delete, bank balance is reversed: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800"/>
        <w:gridCol w:w="5600"/>
      </w:tblGrid>
      <w:tr>
        <w:trPr>
          <w:tblHeader/>
        </w:trPr>
        <w:tc>
          <w:tcPr>
            <w:tcW w:w="2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Expense Type</w:t>
            </w:r>
          </w:p>
        </w:tc>
        <w:tc>
          <w:tcPr>
            <w:tcW w:w="5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Bank Reversal</w:t>
            </w:r>
          </w:p>
        </w:tc>
      </w:tr>
      <w:tr>
        <w:tc>
          <w:tcPr>
            <w:tcW w:w="2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ONE_TIME</w:t>
            </w:r>
          </w:p>
        </w:tc>
        <w:tc>
          <w:tcPr>
            <w:tcW w:w="5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credited back by total amount</w:t>
            </w:r>
          </w:p>
        </w:tc>
      </w:tr>
      <w:tr>
        <w:tc>
          <w:tcPr>
            <w:tcW w:w="2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</w:t>
            </w:r>
          </w:p>
        </w:tc>
        <w:tc>
          <w:tcPr>
            <w:tcW w:w="5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credited back by sum of all payments actually recorded</w:t>
            </w:r>
          </w:p>
        </w:tc>
      </w:tr>
    </w:tbl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6. Assets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/api/assets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80"/>
        <w:gridCol w:w="3840"/>
        <w:gridCol w:w="5160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an asset + auto-generate purchase expense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assets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asset by ID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/api/assets/{id}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asset metadata only (no bank movement)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/api/assets/{id}/acquisition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acquisition details (reverses and reapplies bank)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/api/assets/{id}/valuation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current market value only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asset + linked expense + reverse bank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/api/assets/assets-category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an asset category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6.1 Create Asset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Request Fields — AssetRequestDto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400"/>
        <w:gridCol w:w="1300"/>
        <w:gridCol w:w="37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name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contactId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Vendor/seller contact ID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assetCategoryId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category ID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assetGroup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TANGIBLE, INTANGIBLE, FINANCIAL, CURRENT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type — must match the assetGroup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purchaseValue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 price &gt; 0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currentValue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 market value (defaults to purchaseValue)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 of purchase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CASH, BANK_TRANSFER, UPI, etc.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Conditional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Required when paymentMethod = BANK_TRANSFER and no liabilityId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Set if purchase was funded by an existing loan. Mutually exclusive with bankId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note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egoe UI Emoji" w:cs="Calibri" w:eastAsia="Calibri"/>
          <w:b w:val="1"/>
          <w:i w:val="0"/>
          <w:bCs w:val="1"/>
          <w:iCs w:val="0"/>
          <w:color w:val="E67E22"/>
          <w:sz w:val="20"/>
          <w:szCs w:val="20"/>
        </w:rPr>
        <w:t>⚠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E67E2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6D3A00"/>
          <w:sz w:val="18"/>
          <w:szCs w:val="18"/>
        </w:rPr>
        <w:t>assetGroup and type must be consistent. bankId and liabilityId are mutually exclusive. Providing both returns an error.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What Happens on Asset Creation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600"/>
        <w:gridCol w:w="7800"/>
      </w:tblGrid>
      <w:tr>
        <w:trPr>
          <w:tblHeader/>
        </w:trPr>
        <w:tc>
          <w:tcPr>
            <w:tcW w:w="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7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Action</w:t>
            </w:r>
          </w:p>
        </w:tc>
      </w:tr>
      <w:tr>
        <w:tc>
          <w:tcPr>
            <w:tcW w:w="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7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record is created</w:t>
            </w:r>
          </w:p>
        </w:tc>
      </w:tr>
      <w:tr>
        <w:tc>
          <w:tcPr>
            <w:tcW w:w="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2</w:t>
            </w:r>
          </w:p>
        </w:tc>
        <w:tc>
          <w:tcPr>
            <w:tcW w:w="7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AssetAcquisition record is created</w:t>
            </w:r>
          </w:p>
        </w:tc>
      </w:tr>
      <w:tr>
        <w:tc>
          <w:tcPr>
            <w:tcW w:w="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3</w:t>
            </w:r>
          </w:p>
        </w:tc>
        <w:tc>
          <w:tcPr>
            <w:tcW w:w="7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An Expense (sourceType = ASSET_PURCHASE) is auto-generated and appears in the expense list</w:t>
            </w:r>
          </w:p>
        </w:tc>
      </w:tr>
      <w:tr>
        <w:tc>
          <w:tcPr>
            <w:tcW w:w="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4</w:t>
            </w:r>
          </w:p>
        </w:tc>
        <w:tc>
          <w:tcPr>
            <w:tcW w:w="7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balance is debited by purchaseValue (bank-funded purchases only)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6.2 Asset Response Fields — AssetResponseDto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500"/>
        <w:gridCol w:w="47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name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assetGroup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group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type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contactId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Vendor contact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assetCategoryId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Category ID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purchaseValue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Original purchase price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currentValue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 market value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purchaseDate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 date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How it was paid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used (if applicable)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bankName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name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Linked loan ID (if loan-funded)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liabilityName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Loan name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createdAt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Record creation timestamp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updatedAt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Last update timestamp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6.3 Update Endpoints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400"/>
        <w:gridCol w:w="4600"/>
        <w:gridCol w:w="1400"/>
      </w:tblGrid>
      <w:tr>
        <w:trPr>
          <w:tblHeader/>
        </w:trPr>
        <w:tc>
          <w:tcPr>
            <w:tcW w:w="2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Updates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Bank Movement?</w:t>
            </w:r>
          </w:p>
        </w:tc>
      </w:tr>
      <w:tr>
        <w:tc>
          <w:tcPr>
            <w:tcW w:w="2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PUT /api/assets/{id}</w:t>
            </w:r>
          </w:p>
        </w:tc>
        <w:tc>
          <w:tcPr>
            <w:tcW w:w="4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name, type, group, description, category, contact, purchaseDate, purchaseValue label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None</w:t>
            </w:r>
          </w:p>
        </w:tc>
      </w:tr>
      <w:tr>
        <w:tc>
          <w:tcPr>
            <w:tcW w:w="2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PUT /api/assets/{id}/acquisition</w:t>
            </w:r>
          </w:p>
        </w:tc>
        <w:tc>
          <w:tcPr>
            <w:tcW w:w="4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bank, paymentMethod, amount, date — keeps expense in sync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Reverses old, applies new</w:t>
            </w:r>
          </w:p>
        </w:tc>
      </w:tr>
      <w:tr>
        <w:tc>
          <w:tcPr>
            <w:tcW w:w="2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PUT /api/assets/{id}/valuation</w:t>
            </w:r>
          </w:p>
        </w:tc>
        <w:tc>
          <w:tcPr>
            <w:tcW w:w="4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currentValue only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None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ans Serif Collection" w:cs="Calibri" w:eastAsia="Calibri"/>
          <w:b w:val="1"/>
          <w:i w:val="0"/>
          <w:bCs w:val="1"/>
          <w:iCs w:val="0"/>
          <w:color w:val="2D7DD2"/>
          <w:sz w:val="20"/>
          <w:szCs w:val="20"/>
        </w:rPr>
        <w:t>ℹ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555555"/>
          <w:sz w:val="18"/>
          <w:szCs w:val="18"/>
        </w:rPr>
        <w:t>Changing the liability link on an acquisition is not allowed. Delete and recreate the asset instead.</w:t>
      </w:r>
    </w:p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7. Liabilities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Base path: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/api/liabilities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 ·  </w:t>
      </w:r>
      <w:r>
        <w:rPr>
          <w:rFonts w:ascii="Calibri" w:hAnsi="Segoe UI Emoji" w:cs="Calibri" w:eastAsia="Calibri"/>
          <w:b w:val="0"/>
          <w:i w:val="0"/>
          <w:bCs w:val="0"/>
          <w:iCs w:val="0"/>
          <w:color w:val="000000"/>
          <w:sz w:val="20"/>
          <w:szCs w:val="20"/>
        </w:rPr>
        <w:t>🔒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 JWT required</w:t>
      </w:r>
    </w:p>
    <w:tbl>
      <w:tblPr>
        <w:tblW w:w="1008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72"/>
        <w:gridCol w:w="3884"/>
        <w:gridCol w:w="5124"/>
      </w:tblGrid>
      <w:tr>
        <w:trPr>
          <w:tblHeader/>
        </w:trPr>
        <w:tc>
          <w:tcPr>
            <w:tcW w:w="9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 a liability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all liabilities</w:t>
            </w:r>
          </w:p>
        </w:tc>
      </w:tr>
      <w:tr>
        <w:tc>
          <w:tcPr>
            <w:tcW w:w="900" w:type="dxa"/>
            <w:shd w:val="clear" w:color="27AE60" w:fill="27AE60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GET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Get liability by ID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/api/liabilities/{id}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 liability</w:t>
            </w:r>
          </w:p>
        </w:tc>
      </w:tr>
      <w:tr>
        <w:tc>
          <w:tcPr>
            <w:tcW w:w="900" w:type="dxa"/>
            <w:shd w:val="clear" w:color="2D7DD2" w:fill="2D7DD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POST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/api/liabilities/{id}/payments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Record a payment</w:t>
            </w:r>
          </w:p>
        </w:tc>
      </w:tr>
      <w:tr>
        <w:tc>
          <w:tcPr>
            <w:tcW w:w="900" w:type="dxa"/>
            <w:shd w:val="clear" w:color="E67E22" w:fill="E67E2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PUT</w:t>
            </w:r>
          </w:p>
        </w:tc>
        <w:tc>
          <w:tcPr>
            <w:tcW w:w="3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/api/liabilities/{id}/cancel</w:t>
            </w:r>
          </w:p>
        </w:tc>
        <w:tc>
          <w:tcPr>
            <w:tcW w:w="4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Cancel a liability</w:t>
            </w:r>
          </w:p>
        </w:tc>
      </w:tr>
      <w:tr>
        <w:tc>
          <w:tcPr>
            <w:tcW w:w="900" w:type="dxa"/>
            <w:shd w:val="clear" w:color="E74C3C" w:fill="E74C3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  <w:jc w:val="center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6"/>
                <w:szCs w:val="16"/>
              </w:rPr>
              <w:t>DELETE</w:t>
            </w:r>
          </w:p>
        </w:tc>
        <w:tc>
          <w:tcPr>
            <w:tcW w:w="3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/api/liabilities/{id}</w:t>
            </w:r>
          </w:p>
        </w:tc>
        <w:tc>
          <w:tcPr>
            <w:tcW w:w="4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liability (only if no payments)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7.1 Create Liability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400"/>
        <w:gridCol w:w="1300"/>
        <w:gridCol w:w="37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3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 name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liabilityGroup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LOAN, BILL, FEE, CREDIT_CARD, OTHER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Must match the liabilityGroup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lenderContactId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 contact ID (required for loan interest recording)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originalAmount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Full liability principal &gt; 0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interestRate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Annual interest rate %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startDate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Start date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 / maturity date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depositBankId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3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to credit if loan proceeds were deposited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depositAmount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3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Amount deposited (≤ originalAmount; defaults to originalAmount if bank set)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ans Serif Collection" w:cs="Calibri" w:eastAsia="Calibri"/>
          <w:b w:val="1"/>
          <w:i w:val="0"/>
          <w:bCs w:val="1"/>
          <w:iCs w:val="0"/>
          <w:color w:val="2D7DD2"/>
          <w:sz w:val="20"/>
          <w:szCs w:val="20"/>
        </w:rPr>
        <w:t>ℹ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555555"/>
          <w:sz w:val="18"/>
          <w:szCs w:val="18"/>
        </w:rPr>
        <w:t>When depositBankId is set, the bank balance is credited by depositAmount at creation time — this models the loan proceeds arriving in your account.</w:t>
      </w: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7.2 Record Payment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 xml:space="preserve">Behavior differs by </w:t>
      </w:r>
      <w:r>
        <w:rPr>
          <w:rFonts w:ascii="Courier New" w:hAnsi="Courier New" w:cs="Courier New" w:eastAsia="Courier New"/>
          <w:color w:val="1E3A5F"/>
          <w:sz w:val="18"/>
          <w:szCs w:val="18"/>
        </w:rPr>
        <w:t>liabilityGroup</w:t>
      </w: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: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For LOAN group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400"/>
        <w:gridCol w:w="1500"/>
        <w:gridCol w:w="35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date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principalComponent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Portion reducing the outstanding loan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interestComponent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 portion (auto-creates an Expense if &gt; 0)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CASH, BANK_TRANSFER, etc.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 BANK_TRANSFER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to debit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interestCategoryId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 interest &gt; 0</w:t>
            </w:r>
          </w:p>
        </w:tc>
        <w:tc>
          <w:tcPr>
            <w:tcW w:w="3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Category for the auto-created interest expense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note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For BILL / FEE / CREDIT_CARD / OTHER groups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000"/>
        <w:gridCol w:w="1400"/>
        <w:gridCol w:w="1500"/>
        <w:gridCol w:w="3500"/>
      </w:tblGrid>
      <w:tr>
        <w:trPr>
          <w:tblHeader/>
        </w:trPr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date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paymentAmount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 amount being paid (&gt; 0, ≤ outstandingAmount)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Segoe UI Emoj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✅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CASH, BANK_TRANSFER, etc.</w:t>
            </w:r>
          </w:p>
        </w:tc>
      </w:tr>
      <w:tr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If BANK_TRANSFER</w:t>
            </w:r>
          </w:p>
        </w:tc>
        <w:tc>
          <w:tcPr>
            <w:tcW w:w="3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to debit</w:t>
            </w:r>
          </w:p>
        </w:tc>
      </w:tr>
      <w:tr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3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Optional note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spacing w:before="0" w:after="100" w:beforeAutospacing="0" w:afterAutospacing="0"/>
        <w:jc w:val="left"/>
      </w:pPr>
      <w:r>
        <w:rPr>
          <w:rFonts w:ascii="Calibri" w:hAnsi="Segoe UI Emoji" w:cs="Calibri" w:eastAsia="Calibri"/>
          <w:b w:val="1"/>
          <w:i w:val="0"/>
          <w:bCs w:val="1"/>
          <w:iCs w:val="0"/>
          <w:color w:val="E67E22"/>
          <w:sz w:val="20"/>
          <w:szCs w:val="20"/>
        </w:rPr>
        <w:t>⚠</w:t>
      </w:r>
      <w:r>
        <w:rPr>
          <w:rFonts w:ascii="Calibri" w:hAnsi="Calibri" w:cs="Calibri" w:eastAsia="Calibri"/>
          <w:b w:val="1"/>
          <w:i w:val="0"/>
          <w:bCs w:val="1"/>
          <w:iCs w:val="0"/>
          <w:color w:val="E67E22"/>
          <w:sz w:val="20"/>
          <w:szCs w:val="20"/>
        </w:rPr>
        <w:t xml:space="preserve">  </w:t>
      </w:r>
      <w:r>
        <w:rPr>
          <w:rFonts w:ascii="Calibri" w:hAnsi="Calibri" w:cs="Calibri" w:eastAsia="Calibri"/>
          <w:b w:val="0"/>
          <w:i w:val="1"/>
          <w:bCs w:val="0"/>
          <w:iCs w:val="1"/>
          <w:color w:val="6D3A00"/>
          <w:sz w:val="18"/>
          <w:szCs w:val="18"/>
        </w:rPr>
        <w:t>For LOAN payments: principalComponent must not exceed outstandingAmount. Interest component is an expense (cash leaving the account) but does not reduce the outstanding principal.</w:t>
      </w: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7.3 Liability Response Fields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500"/>
        <w:gridCol w:w="47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liabilityGroup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Group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Type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lenderContactId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 contact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lenderName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Lender name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originalAmount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Initial principal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outstandingAmount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Remaining unpaid principal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totalPrincipalPaid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Sum of all principal payments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totalInterestPaid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Sum of all interest payments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interestRate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Annual interest rate %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startDate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Start date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dueDate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Due date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 bank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bankName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 bank name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ACTIVE, PAID_OFF, CANCELLED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payments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Array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All payment records (see below)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createdAt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Created timestamp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updatedAt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Updated timestamp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Payment Item in Response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1500"/>
        <w:gridCol w:w="47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5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47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paymentDate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LocalDate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Date of payment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principalComponent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Principal portion paid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interestComponent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 portion paid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totalAmount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BigDecimal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 cash paid (principal + interest)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paymentMethod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Method used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bankId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debited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interestExpenseId</w:t>
            </w:r>
          </w:p>
        </w:tc>
        <w:tc>
          <w:tcPr>
            <w:tcW w:w="15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Long</w:t>
            </w:r>
          </w:p>
        </w:tc>
        <w:tc>
          <w:tcPr>
            <w:tcW w:w="47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Linked interest expense ID (if any — null for non-LOAN groups)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remark</w:t>
            </w:r>
          </w:p>
        </w:tc>
        <w:tc>
          <w:tcPr>
            <w:tcW w:w="15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String</w:t>
            </w:r>
          </w:p>
        </w:tc>
        <w:tc>
          <w:tcPr>
            <w:tcW w:w="47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7.4 Update &amp; Delete Rules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400"/>
        <w:gridCol w:w="4200"/>
        <w:gridCol w:w="2800"/>
      </w:tblGrid>
      <w:tr>
        <w:trPr>
          <w:tblHeader/>
        </w:trPr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Operation</w:t>
            </w:r>
          </w:p>
        </w:tc>
        <w:tc>
          <w:tcPr>
            <w:tcW w:w="4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Always Editable</w:t>
            </w:r>
          </w:p>
        </w:tc>
        <w:tc>
          <w:tcPr>
            <w:tcW w:w="2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Blocked if Payments Exist</w:t>
            </w:r>
          </w:p>
        </w:tc>
      </w:tr>
      <w:tr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</w:t>
            </w:r>
          </w:p>
        </w:tc>
        <w:tc>
          <w:tcPr>
            <w:tcW w:w="4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name, description, dueDate, liabilityGroup, type, interestRate, lenderContactId</w:t>
            </w:r>
          </w:p>
        </w:tc>
        <w:tc>
          <w:tcPr>
            <w:tcW w:w="2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originalAmount, startDate</w:t>
            </w:r>
          </w:p>
        </w:tc>
      </w:tr>
      <w:tr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4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2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Cannot delete if any payments exist; use Cancel instead</w:t>
            </w:r>
          </w:p>
        </w:tc>
      </w:tr>
      <w:tr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Cancel</w:t>
            </w:r>
          </w:p>
        </w:tc>
        <w:tc>
          <w:tcPr>
            <w:tcW w:w="4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Sets status to CANCELLED</w:t>
            </w:r>
          </w:p>
        </w:tc>
        <w:tc>
          <w:tcPr>
            <w:tcW w:w="2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Cannot cancel a PAID_OFF liability</w:t>
            </w:r>
          </w:p>
        </w:tc>
      </w:tr>
    </w:tbl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8. Enums Reference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PaymentMethod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CASH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Cash payment — no bank required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BANK_TRANSFER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transfer — bankId required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UPI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UPI payment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CHEQUE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Cheque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CARD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Debit / Credit card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PaymentType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ONE_TIME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Single full payment at once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INSTALLMENT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Split into multiple future due amounts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PaymentStatus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PENDING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Nothing has been paid yet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PARTIAL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Some amount paid but not all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COMPLETE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Fully paid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TransactionType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EXPENSE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Money going out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INCOME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Money coming in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ExpenseSourceType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Frontend Behaviour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MANUAL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User-created expense — show edit / delete buttons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ASSET_PURCHASE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Auto-created when an asset is added — show as read-only; hide edit/delete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LIABILITY_PAYMENT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Auto-created for loan interest payments — show as read-only; hide edit/delete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LiabilityGroup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LOAN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loan, personal loan, home loan, etc.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BILL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Utility bills, invoices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FEE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Fees and service charges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CREDIT_CARD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 card outstanding balance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OTHER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Miscellaneous liability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LiabilityStatus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ACTIVE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Ongoing — payments can be recorded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PAID_OFF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Fully repaid (outstandingAmount = 0) — cannot record more payments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CANCELLED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Cancelled by user — cannot record payments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AssetGroup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200"/>
        <w:gridCol w:w="6200"/>
      </w:tblGrid>
      <w:tr>
        <w:trPr>
          <w:tblHeader/>
        </w:trPr>
        <w:tc>
          <w:tcPr>
            <w:tcW w:w="2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2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Description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TANGIBLE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Physical assets — land, machinery, vehicles, furniture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INTANGIBLE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Non-physical — patents, trademarks, software licenses</w:t>
            </w:r>
          </w:p>
        </w:tc>
      </w:tr>
      <w:tr>
        <w:tc>
          <w:tcPr>
            <w:tcW w:w="2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FINANCIAL</w:t>
            </w:r>
          </w:p>
        </w:tc>
        <w:tc>
          <w:tcPr>
            <w:tcW w:w="62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Investments — shares, bonds, mutual funds</w:t>
            </w:r>
          </w:p>
        </w:tc>
      </w:tr>
      <w:tr>
        <w:tc>
          <w:tcPr>
            <w:tcW w:w="2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ourier New" w:hAnsi="Courier New" w:cs="Courier New" w:eastAsia="Courier New"/>
                <w:color w:val="1E3A5F"/>
                <w:sz w:val="17"/>
                <w:szCs w:val="17"/>
              </w:rPr>
              <w:t>CURRENT</w:t>
            </w:r>
          </w:p>
        </w:tc>
        <w:tc>
          <w:tcPr>
            <w:tcW w:w="62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Short-term assets — inventory, receivables, prepayments</w:t>
            </w:r>
          </w:p>
        </w:tc>
      </w:tr>
    </w:tbl>
    <w:p>
      <w:pPr>
        <w:pStyle w:val="P2"/>
        <w:pBdr>
          <w:top w:val="none" w:sz="0" w:space="0" w:shadow="0" w:frame="0" w:color="auto"/>
          <w:left w:val="none" w:sz="0" w:space="0" w:shadow="0" w:frame="0" w:color="auto"/>
          <w:bottom w:val="single" w:sz="8" w:space="4" w:shadow="0" w:frame="0" w:color="2D7DD2"/>
          <w:right w:val="none" w:sz="0" w:space="0" w:shadow="0" w:frame="0" w:color="auto"/>
          <w:between w:val="none" w:sz="0" w:space="0" w:shadow="0" w:frame="0" w:color="auto"/>
        </w:pBdr>
        <w:spacing w:before="400" w:after="16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32"/>
          <w:szCs w:val="32"/>
        </w:rPr>
        <w:t>9. Business Logic Summary</w:t>
      </w: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9.1 Bank Balance — When It Moves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3600"/>
        <w:gridCol w:w="1400"/>
        <w:gridCol w:w="3400"/>
      </w:tblGrid>
      <w:tr>
        <w:trPr>
          <w:tblHeader/>
        </w:trPr>
        <w:tc>
          <w:tcPr>
            <w:tcW w:w="3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Event</w:t>
            </w:r>
          </w:p>
        </w:tc>
        <w:tc>
          <w:tcPr>
            <w:tcW w:w="1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Direction</w:t>
            </w:r>
          </w:p>
        </w:tc>
        <w:tc>
          <w:tcPr>
            <w:tcW w:w="3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Amount</w:t>
            </w:r>
          </w:p>
        </w:tc>
      </w:tr>
      <w:tr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ONE_TIME expense created (BANK_TRANSFER)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Debit</w:t>
            </w:r>
          </w:p>
        </w:tc>
        <w:tc>
          <w:tcPr>
            <w:tcW w:w="3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</w:t>
            </w:r>
          </w:p>
        </w:tc>
      </w:tr>
      <w:tr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 payment recorded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Debit</w:t>
            </w:r>
          </w:p>
        </w:tc>
        <w:tc>
          <w:tcPr>
            <w:tcW w:w="3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payment amount</w:t>
            </w:r>
          </w:p>
        </w:tc>
      </w:tr>
      <w:tr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purchased via bank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Debit</w:t>
            </w:r>
          </w:p>
        </w:tc>
        <w:tc>
          <w:tcPr>
            <w:tcW w:w="3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purchaseValue</w:t>
            </w:r>
          </w:p>
        </w:tc>
      </w:tr>
      <w:tr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 payment via bank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Debit</w:t>
            </w:r>
          </w:p>
        </w:tc>
        <w:tc>
          <w:tcPr>
            <w:tcW w:w="3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principal + interest (LOAN) or paymentAmount (others)</w:t>
            </w:r>
          </w:p>
        </w:tc>
      </w:tr>
      <w:tr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 created with depositBankId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</w:t>
            </w:r>
          </w:p>
        </w:tc>
        <w:tc>
          <w:tcPr>
            <w:tcW w:w="3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depositAmount</w:t>
            </w:r>
          </w:p>
        </w:tc>
      </w:tr>
      <w:tr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ONE_TIME expense deleted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</w:t>
            </w:r>
          </w:p>
        </w:tc>
        <w:tc>
          <w:tcPr>
            <w:tcW w:w="3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total</w:t>
            </w:r>
          </w:p>
        </w:tc>
      </w:tr>
      <w:tr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INSTALLMENT expense deleted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</w:t>
            </w:r>
          </w:p>
        </w:tc>
        <w:tc>
          <w:tcPr>
            <w:tcW w:w="3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sum of all payments made</w:t>
            </w:r>
          </w:p>
        </w:tc>
      </w:tr>
      <w:tr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deleted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</w:t>
            </w:r>
          </w:p>
        </w:tc>
        <w:tc>
          <w:tcPr>
            <w:tcW w:w="3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purchaseValue</w:t>
            </w:r>
          </w:p>
        </w:tc>
      </w:tr>
      <w:tr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 deleted (no payments)</w:t>
            </w:r>
          </w:p>
        </w:tc>
        <w:tc>
          <w:tcPr>
            <w:tcW w:w="1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</w:t>
            </w:r>
          </w:p>
        </w:tc>
        <w:tc>
          <w:tcPr>
            <w:tcW w:w="3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depositAmount (reverses the loan deposit)</w:t>
            </w:r>
          </w:p>
        </w:tc>
      </w:tr>
      <w:tr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 acquisition updated (new bank or amount)</w:t>
            </w:r>
          </w:p>
        </w:tc>
        <w:tc>
          <w:tcPr>
            <w:tcW w:w="1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Credit old, Debit new</w:t>
            </w:r>
          </w:p>
        </w:tc>
        <w:tc>
          <w:tcPr>
            <w:tcW w:w="3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old amount → new amount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9.2 Auto-Generated Expenses</w:t>
      </w:r>
    </w:p>
    <w:p>
      <w:pPr>
        <w:spacing w:before="0" w:after="10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Two types of expenses are created automatically by the system: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800"/>
        <w:gridCol w:w="2000"/>
        <w:gridCol w:w="3600"/>
      </w:tblGrid>
      <w:tr>
        <w:trPr>
          <w:tblHeader/>
        </w:trPr>
        <w:tc>
          <w:tcPr>
            <w:tcW w:w="2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Trigger</w:t>
            </w:r>
          </w:p>
        </w:tc>
        <w:tc>
          <w:tcPr>
            <w:tcW w:w="2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sourceType</w:t>
            </w:r>
          </w:p>
        </w:tc>
        <w:tc>
          <w:tcPr>
            <w:tcW w:w="3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Notes</w:t>
            </w:r>
          </w:p>
        </w:tc>
      </w:tr>
      <w:tr>
        <w:tc>
          <w:tcPr>
            <w:tcW w:w="2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/api/assets</w:t>
            </w:r>
          </w:p>
        </w:tc>
        <w:tc>
          <w:tcPr>
            <w:tcW w:w="2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ASSET_PURCHASE</w:t>
            </w:r>
          </w:p>
        </w:tc>
        <w:tc>
          <w:tcPr>
            <w:tcW w:w="3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 expense per asset; deleted when the asset is deleted; cannot be edited directly</w:t>
            </w:r>
          </w:p>
        </w:tc>
      </w:tr>
      <w:tr>
        <w:tc>
          <w:tcPr>
            <w:tcW w:w="2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/api/liabilities/{id}/payments (with interest &gt; 0)</w:t>
            </w:r>
          </w:p>
        </w:tc>
        <w:tc>
          <w:tcPr>
            <w:tcW w:w="2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LIABILITY_PAYMENT</w:t>
            </w:r>
          </w:p>
        </w:tc>
        <w:tc>
          <w:tcPr>
            <w:tcW w:w="3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One expense per loan payment with interest; linked to the payment record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9.3 Three Expense Flows at a Glance</w:t>
      </w: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ONE_TIME Expense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00"/>
        <w:gridCol w:w="7400"/>
      </w:tblGrid>
      <w:tr>
        <w:trPr>
          <w:tblHeader/>
        </w:trPr>
        <w:tc>
          <w:tcPr>
            <w:tcW w:w="1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7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Action</w:t>
            </w:r>
          </w:p>
        </w:tc>
      </w:tr>
      <w:tr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</w:t>
            </w:r>
          </w:p>
        </w:tc>
        <w:tc>
          <w:tcPr>
            <w:tcW w:w="7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/expense — bank debited immediately by total</w:t>
            </w:r>
          </w:p>
        </w:tc>
      </w:tr>
      <w:tr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7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Bank credited back by total</w:t>
            </w:r>
          </w:p>
        </w:tc>
      </w:tr>
      <w:tr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Update</w:t>
            </w:r>
          </w:p>
        </w:tc>
        <w:tc>
          <w:tcPr>
            <w:tcW w:w="7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Old bank reversal + new bank debit in same transaction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INSTALLMENT Expense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000"/>
        <w:gridCol w:w="7400"/>
      </w:tblGrid>
      <w:tr>
        <w:trPr>
          <w:tblHeader/>
        </w:trPr>
        <w:tc>
          <w:tcPr>
            <w:tcW w:w="10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74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Action</w:t>
            </w:r>
          </w:p>
        </w:tc>
      </w:tr>
      <w:tr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</w:t>
            </w:r>
          </w:p>
        </w:tc>
        <w:tc>
          <w:tcPr>
            <w:tcW w:w="7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/expense — expense created (status = PENDING), installments created, NO bank movement</w:t>
            </w:r>
          </w:p>
        </w:tc>
      </w:tr>
      <w:tr>
        <w:tc>
          <w:tcPr>
            <w:tcW w:w="10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Pay</w:t>
            </w:r>
          </w:p>
        </w:tc>
        <w:tc>
          <w:tcPr>
            <w:tcW w:w="74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/installment/{id}/payment — bank debited by payment amount, installment status updated</w:t>
            </w:r>
          </w:p>
        </w:tc>
      </w:tr>
      <w:tr>
        <w:tc>
          <w:tcPr>
            <w:tcW w:w="10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74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All payments reversed from bank, installments deleted, expense deleted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4"/>
        <w:spacing w:before="200" w:after="8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2D7DD2"/>
          <w:sz w:val="20"/>
          <w:szCs w:val="20"/>
        </w:rPr>
        <w:t>Asset Purchase</w:t>
      </w:r>
    </w:p>
    <w:tbl>
      <w:tblPr>
        <w:tblW w:w="8400" w:type="dxa"/>
        <w:tblBorders>
          <w:top w:val="single" w:sz="4" w:space="0" w:shadow="0" w:frame="0" w:color="BBCCE0"/>
          <w:left w:val="single" w:sz="4" w:space="0" w:shadow="0" w:frame="0" w:color="BBCCE0"/>
          <w:bottom w:val="single" w:sz="4" w:space="0" w:shadow="0" w:frame="0" w:color="BBCCE0"/>
          <w:right w:val="single" w:sz="4" w:space="0" w:shadow="0" w:frame="0" w:color="BBCCE0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1600"/>
        <w:gridCol w:w="6800"/>
      </w:tblGrid>
      <w:tr>
        <w:trPr>
          <w:tblHeader/>
        </w:trPr>
        <w:tc>
          <w:tcPr>
            <w:tcW w:w="16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6800" w:type="dxa"/>
            <w:shd w:val="clear" w:color="1E3A5F" w:fill="1E3A5F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after="0" w:beforeAutospacing="0" w:afterAutospacing="0"/>
              <w:jc w:val="left"/>
            </w:pPr>
            <w:r>
              <w:rPr>
                <w:rFonts w:ascii="Calibri" w:hAnsi="Calibri" w:cs="Calibri" w:eastAsia="Calibri"/>
                <w:b w:val="1"/>
                <w:i w:val="0"/>
                <w:bCs w:val="1"/>
                <w:iCs w:val="0"/>
                <w:color w:val="FFFFFF"/>
                <w:sz w:val="18"/>
                <w:szCs w:val="18"/>
              </w:rPr>
              <w:t>Action</w:t>
            </w:r>
          </w:p>
        </w:tc>
      </w:tr>
      <w:tr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Create</w:t>
            </w:r>
          </w:p>
        </w:tc>
        <w:tc>
          <w:tcPr>
            <w:tcW w:w="6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POST /api/assets — asset + acquisition + expense (ASSET_PURCHASE) created; bank debited</w:t>
            </w:r>
          </w:p>
        </w:tc>
      </w:tr>
      <w:tr>
        <w:tc>
          <w:tcPr>
            <w:tcW w:w="16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Edit acquisition</w:t>
            </w:r>
          </w:p>
        </w:tc>
        <w:tc>
          <w:tcPr>
            <w:tcW w:w="6800" w:type="dxa"/>
            <w:shd w:val="clear" w:color="F0F4FA" w:fill="F0F4FA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PUT /api/assets/{id}/acquisition — bank reversal + reapply; linked expense updated</w:t>
            </w:r>
          </w:p>
        </w:tc>
      </w:tr>
      <w:tr>
        <w:tc>
          <w:tcPr>
            <w:tcW w:w="16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6800" w:type="dxa"/>
            <w:shd w:val="clear" w:color="FFFFFF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after="0" w:beforeAutospacing="0" w:afterAutospacing="0"/>
            </w:pPr>
            <w:r>
              <w:rPr>
                <w:rFonts w:ascii="Calibri" w:hAnsi="Calibri" w:cs="Calibri" w:eastAsia="Calibri"/>
                <w:b w:val="0"/>
                <w:i w:val="0"/>
                <w:bCs w:val="0"/>
                <w:iCs w:val="0"/>
                <w:color w:val="000000"/>
                <w:sz w:val="18"/>
                <w:szCs w:val="18"/>
              </w:rPr>
              <w:t>DELETE /api/assets/{id} — bank reversed; linked expense deleted; asset deleted</w:t>
            </w:r>
          </w:p>
        </w:tc>
      </w:tr>
    </w:tbl>
    <w:p>
      <w:pPr>
        <w:spacing w:before="0" w:after="40" w:beforeAutospacing="0" w:afterAutospacing="0"/>
        <w:jc w:val="left"/>
      </w:pPr>
    </w:p>
    <w:p>
      <w:pPr>
        <w:pStyle w:val="P3"/>
        <w:spacing w:before="320" w:after="120" w:beforeAutospacing="0" w:afterAutospacing="0"/>
      </w:pPr>
      <w:r>
        <w:rPr>
          <w:rFonts w:ascii="Calibri" w:hAnsi="Calibri" w:cs="Calibri" w:eastAsia="Calibri"/>
          <w:b w:val="1"/>
          <w:i w:val="0"/>
          <w:bCs w:val="1"/>
          <w:iCs w:val="0"/>
          <w:color w:val="1E3A5F"/>
          <w:sz w:val="24"/>
          <w:szCs w:val="24"/>
        </w:rPr>
        <w:t>9.4 Security — IDOR Protection</w:t>
      </w:r>
    </w:p>
    <w:p>
      <w:pPr>
        <w:spacing w:before="0" w:after="120" w:beforeAutospacing="0" w:afterAutospacing="0"/>
        <w:jc w:val="left"/>
      </w:pPr>
      <w:r>
        <w:rPr>
          <w:rFonts w:ascii="Calibri" w:hAnsi="Calibri" w:cs="Calibri" w:eastAsia="Calibri"/>
          <w:b w:val="0"/>
          <w:i w:val="0"/>
          <w:bCs w:val="0"/>
          <w:iCs w:val="0"/>
          <w:color w:val="000000"/>
          <w:sz w:val="20"/>
          <w:szCs w:val="20"/>
        </w:rPr>
        <w:t>All entities are owner-scoped. A user can only reference their own banks, categories, contacts, assets, and liabilities. Using another user's entity ID (even if guessed) will return a runtime error — the backend validates ownership on every operation.</w:t>
      </w:r>
    </w:p>
    <w:sectPr>
      <w:headerReference w:type="default" r:id="RelHdr1"/>
      <w:footerReference w:type="default" r:id="RelFtr1"/>
      <w:type w:val="nextPage"/>
      <w:pgMar w:left="1080" w:right="1080" w:top="1080" w:bottom="1080" w:header="708" w:footer="708" w:gutter="0"/>
      <w:pgNumType w:chapSep="period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Bdr>
        <w:top w:val="single" w:sz="4" w:space="4" w:shadow="0" w:frame="0" w:color="DDDDDD"/>
        <w:left w:val="none" w:sz="0" w:space="0" w:shadow="0" w:frame="0" w:color="auto"/>
        <w:bottom w:val="none" w:sz="0" w:space="0" w:shadow="0" w:frame="0" w:color="auto"/>
        <w:right w:val="none" w:sz="0" w:space="0" w:shadow="0" w:frame="0" w:color="auto"/>
        <w:between w:val="none" w:sz="0" w:space="0" w:shadow="0" w:frame="0" w:color="auto"/>
      </w:pBdr>
      <w:spacing w:before="0" w:beforeAutospacing="0" w:afterAutospacing="0"/>
      <w:jc w:val="center"/>
    </w:pPr>
    <w:r>
      <w:rPr>
        <w:rFonts w:ascii="Calibri" w:hAnsi="Calibri" w:cs="Calibri" w:eastAsia="Calibri"/>
        <w:b w:val="0"/>
        <w:i w:val="0"/>
        <w:bCs w:val="0"/>
        <w:iCs w:val="0"/>
        <w:color w:val="777777"/>
        <w:sz w:val="16"/>
        <w:szCs w:val="16"/>
      </w:rPr>
      <w:t xml:space="preserve">© 2026 PJ Softtech  ·  Confidential</w:t>
    </w:r>
    <w:r>
      <w:rPr>
        <w:rFonts w:ascii="Calibri" w:hAnsi="Calibri" w:cs="Calibri" w:eastAsia="Calibri"/>
        <w:b w:val="0"/>
        <w:i w:val="0"/>
        <w:bCs w:val="0"/>
        <w:iCs w:val="0"/>
        <w:color w:val="999999"/>
        <w:sz w:val="16"/>
        <w:szCs w:val="16"/>
      </w:rPr>
      <w:t xml:space="preserve">   |   Page </w:t>
    </w:r>
    <w:r>
      <w:rPr>
        <w:rFonts w:ascii="Calibri" w:hAnsi="Calibri" w:cs="Calibri" w:eastAsia="Calibri"/>
        <w:color w:val="999999"/>
        <w:sz w:val="16"/>
        <w:szCs w:val="16"/>
      </w:rPr>
      <w:fldChar w:fldCharType="begin"/>
    </w:r>
    <w:r>
      <w:rPr>
        <w:rFonts w:ascii="Calibri" w:hAnsi="Calibri" w:cs="Calibri" w:eastAsia="Calibri"/>
        <w:color w:val="999999"/>
        <w:sz w:val="16"/>
        <w:szCs w:val="16"/>
      </w:rPr>
      <w:instrText>PAGE</w:instrText>
    </w:r>
    <w:r>
      <w:rPr>
        <w:rFonts w:ascii="Calibri" w:hAnsi="Calibri" w:cs="Calibri" w:eastAsia="Calibri"/>
        <w:color w:val="999999"/>
        <w:sz w:val="16"/>
        <w:szCs w:val="16"/>
      </w:rPr>
      <w:fldChar w:fldCharType="separate"/>
    </w:r>
    <w:r>
      <w:rPr>
        <w:rFonts w:ascii="Calibri" w:hAnsi="Calibri" w:cs="Calibri" w:eastAsia="Calibri"/>
        <w:color w:val="999999"/>
        <w:sz w:val="16"/>
        <w:szCs w:val="16"/>
      </w:rPr>
      <w:t>#</w:t>
    </w:r>
    <w:r>
      <w:rPr>
        <w:rFonts w:ascii="Calibri" w:hAnsi="Calibri" w:cs="Calibri" w:eastAsia="Calibri"/>
        <w:color w:val="999999"/>
        <w:sz w:val="16"/>
        <w:szCs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2D7DD2"/>
        <w:right w:val="none" w:sz="0" w:space="0" w:shadow="0" w:frame="0" w:color="auto"/>
        <w:between w:val="none" w:sz="0" w:space="0" w:shadow="0" w:frame="0" w:color="auto"/>
      </w:pBdr>
      <w:spacing w:after="0" w:beforeAutospacing="0" w:afterAutospacing="0"/>
    </w:pPr>
    <w:r>
      <w:rPr>
        <w:rFonts w:ascii="Calibri" w:hAnsi="Calibri" w:cs="Calibri" w:eastAsia="Calibri"/>
        <w:b w:val="1"/>
        <w:i w:val="0"/>
        <w:bCs w:val="1"/>
        <w:iCs w:val="0"/>
        <w:color w:val="1E3A5F"/>
        <w:sz w:val="16"/>
        <w:szCs w:val="16"/>
      </w:rPr>
      <w:t>Expense Tracker</w:t>
    </w:r>
    <w:r>
      <w:rPr>
        <w:rFonts w:ascii="Calibri" w:hAnsi="Calibri" w:cs="Calibri" w:eastAsia="Calibri"/>
        <w:b w:val="0"/>
        <w:i w:val="0"/>
        <w:bCs w:val="0"/>
        <w:iCs w:val="0"/>
        <w:color w:val="777777"/>
        <w:sz w:val="16"/>
        <w:szCs w:val="16"/>
      </w:rPr>
      <w:t xml:space="preserve">  ·  API Integration Guide</w:t>
    </w:r>
  </w:p>
</w:hdr>
</file>

<file path=word/numbering.xml><?xml version="1.0" encoding="utf-8"?>
<w:numbering xmlns:w="http://schemas.openxmlformats.org/wordprocessingml/2006/main">
  <w:abstractNum w:abstractNumId="0">
    <w:nsid w:val="69FAD5D8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/>
    </w:lvl>
    <w:lvl w:ilvl="1">
      <w:start w:val="1"/>
      <w:numFmt w:val="bullet"/>
      <w:suff w:val="tab"/>
      <w:lvlText w:val="○"/>
      <w:lvlJc w:val="left"/>
      <w:pPr>
        <w:ind w:hanging="360" w:left="1440"/>
      </w:pPr>
      <w:rPr/>
    </w:lvl>
    <w:lvl w:ilvl="2">
      <w:start w:val="1"/>
      <w:numFmt w:val="bullet"/>
      <w:suff w:val="tab"/>
      <w:lvlText w:val="■"/>
      <w:lvlJc w:val="left"/>
      <w:pPr>
        <w:ind w:hanging="360" w:left="2160"/>
      </w:pPr>
      <w:rPr>
        <w:rFonts w:ascii="Microsoft YaHei" w:hAnsi="Microsoft YaHei" w:cs="Microsoft YaHei" w:eastAsia="Microsoft YaHei"/>
      </w:rPr>
    </w:lvl>
    <w:lvl w:ilvl="3">
      <w:start w:val="1"/>
      <w:numFmt w:val="bullet"/>
      <w:suff w:val="tab"/>
      <w:lvlText w:val="●"/>
      <w:lvlJc w:val="left"/>
      <w:pPr>
        <w:ind w:hanging="360" w:left="2880"/>
      </w:pPr>
      <w:rPr/>
    </w:lvl>
    <w:lvl w:ilvl="4">
      <w:start w:val="1"/>
      <w:numFmt w:val="bullet"/>
      <w:suff w:val="tab"/>
      <w:lvlText w:val="○"/>
      <w:lvlJc w:val="left"/>
      <w:pPr>
        <w:ind w:hanging="360" w:left="3600"/>
      </w:pPr>
      <w:rPr/>
    </w:lvl>
    <w:lvl w:ilvl="5">
      <w:start w:val="1"/>
      <w:numFmt w:val="bullet"/>
      <w:suff w:val="tab"/>
      <w:lvlText w:val="■"/>
      <w:lvlJc w:val="left"/>
      <w:pPr>
        <w:ind w:hanging="360" w:left="4320"/>
      </w:pPr>
      <w:rPr>
        <w:rFonts w:ascii="Microsoft YaHei" w:hAnsi="Microsoft YaHei" w:cs="Microsoft YaHei" w:eastAsia="Microsoft YaHei"/>
      </w:rPr>
    </w:lvl>
    <w:lvl w:ilvl="6">
      <w:start w:val="1"/>
      <w:numFmt w:val="bullet"/>
      <w:suff w:val="tab"/>
      <w:lvlText w:val="●"/>
      <w:lvlJc w:val="left"/>
      <w:pPr>
        <w:ind w:hanging="360" w:left="5040"/>
      </w:pPr>
      <w:rPr/>
    </w:lvl>
    <w:lvl w:ilvl="7">
      <w:start w:val="1"/>
      <w:numFmt w:val="bullet"/>
      <w:suff w:val="tab"/>
      <w:lvlText w:val="●"/>
      <w:lvlJc w:val="left"/>
      <w:pPr>
        <w:ind w:hanging="360" w:left="5760"/>
      </w:pPr>
      <w:rPr/>
    </w:lvl>
    <w:lvl w:ilvl="8">
      <w:start w:val="1"/>
      <w:numFmt w:val="bullet"/>
      <w:suff w:val="tab"/>
      <w:lvlText w:val="●"/>
      <w:lvlJc w:val="left"/>
      <w:pPr>
        <w:ind w:hanging="360" w:left="6480"/>
      </w:pPr>
      <w:rPr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1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Title"/>
    <w:qFormat/>
    <w:pPr/>
    <w:rPr>
      <w:sz w:val="56"/>
      <w:szCs w:val="56"/>
    </w:rPr>
  </w:style>
  <w:style w:type="paragraph" w:styleId="P2">
    <w:name w:val="Heading 1"/>
    <w:qFormat/>
    <w:pPr>
      <w:outlineLvl w:val="0"/>
    </w:pPr>
    <w:rPr>
      <w:color w:val="2E74B5"/>
      <w:sz w:val="32"/>
      <w:szCs w:val="32"/>
    </w:rPr>
  </w:style>
  <w:style w:type="paragraph" w:styleId="P3">
    <w:name w:val="Heading 2"/>
    <w:qFormat/>
    <w:pPr>
      <w:outlineLvl w:val="1"/>
    </w:pPr>
    <w:rPr>
      <w:color w:val="2E74B5"/>
      <w:sz w:val="26"/>
      <w:szCs w:val="26"/>
    </w:rPr>
  </w:style>
  <w:style w:type="paragraph" w:styleId="P4">
    <w:name w:val="Heading 3"/>
    <w:qFormat/>
    <w:pPr>
      <w:outlineLvl w:val="2"/>
    </w:pPr>
    <w:rPr>
      <w:color w:val="1F4D78"/>
      <w:sz w:val="24"/>
      <w:szCs w:val="24"/>
    </w:rPr>
  </w:style>
  <w:style w:type="paragraph" w:styleId="P5">
    <w:name w:val="Heading 4"/>
    <w:qFormat/>
    <w:pPr>
      <w:outlineLvl w:val="3"/>
    </w:pPr>
    <w:rPr>
      <w:i w:val="1"/>
      <w:iCs w:val="1"/>
      <w:color w:val="2E74B5"/>
    </w:rPr>
  </w:style>
  <w:style w:type="paragraph" w:styleId="P6">
    <w:name w:val="Heading 5"/>
    <w:qFormat/>
    <w:pPr>
      <w:outlineLvl w:val="4"/>
    </w:pPr>
    <w:rPr>
      <w:color w:val="2E74B5"/>
    </w:rPr>
  </w:style>
  <w:style w:type="paragraph" w:styleId="P7">
    <w:name w:val="Heading 6"/>
    <w:qFormat/>
    <w:pPr>
      <w:outlineLvl w:val="5"/>
    </w:pPr>
    <w:rPr>
      <w:color w:val="1F4D78"/>
    </w:rPr>
  </w:style>
  <w:style w:type="paragraph" w:styleId="P8">
    <w:name w:val="Strong1"/>
    <w:qFormat/>
    <w:pPr/>
    <w:rPr>
      <w:b w:val="1"/>
      <w:bCs w:val="1"/>
    </w:rPr>
  </w:style>
  <w:style w:type="paragraph" w:styleId="P9">
    <w:name w:val="List Paragraph"/>
    <w:qFormat/>
    <w:pPr/>
    <w:rPr/>
  </w:style>
  <w:style w:type="paragraph" w:styleId="P10">
    <w:name w:val="Footnote Text"/>
    <w:link w:val="C4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11">
    <w:name w:val="Endnote Text"/>
    <w:link w:val="C6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563C1"/>
      <w:u w:val="single"/>
    </w:rPr>
  </w:style>
  <w:style w:type="character" w:styleId="C3">
    <w:name w:val="Footnote Reference"/>
    <w:semiHidden/>
    <w:rPr>
      <w:vertAlign w:val="superscript"/>
    </w:rPr>
  </w:style>
  <w:style w:type="character" w:styleId="C4">
    <w:name w:val="Footnote Text Char"/>
    <w:link w:val="P10"/>
    <w:semiHidden/>
    <w:rPr>
      <w:sz w:val="20"/>
      <w:szCs w:val="20"/>
    </w:rPr>
  </w:style>
  <w:style w:type="character" w:styleId="C5">
    <w:name w:val="Endnote Reference"/>
    <w:semiHidden/>
    <w:rPr>
      <w:vertAlign w:val="superscript"/>
    </w:rPr>
  </w:style>
  <w:style w:type="character" w:styleId="C6">
    <w:name w:val="Endnote Text Char"/>
    <w:link w:val="P11"/>
    <w:semiHidden/>
    <w:rPr>
      <w:sz w:val="20"/>
      <w:szCs w:val="20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footer1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Expense Tracker Team</dc:creator>
  <dcterms:created xsi:type="dcterms:W3CDTF">2026-09-04T10:04:11Z</dcterms:created>
  <dc:description>API Integration Guide</dc:description>
  <dcterms:modified xsi:type="dcterms:W3CDTF">2026-09-04T10:10:46Z</dcterms:modified>
  <cp:revision>2</cp:revision>
  <dc:title>Expense Tracker API Documentation</dc:title>
</cp:coreProperties>
</file>