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28394" cy="3481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394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대한민국은 OECD 국가 중 2번째로 수면시간이 짧은 나라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color w:val="151515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51515"/>
          <w:sz w:val="26"/>
          <w:szCs w:val="26"/>
          <w:highlight w:val="white"/>
          <w:rtl w:val="0"/>
        </w:rPr>
        <w:t xml:space="preserve">낮잠카페는 현대인이 숙면을 위해 돈을 지출하는 ‘슬리포노믹스(Sleeponomics)’ 사업 중 하나다. 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51515"/>
          <w:sz w:val="26"/>
          <w:szCs w:val="26"/>
          <w:highlight w:val="white"/>
          <w:rtl w:val="0"/>
        </w:rPr>
        <w:t xml:space="preserve">‘잠(sleep)’에 ‘경제(economics)’를 더한 ‘슬리포노믹스’ 사업의 국내 시장규모를 한국수면산업협회는 연간 약 2조원으로 추청한다.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60713" cy="25860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13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https://www.shinhancardblog.com/503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20대 젊은 세대의 수면카페 이용 비중이 높지만 증가율을 보면 30대이상 연령층 이용건수 증가율이 높다. 이는 수면카페 이용이 20대 젊은 세대 뿐만 아니라 전 연령에서 빠르게 증가하며 확산되고 있음을 볼 수 있다.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아침시간 지하철 유동인구 1위 강남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shinhancardblog.com/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