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3856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 / 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26.03.2019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Технологичен отпадък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Блок 1, пом 301/1 вторични РАО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Сектор „Дезактивация”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18.03.2019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 Водни проби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3856-1 / Блок 1, пом 301/1 вторични РАО, север; 3856-2 / Блок 1, пом 301/1 вторични РАО, юг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07.03.2019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19.03.2019 ÷ 19.03.2019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3856</w:t>
      </w:r>
      <w:proofErr w:type="spellEnd"/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26.03.2019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1"/>
        <w:gridCol w:w="3422"/>
        <w:gridCol w:w="1833"/>
        <w:gridCol w:w="3040"/>
        <w:gridCol w:w="2157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  <w:bookmarkStart w:name="_GoBack" w:id="0"/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2.28E+03 ± 0.19E+03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94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Nb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1.46E+01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108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mAg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1.12E+02 ± 0.10E+02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6.49E+01 ± 0.83E+01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241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Am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2.16E+01 ± 0.56E+01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4.53E+03 ± 0.38E+03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94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Nb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3.58E+01 ± 0.56E+01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108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mAg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1.12E+01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1.28E+03 ± 0.11E+03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3856-2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241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Am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1.18E+02 ± 0.20E+02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bookmarkEnd w:id="0"/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713F3C" w:rsidP="00FD24E1" w:rsidRDefault="00713F3C">
      <w:r>
        <w:separator/>
      </w:r>
    </w:p>
  </w:endnote>
  <w:endnote w:type="continuationSeparator" w:id="0">
    <w:p w:rsidR="00713F3C" w:rsidP="00FD24E1" w:rsidRDefault="00713F3C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13F3C">
    <w:pPr>
      <w:pStyle w:val="Footer"/>
      <w:rPr>
        <w:lang w:val="en-US"/>
      </w:rPr>
    </w:pPr>
  </w:p>
  <w:p w:rsidR="00454080" w:rsidRDefault="00713F3C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713F3C" w:rsidP="00FD24E1" w:rsidRDefault="00713F3C">
      <w:r>
        <w:separator/>
      </w:r>
    </w:p>
  </w:footnote>
  <w:footnote w:type="continuationSeparator" w:id="0">
    <w:p w:rsidR="00713F3C" w:rsidP="00FD24E1" w:rsidRDefault="00713F3C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13F3C">
    <w:pPr>
      <w:pStyle w:val="Header"/>
      <w:rPr>
        <w:lang w:val="ru-RU"/>
      </w:rPr>
    </w:pPr>
  </w:p>
  <w:p w:rsidR="00454080" w:rsidRDefault="00713F3C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13F3C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1672</properties:Characters>
  <properties:Lines>13</properties:Lines>
  <properties:Paragraphs>3</properties:Paragraphs>
  <properties:TotalTime>1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2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2019-03-22T08:15:00Z</dcterms:created>
  <dc:creator>ALPHA</dc:creator>
  <cp:lastModifiedBy>docx4j</cp:lastModifiedBy>
  <dcterms:modified xmlns:xsi="http://www.w3.org/2001/XMLSchema-instance" xsi:type="dcterms:W3CDTF">2019-03-26T08:36:00Z</dcterms:modified>
  <cp:revision>3</cp:revision>
</cp:coreProperties>
</file>