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3859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25.03.2019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03D-SS02T02, ЦНРД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ДП “РАО”, н-е УМО, цех ЦНРД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22.03.2019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Вода от банята на ЦНРД с V = 1 l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3859-1 / 03D-SS02T02, ЦНРД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22.03.2019 / 11:00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22.03.2019 ÷ 22.03.2019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$$</w:t>
      </w:r>
      <w:proofErr w:type="spellStart"/>
      <w:r w:rsidRPr="00AF52FD">
        <w:rPr>
          <w:b w:val="false"/>
          <w:szCs w:val="24"/>
        </w:rPr>
        <w:t>request_code$$</w:t>
      </w:r>
      <w:proofErr w:type="spellEnd"/>
      <w:r w:rsidRPr="00D31480" w:rsidR="00D31480">
        <w:rPr>
          <w:b w:val="false"/>
          <w:szCs w:val="24"/>
        </w:rPr>
        <w:t xml:space="preserve"> / $$</w:t>
      </w:r>
      <w:proofErr w:type="spellStart"/>
      <w:r w:rsidRPr="00D31480" w:rsidR="00D31480">
        <w:rPr>
          <w:b w:val="false"/>
          <w:szCs w:val="24"/>
        </w:rPr>
        <w:t>request_date$$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1"/>
        <w:gridCol w:w="3427"/>
        <w:gridCol w:w="1833"/>
        <w:gridCol w:w="3044"/>
        <w:gridCol w:w="214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5258B5" w:rsidRDefault="002C081F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5258B5" w:rsidRDefault="002C081F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10321C" w:rsidRDefault="003C0066">
            <w:pPr>
              <w:rPr>
                <w:sz w:val="22"/>
                <w:szCs w:val="22"/>
                <w:lang w:val="en-US"/>
              </w:rPr>
            </w:pPr>
            <w:bookmarkStart w:name="_GoBack" w:id="0"/>
            <w:bookmarkEnd w:id="0"/>
            <w:r w:rsidRPr="00EF13AB">
              <w:rPr>
                <w:sz w:val="22"/>
                <w:szCs w:val="22"/>
              </w:rPr>
              <w:t>Съдържание на гама-излъчващи радионуклиди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10321C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3859-1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10321C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10321C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10321C">
              <w:rPr>
                <w:rFonts w:cs="Lucidasans"/>
                <w:sz w:val="24"/>
                <w:szCs w:val="24"/>
              </w:rPr>
              <w:t/>
            </w:r>
            <w:r w:rsidRPr="0010321C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10321C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10321C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10321C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10321C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10321C">
              <w:rPr>
                <w:rFonts w:cs="Lucidasans"/>
                <w:sz w:val="24"/>
                <w:szCs w:val="24"/>
                <w:lang w:val="bg-BG"/>
              </w:rPr>
              <w:t>&lt; 1.30E-01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10321C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3859-1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10321C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10321C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10321C">
              <w:rPr>
                <w:rFonts w:cs="Lucidasans"/>
                <w:sz w:val="24"/>
                <w:szCs w:val="24"/>
              </w:rPr>
              <w:t/>
            </w:r>
            <w:r w:rsidRPr="0010321C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10321C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10321C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10321C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10321C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10321C">
              <w:rPr>
                <w:rFonts w:cs="Lucidasans"/>
                <w:sz w:val="24"/>
                <w:szCs w:val="24"/>
                <w:lang w:val="bg-BG"/>
              </w:rPr>
              <w:t>&lt; 1.35E-01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$$</w:t>
      </w:r>
      <w:proofErr w:type="spellStart"/>
      <w:r w:rsidRPr="00AF52FD">
        <w:rPr>
          <w:b w:val="false"/>
          <w:szCs w:val="24"/>
        </w:rPr>
        <w:t>request_code$$</w:t>
      </w:r>
      <w:proofErr w:type="spellEnd"/>
      <w:r w:rsidRPr="00D31480" w:rsidR="00D31480">
        <w:rPr>
          <w:b w:val="false"/>
          <w:szCs w:val="24"/>
        </w:rPr>
        <w:t xml:space="preserve"> / $$</w:t>
      </w:r>
      <w:proofErr w:type="spellStart"/>
      <w:r w:rsidRPr="00D31480" w:rsidR="00D31480">
        <w:rPr>
          <w:b w:val="false"/>
          <w:szCs w:val="24"/>
        </w:rPr>
        <w:t>request_date$$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10321C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3859-1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10321C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10321C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10321C">
              <w:rPr>
                <w:rFonts w:cs="Lucidasans"/>
                <w:sz w:val="24"/>
                <w:szCs w:val="24"/>
              </w:rPr>
              <w:t/>
            </w:r>
            <w:r w:rsidRPr="0010321C">
              <w:rPr>
                <w:rFonts w:cs="Lucidasans"/>
                <w:sz w:val="24"/>
                <w:szCs w:val="24"/>
                <w:vertAlign w:val="superscript"/>
              </w:rPr>
              <w:t>241</w:t>
            </w:r>
            <w:r w:rsidRPr="0010321C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10321C" w:rsidR="00C15FAD">
              <w:rPr>
                <w:rFonts w:cs="Lucidasans"/>
                <w:sz w:val="24"/>
                <w:szCs w:val="24"/>
              </w:rPr>
              <w:t>Am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10321C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10321C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10321C">
              <w:rPr>
                <w:rFonts w:cs="Lucidasans"/>
                <w:sz w:val="24"/>
                <w:szCs w:val="24"/>
                <w:lang w:val="bg-BG"/>
              </w:rPr>
              <w:t>&lt; 4.57E-01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D15F8" w:rsidP="00FD24E1" w:rsidRDefault="001D15F8">
      <w:r>
        <w:separator/>
      </w:r>
    </w:p>
  </w:endnote>
  <w:endnote w:type="continuationSeparator" w:id="0">
    <w:p w:rsidR="001D15F8" w:rsidP="00FD24E1" w:rsidRDefault="001D15F8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1D15F8">
    <w:pPr>
      <w:pStyle w:val="Footer"/>
      <w:rPr>
        <w:lang w:val="en-US"/>
      </w:rPr>
    </w:pPr>
  </w:p>
  <w:p w:rsidR="00454080" w:rsidRDefault="001D15F8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10321C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10321C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10321C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10321C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D15F8" w:rsidP="00FD24E1" w:rsidRDefault="001D15F8">
      <w:r>
        <w:separator/>
      </w:r>
    </w:p>
  </w:footnote>
  <w:footnote w:type="continuationSeparator" w:id="0">
    <w:p w:rsidR="001D15F8" w:rsidP="00FD24E1" w:rsidRDefault="001D15F8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1D15F8">
    <w:pPr>
      <w:pStyle w:val="Header"/>
      <w:rPr>
        <w:lang w:val="ru-RU"/>
      </w:rPr>
    </w:pPr>
  </w:p>
  <w:p w:rsidR="00454080" w:rsidRDefault="001D15F8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1D15F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1D15F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1D15F8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292</properties:Words>
  <properties:Characters>1671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2019-03-22T08:15:00Z</dcterms:created>
  <dc:creator>ALPHA</dc:creator>
  <cp:lastModifiedBy>docx4j</cp:lastModifiedBy>
  <dcterms:modified xmlns:xsi="http://www.w3.org/2001/XMLSchema-instance" xsi:type="dcterms:W3CDTF">2019-03-22T08:15:00Z</dcterms:modified>
  <cp:revision>2</cp:revision>
</cp:coreProperties>
</file>