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3907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09.05.2019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Въздух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Помещения: A 301/1, A 301/2, A 301/3, A 301/4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08.05.2019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Аерозолни филтри за м. април за периода: 01.04.2019 ÷ 03.05.2019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3907-1 / A 301/1; 3907-2 / А 301/2; 3907-3 / А 301/3; 3907-4 / А 301/4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17.04.2019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09.05.2019 ÷ 09.05.2019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3907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09.05.2019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76C37" w:rsidR="002C081F" w:rsidP="0010321C" w:rsidRDefault="003C0066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3907-1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4.81E-01 ± 1.05E-01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3907-1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3.44E-01 ± 0.99E-01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3907-2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2.82E-01 ± 0.88E-01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3907-2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2.43E-01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3907-3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9.64E-01 ± 1.51E-01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3907-3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2.69E-01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3907-4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3.22E-01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3907-4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2.39E-01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