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3176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31.01.2017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ОП01-ИЕ.РНК.ИН.001/01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тръба-2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/ Bq/m3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1() брой проби, Сборна проба, аерозолен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филтър за  период 03.01.2017 ÷ 31.01.2017,  за м.Януари на 2017г.   3176-1 /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Вентилационна тръба-2,  Vвъздух=19045.4 m3,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17.01.2017 09:34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16.02.2017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31.01.2017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Непознат Непознат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