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3479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05-07-2018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ОП08-ИЕ.ФХК.ПР.002/00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 корпус-1, Спец корпус-2 и БАК (Изход2)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Bq/m3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3(три) броя проби, Период за вземане на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02-07-201г. - 31-07-201г. за Юли на 2018г.   3479-1 / Спец корпус-1, 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3479-2 / Спец корпус-2, , 3479-3 / БАК 1и2, 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3479-1 / 16-07-2018 23:00; 3479-2 / 18-07-2018 11:00; 3479-3 / 16-07-2018 23:00;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31-07-2018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05-07-2018 11:36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