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3481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16-07-2018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няма информация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 / Bq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3(три) броя проби,  на 2018г.   3481-1 /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Тръбопроводи и задвижки ПВ от ДВН 7, , 3481-2 / Дренажна система, кота 14.70, ,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3481-3 / Тръбопроводи от СПП, ТГ-6, 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3481-1 /+ 10-07-2018 15:00; 3481-2 /+ 28-07-2018 15:00; 3481-3 /+ 10-07-2018 15:00; 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16-07-2018 15:23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