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4328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31.07.2020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Въздух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Помещения: A 301/1, A 301/2, A 301/3, A 301/4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Аерозолни филтри              за м. юли за периода: 01.07.2020 ÷ 30.07.2020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4328-1 / A 301/1; 4328-2 / А 301/2; 4328-3 / А 301/3; 4328-4 / А 301/4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16.07.2020 / 00:00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14.08.2020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31.07.2020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