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06.04.2021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тръба-1; Вентилационна тръба-2 и Вентилационна тръба на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90Sr Am-фракция Pu-фракция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 (три) броя Сборни проби аерозолни филтри    за 1-во тримесечие за периода: 29.12.2020 ÷ 30.03.2021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4548-1 / ВТ-1, V= 99907.59 m3,  за периода: 29.09.2020 ÷ 28.12.2020; 4548-2 / ВТ-2, V= 78682.29 m3,  за периода: 29.09.2020 ÷ 29.12.2020; 4548-3 / ВТ на ЦНРД, V= 4536.00 m3,   за периода: 31.12.2020 ÷ 01.04.2021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4548-1 / 13.02.2021 00:00   4548-2 / 13.02.2021 00:00   4548-3 / 15.02.2021 00:00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11.06.2021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29.01.2021 ÷ 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