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$$request_code$$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$$request_date$$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$$ind_num_doc$$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$$izpitvan_produkt$$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$$obekt_na_izpitvane_1$$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$$pokazatel_razmernost_1$$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$$counts_sample$$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$$description_sample_group$$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$$date_time_request$$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$$date_execution$$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$$date_time_reception$$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$$user$$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>$$req_zab$$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	ЛИ-РХ гарантира конфиденциалността на информацията, получена или създадена по време на изпитването. Лабораторията не възнамерява да прави обществено достъпна или да оповестява информация за клиента. В случай, че се наложи, клиентът ще бъде информиран предварително, освен ако 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обосновка, в срок до 10 работни дни от предаването на Протокола на клиента, при спазване реда на процедура ПР 709 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