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272" w:rsidRDefault="00E818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E818F8" w:rsidRPr="00E818F8" w:rsidRDefault="00E818F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E818F8">
        <w:rPr>
          <w:rFonts w:ascii="Times New Roman" w:hAnsi="Times New Roman" w:cs="Times New Roman"/>
          <w:sz w:val="24"/>
          <w:szCs w:val="28"/>
        </w:rPr>
        <w:t>In conclusion, real-time chat communication apps are incredibly versatile and useful tools that can be applied to a variety of contexts. From customer service to social networking to collaborative work environments, these apps make it easy for people to connect and communicate with each other in real-time. As technology continues to advance and our lives become increasingly digital, real-time chat communication apps are likely to become even more important and prevalent.</w:t>
      </w:r>
    </w:p>
    <w:sectPr w:rsidR="00E818F8" w:rsidRPr="00E8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F8"/>
    <w:rsid w:val="00470E3F"/>
    <w:rsid w:val="00A31272"/>
    <w:rsid w:val="00E818F8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9C10"/>
  <w15:chartTrackingRefBased/>
  <w15:docId w15:val="{FF22A3FD-131D-4151-8CD2-D37DD49E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2023-04-12T10:03:00Z</dcterms:created>
  <dcterms:modified xsi:type="dcterms:W3CDTF">2023-04-12T10:05:00Z</dcterms:modified>
</cp:coreProperties>
</file>