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CB11" w14:textId="77777777" w:rsidR="007335C4" w:rsidRPr="001018A5" w:rsidRDefault="00000000">
      <w:pPr>
        <w:spacing w:after="120"/>
        <w:jc w:val="center"/>
        <w:rPr>
          <w:lang w:val="ru-RU"/>
        </w:rPr>
      </w:pPr>
      <w:r w:rsidRPr="001018A5">
        <w:rPr>
          <w:b/>
          <w:sz w:val="32"/>
          <w:lang w:val="ru-RU"/>
        </w:rPr>
        <w:t>Практическая работа №2</w:t>
      </w:r>
    </w:p>
    <w:p w14:paraId="2103593E" w14:textId="77777777" w:rsidR="007335C4" w:rsidRPr="001018A5" w:rsidRDefault="00000000">
      <w:pPr>
        <w:spacing w:after="120"/>
        <w:jc w:val="center"/>
        <w:rPr>
          <w:lang w:val="ru-RU"/>
        </w:rPr>
      </w:pPr>
      <w:r w:rsidRPr="001018A5">
        <w:rPr>
          <w:b/>
          <w:sz w:val="32"/>
          <w:lang w:val="ru-RU"/>
        </w:rPr>
        <w:t>Гипотезы роста выручки</w:t>
      </w:r>
    </w:p>
    <w:p w14:paraId="188361FD" w14:textId="77777777" w:rsidR="007335C4" w:rsidRPr="001018A5" w:rsidRDefault="00000000">
      <w:pPr>
        <w:keepNext/>
        <w:spacing w:before="200" w:after="80"/>
        <w:rPr>
          <w:lang w:val="ru-RU"/>
        </w:rPr>
      </w:pPr>
      <w:r w:rsidRPr="001018A5">
        <w:rPr>
          <w:b/>
          <w:lang w:val="ru-RU"/>
        </w:rPr>
        <w:t>Краткий паспорт проекта</w:t>
      </w:r>
    </w:p>
    <w:p w14:paraId="0352DED0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1. Бизнес. </w:t>
      </w:r>
      <w:r w:rsidRPr="001018A5">
        <w:rPr>
          <w:lang w:val="ru-RU"/>
        </w:rPr>
        <w:t>ООО «ГК «Иннотех», разработка программного обеспечения и ИТ-решений для крупного корпоративного сегмента, со значительной специализацией на финансовом секторе.</w:t>
      </w:r>
    </w:p>
    <w:p w14:paraId="1D3A7202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2. Масштаб. </w:t>
      </w:r>
      <w:r w:rsidRPr="001018A5">
        <w:rPr>
          <w:lang w:val="ru-RU"/>
        </w:rPr>
        <w:t>Выручка ООО «ГК «Иннотех» за 2025 год составила 97,99 млрд руб. Один процент годовой выручки составляет примерно 980 млн руб.</w:t>
      </w:r>
    </w:p>
    <w:p w14:paraId="66348327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3. Направления. </w:t>
      </w:r>
      <w:r w:rsidRPr="001018A5">
        <w:rPr>
          <w:lang w:val="ru-RU"/>
        </w:rPr>
        <w:t>Заказная разработка информационных систем, выделенные центры разработки, собственные программные продукты, внедрение, сопровождение и техническая поддержка. Доли направлений в выручке публично не раскрываются.</w:t>
      </w:r>
    </w:p>
    <w:p w14:paraId="07986A81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4. ИТ-функция. </w:t>
      </w:r>
      <w:r w:rsidRPr="001018A5">
        <w:rPr>
          <w:lang w:val="ru-RU"/>
        </w:rPr>
        <w:t xml:space="preserve">Информационные технологии являются основой коммерческой деятельности компании. Производственная ИТ-функция включает разработку, аналитику, тестирование, платформенную инженерию, </w:t>
      </w:r>
      <w:r>
        <w:t>DevOps</w:t>
      </w:r>
      <w:r w:rsidRPr="001018A5">
        <w:rPr>
          <w:lang w:val="ru-RU"/>
        </w:rPr>
        <w:t>, сопровождение и информационную безопасность.</w:t>
      </w:r>
    </w:p>
    <w:p w14:paraId="7D3A8996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5. Ограничения. </w:t>
      </w:r>
      <w:r w:rsidRPr="001018A5">
        <w:rPr>
          <w:lang w:val="ru-RU"/>
        </w:rPr>
        <w:t xml:space="preserve">Автор работает </w:t>
      </w:r>
      <w:r>
        <w:t>backend</w:t>
      </w:r>
      <w:r w:rsidRPr="001018A5">
        <w:rPr>
          <w:lang w:val="ru-RU"/>
        </w:rPr>
        <w:t>-разработчиком в ООО «ГК «Иннотех» и имеет непосредственное представление о процессах разработки в одном из выделенных центров разработки для ВТБ, но не имеет доступа к полной управленческой отчётности, финансовой модели договоров и полной организационной структуре компании. Внутренние сведения используются только в обобщённом виде.</w:t>
      </w:r>
    </w:p>
    <w:p w14:paraId="49BD3E92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Иннотеха отраслевой коридор одного улучшения составляет 0,2–1,5% годовой выручки для гипотез, влияющих на выручку, и 1–7% соответствующей статьи затрат для гипотез экономии.</w:t>
      </w:r>
    </w:p>
    <w:p w14:paraId="7C16434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Эффект оценивается за первые 12 месяцев после запуска в ценах 2025 года. Рост рынка, инфляция и индексация цен в эффект не включаются.</w:t>
      </w:r>
    </w:p>
    <w:p w14:paraId="7D1FC545" w14:textId="77777777" w:rsidR="007335C4" w:rsidRPr="001018A5" w:rsidRDefault="00000000">
      <w:pPr>
        <w:keepNext/>
        <w:spacing w:before="200" w:after="80"/>
        <w:rPr>
          <w:lang w:val="ru-RU"/>
        </w:rPr>
      </w:pPr>
      <w:r w:rsidRPr="001018A5">
        <w:rPr>
          <w:b/>
          <w:lang w:val="ru-RU"/>
        </w:rPr>
        <w:lastRenderedPageBreak/>
        <w:t>1. Гипотеза №1. Автоматизация подготовки и согласования релизного пакета</w:t>
      </w:r>
    </w:p>
    <w:p w14:paraId="46DFD72F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Связь с ПР1. </w:t>
      </w:r>
      <w:r w:rsidRPr="001018A5">
        <w:rPr>
          <w:lang w:val="ru-RU"/>
        </w:rPr>
        <w:t>Гипотеза относится к красным зонам «Ключевые процессы» и «Связь и безопасность». Для части изменений формальное согласование занимает несколько недель, хотя установлен еженедельный ритм выпуска. После изменения бизнес-контекста ВТБ также приостановил приёмку одного релиза из-за уязвимой зависимости, прошедшей после отключения обязательного контроля.</w:t>
      </w:r>
    </w:p>
    <w:p w14:paraId="144F0E4D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Формулировка</w:t>
      </w:r>
    </w:p>
    <w:p w14:paraId="37E46CDA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 xml:space="preserve">Если автоматически формировать в «Сфере» единый комплект материалов по релизу, проверять его полноту до начала согласования, технически блокировать пакет без обязательных результатов </w:t>
      </w:r>
      <w:r>
        <w:t>SAST</w:t>
      </w:r>
      <w:r w:rsidRPr="001018A5">
        <w:rPr>
          <w:lang w:val="ru-RU"/>
        </w:rPr>
        <w:t xml:space="preserve">, </w:t>
      </w:r>
      <w:r>
        <w:t>SCA</w:t>
      </w:r>
      <w:r w:rsidRPr="001018A5">
        <w:rPr>
          <w:lang w:val="ru-RU"/>
        </w:rPr>
        <w:t xml:space="preserve"> и </w:t>
      </w:r>
      <w:r>
        <w:t>BCA</w:t>
      </w:r>
      <w:r w:rsidRPr="001018A5">
        <w:rPr>
          <w:lang w:val="ru-RU"/>
        </w:rPr>
        <w:t xml:space="preserve"> и параллельно направлять материалы независимым согласующим функциям, то не менее 95% релизных пакетов будут проходить формальное согласование за пять рабочих дней, а оплачиваемая загрузка производственных команд увеличится минимум на 0,5 процентного пункта за счёт сокращения ручной подготовки материалов, возвратов неполных пакетов и ожидания между независимыми проверками.</w:t>
      </w:r>
    </w:p>
    <w:p w14:paraId="5130A89B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 xml:space="preserve">Строка </w:t>
      </w:r>
      <w:r>
        <w:rPr>
          <w:b/>
        </w:rPr>
        <w:t>P</w:t>
      </w:r>
      <w:r w:rsidRPr="001018A5">
        <w:rPr>
          <w:b/>
          <w:lang w:val="ru-RU"/>
        </w:rPr>
        <w:t>&amp;</w:t>
      </w:r>
      <w:r>
        <w:rPr>
          <w:b/>
        </w:rPr>
        <w:t>L</w:t>
      </w:r>
    </w:p>
    <w:p w14:paraId="52C1321A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Выручка.</w:t>
      </w:r>
    </w:p>
    <w:p w14:paraId="58ABE99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Связь с выручкой возникает через увеличение доли оплачиваемого времени производственных команд. Такой эффект относится к договорам и выделенным командам, где дополнительная доступная мощность может быть продана заказчику. Для договоров с фиксированной ценой высвобождение времени отразится прежде всего на себестоимости и марже, поэтому фактическая структура договоров проверяется отдельно.</w:t>
      </w:r>
    </w:p>
    <w:p w14:paraId="562CE6AC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lastRenderedPageBreak/>
        <w:t>Показатель и текущее значение</w:t>
      </w:r>
    </w:p>
    <w:p w14:paraId="139A43C2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Используются два показателя.</w:t>
      </w:r>
    </w:p>
    <w:p w14:paraId="202612D7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Первый показатель, срок формального согласования релизного пакета. В ПР1 указано, что для части изменений согласование занимает несколько недель. Для расчёта принимается текущее значение 15 рабочих дней.</w:t>
      </w:r>
    </w:p>
    <w:p w14:paraId="6FAD7FC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Второй показатель, оплачиваемая загрузка производственных сотрудников. Фактическое значение Иннотеха недоступно. Для расчёта принимается 75%, что близко к отраслевым ориентирам сервисных ИТ-компаний, приведённым в отраслевом коридоре.</w:t>
      </w:r>
    </w:p>
    <w:p w14:paraId="6E0B953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оценки масштаба используется принятое ранее допущение о 9 600 сотрудниках, непосредственно участвующих в создании и поставке изменений.</w:t>
      </w:r>
    </w:p>
    <w:p w14:paraId="4D682124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При 1 600 рабочих часах на сотрудника в год общий производственный фонд составляет</w:t>
      </w:r>
    </w:p>
    <w:p w14:paraId="2ECC4AE7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9 600 </w:t>
      </w:r>
      <w:r>
        <w:t>x</w:t>
      </w:r>
      <w:r w:rsidRPr="001018A5">
        <w:rPr>
          <w:lang w:val="ru-RU"/>
        </w:rPr>
        <w:t xml:space="preserve"> 1 600 = 15,36 млн часов.</w:t>
      </w:r>
    </w:p>
    <w:p w14:paraId="6E625E2D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Рост оплачиваемой загрузки на 0,5 процентного пункта соответствует</w:t>
      </w:r>
    </w:p>
    <w:p w14:paraId="4EC3D185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15,36 млн </w:t>
      </w:r>
      <w:r>
        <w:t>x</w:t>
      </w:r>
      <w:r w:rsidRPr="001018A5">
        <w:rPr>
          <w:lang w:val="ru-RU"/>
        </w:rPr>
        <w:t xml:space="preserve"> 0,5% = 76 800 часов в год.</w:t>
      </w:r>
    </w:p>
    <w:p w14:paraId="4949A7D1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При расчётных 6 240 релизных пакетах в год это составляет</w:t>
      </w:r>
    </w:p>
    <w:p w14:paraId="29B7E83A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>76 800 / 6 240 = около 12,3 часа на один пакет.</w:t>
      </w:r>
    </w:p>
    <w:p w14:paraId="0F54B0BF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Заявленный эффект требует высвобождения в среднем около 12 часов производственного времени на один релизный пакет.</w:t>
      </w:r>
    </w:p>
    <w:p w14:paraId="3F0D414A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Порог</w:t>
      </w:r>
    </w:p>
    <w:p w14:paraId="7A8E8CAB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считается подтверждённой при одновременном выполнении трёх условий.</w:t>
      </w:r>
    </w:p>
    <w:p w14:paraId="49B785B0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Не менее 95% релизных пакетов проходят формальное согласование за пять рабочих дней.</w:t>
      </w:r>
    </w:p>
    <w:p w14:paraId="20909DA9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Все релизные пакеты имеют результаты обязательных проверок ИБ, назначенных для соответствующего типа изменения.</w:t>
      </w:r>
    </w:p>
    <w:p w14:paraId="66FD255F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lastRenderedPageBreak/>
        <w:t>Оплачиваемая загрузка производственных сотрудников увеличивается минимум на 0,5 процентного пункта относительно значения до запуска изменения.</w:t>
      </w:r>
    </w:p>
    <w:p w14:paraId="188FAA92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В отраслевом коридоре для Иннотеха используется расчёт, согласно которому при загрузке около 75% один дополнительный процентный пункт оплачиваемой загрузки соответствует примерно 1,3% выручки.</w:t>
      </w:r>
    </w:p>
    <w:p w14:paraId="5A8F5C9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Тогда</w:t>
      </w:r>
    </w:p>
    <w:p w14:paraId="48DFAD26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0,5 </w:t>
      </w:r>
      <w:r>
        <w:t>x</w:t>
      </w:r>
      <w:r w:rsidRPr="001018A5">
        <w:rPr>
          <w:lang w:val="ru-RU"/>
        </w:rPr>
        <w:t xml:space="preserve"> 1,3% = 0,65% годовой выручки.</w:t>
      </w:r>
    </w:p>
    <w:p w14:paraId="48026FA8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В денежном выражении</w:t>
      </w:r>
    </w:p>
    <w:p w14:paraId="20826C9B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97,99 млрд </w:t>
      </w:r>
      <w:r>
        <w:t>x</w:t>
      </w:r>
      <w:r w:rsidRPr="001018A5">
        <w:rPr>
          <w:lang w:val="ru-RU"/>
        </w:rPr>
        <w:t xml:space="preserve"> 0,65% = около 637 млн руб. в год.</w:t>
      </w:r>
    </w:p>
    <w:p w14:paraId="468D315A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Эффект 0,65% находится внутри коридора 0,2–1,5%.</w:t>
      </w:r>
    </w:p>
    <w:p w14:paraId="31AB28A1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Срок проверки</w:t>
      </w:r>
    </w:p>
    <w:p w14:paraId="0E4287A7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Срок согласования и полнота обязательных проверок оцениваются через три месяца после запуска пилота. Изменение оплачиваемой загрузки проверяется через шесть месяцев. Годовой эффект оценивается за первые 12 месяцев после масштабирования.</w:t>
      </w:r>
    </w:p>
    <w:p w14:paraId="295AB902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Опровергающее наблюдение</w:t>
      </w:r>
    </w:p>
    <w:p w14:paraId="18784311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не подтверждается, если срок согласования сокращается до пяти рабочих дней, но оплачиваемая загрузка не увеличивается минимум на 0,5 процентного пункта.</w:t>
      </w:r>
    </w:p>
    <w:p w14:paraId="58B1A5A3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также не подтверждается как гипотеза роста выручки, если высвобождённая мощность не может быть дополнительно продана в действующих моделях договоров. В таком случае эффект необходимо пересчитывать через снижение себестоимости.</w:t>
      </w:r>
    </w:p>
    <w:p w14:paraId="322C3C7A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lastRenderedPageBreak/>
        <w:t>Риск или неопределённость</w:t>
      </w:r>
    </w:p>
    <w:p w14:paraId="6618DB20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Фактическая оплачиваемая загрузка Иннотеха неизвестна. Неизвестна и доля контрактов, в которых высвобождённые часы могут конвертироваться в дополнительную выручку.</w:t>
      </w:r>
    </w:p>
    <w:p w14:paraId="629B4D6A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Кроме того, сокращение срока согласования зависит не только от автоматизации, но и от наличия достаточной мощности ИБ, архитектуры и других согласующих функций. Необходимая мощность была отдельно оценена в реакции на изменение бизнес-контекста.</w:t>
      </w:r>
    </w:p>
    <w:p w14:paraId="7AF5BFD5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Что нужно для проверки</w:t>
      </w:r>
    </w:p>
    <w:p w14:paraId="40CD56E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Нужны данные о сроках прохождения каждой стадии согласования, возвратах неполных пакетов, трудозатратах производственных сотрудников на подготовку материалов и фактической оплачиваемой загрузке.</w:t>
      </w:r>
    </w:p>
    <w:p w14:paraId="208B8D99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От финансового блока необходима классификация договоров по модели оплаты, чтобы определить, для какой доли работ высвобождённая производственная мощность способна увеличить выручку.</w:t>
      </w:r>
    </w:p>
    <w:p w14:paraId="24C3EA78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Допущения</w:t>
      </w:r>
    </w:p>
    <w:p w14:paraId="0B06C6CD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расчёта срок текущего согласования принят равным 15 рабочим дням, оплачиваемая загрузка равной 75%, а годовой фонд рабочего времени равным 1 600 часов на сотрудника.</w:t>
      </w:r>
    </w:p>
    <w:p w14:paraId="1E056BB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Рост оплачиваемой загрузки на 0,5 процентного пункта является порогом гипотезы, а не известным показателем Иннотеха.</w:t>
      </w:r>
    </w:p>
    <w:p w14:paraId="5101D24C" w14:textId="77777777" w:rsidR="007335C4" w:rsidRPr="001018A5" w:rsidRDefault="00000000">
      <w:pPr>
        <w:keepNext/>
        <w:spacing w:before="200" w:after="80"/>
        <w:rPr>
          <w:lang w:val="ru-RU"/>
        </w:rPr>
      </w:pPr>
      <w:r w:rsidRPr="001018A5">
        <w:rPr>
          <w:b/>
          <w:lang w:val="ru-RU"/>
        </w:rPr>
        <w:t>2. Гипотеза №2. Раннее архитектурное и ИБ-согласование изменений повышенного риска</w:t>
      </w:r>
    </w:p>
    <w:p w14:paraId="4DED9BC1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Связь с ПР1. </w:t>
      </w:r>
      <w:r w:rsidRPr="001018A5">
        <w:rPr>
          <w:lang w:val="ru-RU"/>
        </w:rPr>
        <w:t xml:space="preserve">Гипотеза относится к красной зоне «Состояние ИТ». В ПР1 состояние ИТ определено как «Служба»: функциональная инициатива преимущественно формируется заказчиком, после чего Иннотех выполняет </w:t>
      </w:r>
      <w:r w:rsidRPr="001018A5">
        <w:rPr>
          <w:lang w:val="ru-RU"/>
        </w:rPr>
        <w:lastRenderedPageBreak/>
        <w:t>анализ и техническую реализацию. Проверяется, снизит ли более раннее участие технических функций объём поздних переделок.</w:t>
      </w:r>
    </w:p>
    <w:p w14:paraId="2F7D1567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Формулировка</w:t>
      </w:r>
    </w:p>
    <w:p w14:paraId="6CAAE589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Если для изменений, затрагивающих банковские расчёты, клиентские данные и критичные интеграции, проводить короткую архитектурную и ИБ-проверку до начала основной разработки, то доля трудозатрат на поздние переделки по архитектурным, интеграционным и ИБ-причинам снизится минимум с 8,0% до 7,5%.</w:t>
      </w:r>
    </w:p>
    <w:p w14:paraId="73349FCB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 xml:space="preserve">Строка </w:t>
      </w:r>
      <w:r>
        <w:rPr>
          <w:b/>
        </w:rPr>
        <w:t>P</w:t>
      </w:r>
      <w:r w:rsidRPr="001018A5">
        <w:rPr>
          <w:b/>
          <w:lang w:val="ru-RU"/>
        </w:rPr>
        <w:t>&amp;</w:t>
      </w:r>
      <w:r>
        <w:rPr>
          <w:b/>
        </w:rPr>
        <w:t>L</w:t>
      </w:r>
    </w:p>
    <w:p w14:paraId="44E325A8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Себестоимость разработки.</w:t>
      </w:r>
    </w:p>
    <w:p w14:paraId="5928820F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Экономия возникает за счёт сокращения трудозатрат на переделку уже выполненной работы.</w:t>
      </w:r>
    </w:p>
    <w:p w14:paraId="02126619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Показатель и текущее значение</w:t>
      </w:r>
    </w:p>
    <w:p w14:paraId="16E38F19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Измеряется доля производственных трудозатрат на переделки после начала реализации, причиной которых стали архитектурные ограничения, требования ИБ или интеграционные ограничения.</w:t>
      </w:r>
    </w:p>
    <w:p w14:paraId="32F56689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Фактическое значение по всему Иннотеху неизвестно. Для расчёта принимается 8%.</w:t>
      </w:r>
    </w:p>
    <w:p w14:paraId="0B6B65F2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При расчётной производственной численности 9 600 сотрудников и стоимости одной полной ставки около 4,4 млн руб. в год стоимость производственной мощности составляет</w:t>
      </w:r>
    </w:p>
    <w:p w14:paraId="3232B607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9 600 </w:t>
      </w:r>
      <w:r>
        <w:t>x</w:t>
      </w:r>
      <w:r w:rsidRPr="001018A5">
        <w:rPr>
          <w:lang w:val="ru-RU"/>
        </w:rPr>
        <w:t xml:space="preserve"> 4,4 млн = 42,24 млрд руб. в год.</w:t>
      </w:r>
    </w:p>
    <w:p w14:paraId="5E7DFE7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При доле соответствующих переделок 8%</w:t>
      </w:r>
    </w:p>
    <w:p w14:paraId="2297DF7E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42,24 млрд </w:t>
      </w:r>
      <w:r>
        <w:t>x</w:t>
      </w:r>
      <w:r w:rsidRPr="001018A5">
        <w:rPr>
          <w:lang w:val="ru-RU"/>
        </w:rPr>
        <w:t xml:space="preserve"> 8% = около 3,38 млрд руб. в год.</w:t>
      </w:r>
    </w:p>
    <w:p w14:paraId="3765AA75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lastRenderedPageBreak/>
        <w:t>Порог</w:t>
      </w:r>
    </w:p>
    <w:p w14:paraId="5249217F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считается подтверждённой, если доля соответствующих переделок снижается с 8,0% до 7,5% или ниже, а общий срок поставки не увеличивается.</w:t>
      </w:r>
    </w:p>
    <w:p w14:paraId="5A96DA8E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Сокращение статьи затрат составляет</w:t>
      </w:r>
    </w:p>
    <w:p w14:paraId="684B561F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>(8,0% - 7,5%) / 8,0% = 6,25%.</w:t>
      </w:r>
    </w:p>
    <w:p w14:paraId="2D33C99E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Годовая экономия</w:t>
      </w:r>
    </w:p>
    <w:p w14:paraId="36CA6A85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3,38 млрд </w:t>
      </w:r>
      <w:r>
        <w:t>x</w:t>
      </w:r>
      <w:r w:rsidRPr="001018A5">
        <w:rPr>
          <w:lang w:val="ru-RU"/>
        </w:rPr>
        <w:t xml:space="preserve"> 6,25% = около 211 млн руб.</w:t>
      </w:r>
    </w:p>
    <w:p w14:paraId="0E654C08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Эффект 6,25% находится внутри коридора 1–7% соответствующей статьи затрат.</w:t>
      </w:r>
    </w:p>
    <w:p w14:paraId="5F228EF8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Срок проверки</w:t>
      </w:r>
    </w:p>
    <w:p w14:paraId="4BD3A58C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Первичная оценка проводится после трёх месяцев пилота. Итоговая оценка проводится через шесть месяцев на сопоставимых изменениях повышенного риска.</w:t>
      </w:r>
    </w:p>
    <w:p w14:paraId="1182C374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Опровергающее наблюдение</w:t>
      </w:r>
    </w:p>
    <w:p w14:paraId="6090F994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не подтверждается, если доля поздних переделок остаётся выше 7,5%.</w:t>
      </w:r>
    </w:p>
    <w:p w14:paraId="34C384B3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Она также не подтверждается, если снижение переделок компенсируется сопоставимым ростом времени ожидания до начала разработки.</w:t>
      </w:r>
    </w:p>
    <w:p w14:paraId="4BC68A03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Риск или неопределённость</w:t>
      </w:r>
    </w:p>
    <w:p w14:paraId="1AA97DC4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Исходная доля 8% является допущением.</w:t>
      </w:r>
    </w:p>
    <w:p w14:paraId="734A988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Часть переделок может возникать из-за изменения требований самого заказчика уже во время реализации. Раннее архитектурное и ИБ-согласование на такие случаи не повлияет.</w:t>
      </w:r>
    </w:p>
    <w:p w14:paraId="0FCA4218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Что нужно для проверки</w:t>
      </w:r>
    </w:p>
    <w:p w14:paraId="5D565E78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 xml:space="preserve">Нужно классифицировать причины повторной разработки и исправлений за 6–12 месяцев, связать их с фактическими трудозатратами и отдельно </w:t>
      </w:r>
      <w:r w:rsidRPr="001018A5">
        <w:rPr>
          <w:lang w:val="ru-RU"/>
        </w:rPr>
        <w:lastRenderedPageBreak/>
        <w:t>выделить переделки, вызванные архитектурой, ИБ и интеграционными ограничениями.</w:t>
      </w:r>
    </w:p>
    <w:p w14:paraId="557313EF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проверки используются несколько сопоставимых потоков с ранней проверкой и без неё.</w:t>
      </w:r>
    </w:p>
    <w:p w14:paraId="3AD098B5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Допущения</w:t>
      </w:r>
    </w:p>
    <w:p w14:paraId="6F7F2C4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Доля поздних переделок принята равной 8%. Производственная численность и стоимость полной ставки используются из ранее принятой расчётной модели.</w:t>
      </w:r>
    </w:p>
    <w:p w14:paraId="7CD24F12" w14:textId="77777777" w:rsidR="007335C4" w:rsidRPr="001018A5" w:rsidRDefault="00000000">
      <w:pPr>
        <w:keepNext/>
        <w:spacing w:before="200" w:after="80"/>
        <w:rPr>
          <w:lang w:val="ru-RU"/>
        </w:rPr>
      </w:pPr>
      <w:r w:rsidRPr="001018A5">
        <w:rPr>
          <w:b/>
          <w:lang w:val="ru-RU"/>
        </w:rPr>
        <w:t>3. Гипотеза №3. Учёт фактического потребления общих ИТ-услуг</w:t>
      </w:r>
    </w:p>
    <w:p w14:paraId="2B30570F" w14:textId="77777777" w:rsidR="007335C4" w:rsidRPr="001018A5" w:rsidRDefault="00000000">
      <w:pPr>
        <w:spacing w:after="0" w:line="360" w:lineRule="auto"/>
        <w:jc w:val="both"/>
        <w:rPr>
          <w:lang w:val="ru-RU"/>
        </w:rPr>
      </w:pPr>
      <w:r w:rsidRPr="001018A5">
        <w:rPr>
          <w:b/>
          <w:lang w:val="ru-RU"/>
        </w:rPr>
        <w:t xml:space="preserve">Связь с ПР1. </w:t>
      </w:r>
      <w:r w:rsidRPr="001018A5">
        <w:rPr>
          <w:lang w:val="ru-RU"/>
        </w:rPr>
        <w:t>Гипотеза относится к жёлтой зоне «ИТ-функция». В ПР1 не подтверждены полноценный каталог ИТ-услуг и системное измерение их стоимости. После изменения бизнес-контекста подразделения должны оплачивать ИТ пропорционально фактическому потреблению и получили возможность сравнивать внутренние услуги с внешними поставщиками.</w:t>
      </w:r>
    </w:p>
    <w:p w14:paraId="7888951D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Формулировка</w:t>
      </w:r>
    </w:p>
    <w:p w14:paraId="2ACD825B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Если для общих ИТ-услуг определить владельцев, единицы потребления и фактическую стоимость и регулярно показывать подразделениям объём собственного потребления, то переменная часть расходов на общие ИТ-услуги снизится минимум на 5% за счёт отказа от неиспользуемых лицензий, избыточных мощностей и другого необязательного потребления.</w:t>
      </w:r>
    </w:p>
    <w:p w14:paraId="290EAA9C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Обязательные меры ИБ, архитектурный контроль и необходимая резервная мощность в сокращение не включаются.</w:t>
      </w:r>
    </w:p>
    <w:p w14:paraId="32B3FC70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 xml:space="preserve">Строка </w:t>
      </w:r>
      <w:r>
        <w:rPr>
          <w:b/>
        </w:rPr>
        <w:t>P</w:t>
      </w:r>
      <w:r w:rsidRPr="001018A5">
        <w:rPr>
          <w:b/>
          <w:lang w:val="ru-RU"/>
        </w:rPr>
        <w:t>&amp;</w:t>
      </w:r>
      <w:r>
        <w:rPr>
          <w:b/>
        </w:rPr>
        <w:t>L</w:t>
      </w:r>
    </w:p>
    <w:p w14:paraId="3DE81F64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Операционные расходы на общие ИТ-услуги.</w:t>
      </w:r>
    </w:p>
    <w:p w14:paraId="0D091CD8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Показатель и текущее значение</w:t>
      </w:r>
    </w:p>
    <w:p w14:paraId="31A431F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Измеряется годовая стоимость переменной части общих технологических сервисов, объём которой зависит от фактического потребления подразделений.</w:t>
      </w:r>
    </w:p>
    <w:p w14:paraId="031D5348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lastRenderedPageBreak/>
        <w:t>Для расчёта используется ранее принятое допущение, что около 40% численности не относится непосредственно к созданию и поставке изменений. Это около 6 400 сотрудников.</w:t>
      </w:r>
    </w:p>
    <w:p w14:paraId="1710AB61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Предполагается, что около 25% этой численности относится к общим технологическим сервисам</w:t>
      </w:r>
    </w:p>
    <w:p w14:paraId="758B60E2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6 400 </w:t>
      </w:r>
      <w:r>
        <w:t>x</w:t>
      </w:r>
      <w:r w:rsidRPr="001018A5">
        <w:rPr>
          <w:lang w:val="ru-RU"/>
        </w:rPr>
        <w:t xml:space="preserve"> 25% = 1 600 ставок.</w:t>
      </w:r>
    </w:p>
    <w:p w14:paraId="7F10BB3A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При расчётной стоимости одной полной ставки 4,4 млн руб.</w:t>
      </w:r>
    </w:p>
    <w:p w14:paraId="3FEBAD76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1 600 </w:t>
      </w:r>
      <w:r>
        <w:t>x</w:t>
      </w:r>
      <w:r w:rsidRPr="001018A5">
        <w:rPr>
          <w:lang w:val="ru-RU"/>
        </w:rPr>
        <w:t xml:space="preserve"> 4,4 млн = около 7,04 млрд руб. в год.</w:t>
      </w:r>
    </w:p>
    <w:p w14:paraId="4F6A586A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Половина этой суммы принимается как условно переменная часть</w:t>
      </w:r>
    </w:p>
    <w:p w14:paraId="3DCEBE76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7,04 млрд </w:t>
      </w:r>
      <w:r>
        <w:t>x</w:t>
      </w:r>
      <w:r w:rsidRPr="001018A5">
        <w:rPr>
          <w:lang w:val="ru-RU"/>
        </w:rPr>
        <w:t xml:space="preserve"> 50% = около 3,52 млрд руб.</w:t>
      </w:r>
    </w:p>
    <w:p w14:paraId="3F6D9A8C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Порог</w:t>
      </w:r>
    </w:p>
    <w:p w14:paraId="6ACEB2FD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считается подтверждённой, если переменная часть расходов снижается минимум на 5%, при этом не ухудшаются согласованные уровни услуг, статистика инцидентов и выполнение обязательных требований ИБ.</w:t>
      </w:r>
    </w:p>
    <w:p w14:paraId="16B594B7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Годовая экономия</w:t>
      </w:r>
    </w:p>
    <w:p w14:paraId="4F16ED3F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3,52 млрд </w:t>
      </w:r>
      <w:r>
        <w:t>x</w:t>
      </w:r>
      <w:r w:rsidRPr="001018A5">
        <w:rPr>
          <w:lang w:val="ru-RU"/>
        </w:rPr>
        <w:t xml:space="preserve"> 5% = около 176 млн руб.</w:t>
      </w:r>
    </w:p>
    <w:p w14:paraId="3D986FA4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Пять процентов находятся внутри коридора 1–7% соответствующей статьи затрат.</w:t>
      </w:r>
    </w:p>
    <w:p w14:paraId="1BFFB3AF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Срок проверки</w:t>
      </w:r>
    </w:p>
    <w:p w14:paraId="3B9CF087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Каталог услуг, единицы потребления и первоначальный механизм распределения стоимости создаются в течение шести месяцев. Экономический эффект оценивается за следующие 12 месяцев работы модели.</w:t>
      </w:r>
    </w:p>
    <w:p w14:paraId="0EC44E7A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Опровергающее наблюдение</w:t>
      </w:r>
    </w:p>
    <w:p w14:paraId="1C035339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не подтверждается, если после появления данных о фактическом потреблении переменная часть расходов не снижается минимум на 5%.</w:t>
      </w:r>
    </w:p>
    <w:p w14:paraId="469C6E53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lastRenderedPageBreak/>
        <w:t>Она также не подтверждается, если экономия достигается за счёт отказа от обязательных мер ИБ, необходимой резервной мощности либо сопровождается ухудшением уровня услуг.</w:t>
      </w:r>
    </w:p>
    <w:p w14:paraId="7A413DF7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Риск или неопределённость</w:t>
      </w:r>
    </w:p>
    <w:p w14:paraId="33F32870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Фактическая структура расходов на общие ИТ-услуги неизвестна.</w:t>
      </w:r>
    </w:p>
    <w:p w14:paraId="1263265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Наибольшая неопределённость связана с долей общих технологических сервисов в общей структуре затрат и долей расходов, которыми действительно можно управлять через изменение потребления.</w:t>
      </w:r>
    </w:p>
    <w:p w14:paraId="00C255F6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Что нужно для проверки</w:t>
      </w:r>
    </w:p>
    <w:p w14:paraId="3A6871FE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Нужны данные управленческого учёта по центрам затрат, перечень общих сервисов, данные о лицензиях, инфраструктурной мощности и её загрузке, число пользователей, уровни услуг и статистика инцидентов.</w:t>
      </w:r>
    </w:p>
    <w:p w14:paraId="53E9FCE2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каждого сервиса должна быть определена физическая единица потребления.</w:t>
      </w:r>
    </w:p>
    <w:p w14:paraId="529746B6" w14:textId="77777777" w:rsidR="007335C4" w:rsidRPr="001018A5" w:rsidRDefault="00000000">
      <w:pPr>
        <w:keepNext/>
        <w:spacing w:before="160" w:after="80"/>
        <w:rPr>
          <w:lang w:val="ru-RU"/>
        </w:rPr>
      </w:pPr>
      <w:r w:rsidRPr="001018A5">
        <w:rPr>
          <w:b/>
          <w:lang w:val="ru-RU"/>
        </w:rPr>
        <w:t>Допущения</w:t>
      </w:r>
    </w:p>
    <w:p w14:paraId="1080A171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Около 25% непроизводственной численности отнесено к общим технологическим сервисам. Половина их расчётной стоимости принята как переменная часть. Оба значения должны быть заменены фактической структурой затрат.</w:t>
      </w:r>
    </w:p>
    <w:p w14:paraId="31BE200D" w14:textId="77777777" w:rsidR="007335C4" w:rsidRDefault="00000000">
      <w:pPr>
        <w:keepNext/>
        <w:spacing w:before="200" w:after="80"/>
      </w:pPr>
      <w:r>
        <w:rPr>
          <w:b/>
        </w:rPr>
        <w:t>4. Привязка гипотез к P&amp;L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587"/>
        <w:gridCol w:w="2494"/>
        <w:gridCol w:w="1474"/>
        <w:gridCol w:w="2494"/>
      </w:tblGrid>
      <w:tr w:rsidR="007335C4" w14:paraId="41FC7767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 w14:paraId="65E06ECF" w14:textId="77777777" w:rsidR="007335C4" w:rsidRDefault="00000000">
            <w:pPr>
              <w:jc w:val="center"/>
            </w:pPr>
            <w:r>
              <w:rPr>
                <w:b/>
                <w:sz w:val="17"/>
              </w:rPr>
              <w:t>Гипотеза</w:t>
            </w:r>
          </w:p>
        </w:tc>
        <w:tc>
          <w:tcPr>
            <w:tcW w:w="1587" w:type="dxa"/>
            <w:vAlign w:val="center"/>
          </w:tcPr>
          <w:p w14:paraId="6E07DE1A" w14:textId="77777777" w:rsidR="007335C4" w:rsidRDefault="00000000">
            <w:pPr>
              <w:jc w:val="center"/>
            </w:pPr>
            <w:r>
              <w:rPr>
                <w:b/>
                <w:sz w:val="17"/>
              </w:rPr>
              <w:t>Строка P&amp;L</w:t>
            </w:r>
          </w:p>
        </w:tc>
        <w:tc>
          <w:tcPr>
            <w:tcW w:w="2494" w:type="dxa"/>
            <w:vAlign w:val="center"/>
          </w:tcPr>
          <w:p w14:paraId="3EE082A8" w14:textId="77777777" w:rsidR="007335C4" w:rsidRDefault="00000000">
            <w:pPr>
              <w:jc w:val="center"/>
            </w:pPr>
            <w:r>
              <w:rPr>
                <w:b/>
                <w:sz w:val="17"/>
              </w:rPr>
              <w:t>Механика влияния</w:t>
            </w:r>
          </w:p>
        </w:tc>
        <w:tc>
          <w:tcPr>
            <w:tcW w:w="1474" w:type="dxa"/>
            <w:vAlign w:val="center"/>
          </w:tcPr>
          <w:p w14:paraId="46014092" w14:textId="77777777" w:rsidR="007335C4" w:rsidRDefault="00000000">
            <w:pPr>
              <w:jc w:val="center"/>
            </w:pPr>
            <w:r>
              <w:rPr>
                <w:b/>
                <w:sz w:val="17"/>
              </w:rPr>
              <w:t>Оценка эффекта в процентах</w:t>
            </w:r>
          </w:p>
        </w:tc>
        <w:tc>
          <w:tcPr>
            <w:tcW w:w="2494" w:type="dxa"/>
            <w:vAlign w:val="center"/>
          </w:tcPr>
          <w:p w14:paraId="3916FD34" w14:textId="77777777" w:rsidR="007335C4" w:rsidRDefault="00000000">
            <w:pPr>
              <w:jc w:val="center"/>
            </w:pPr>
            <w:r>
              <w:rPr>
                <w:b/>
                <w:sz w:val="17"/>
              </w:rPr>
              <w:t>Откуда взята оценка</w:t>
            </w:r>
          </w:p>
        </w:tc>
      </w:tr>
      <w:tr w:rsidR="007335C4" w:rsidRPr="001018A5" w14:paraId="30A4217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D7D7726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№1. Автоматизация подготовки и согласования релиза</w:t>
            </w:r>
          </w:p>
        </w:tc>
        <w:tc>
          <w:tcPr>
            <w:tcW w:w="1587" w:type="dxa"/>
            <w:vAlign w:val="center"/>
          </w:tcPr>
          <w:p w14:paraId="2150A048" w14:textId="77777777" w:rsidR="007335C4" w:rsidRDefault="00000000">
            <w:r>
              <w:rPr>
                <w:sz w:val="17"/>
              </w:rPr>
              <w:t>Выручка</w:t>
            </w:r>
          </w:p>
        </w:tc>
        <w:tc>
          <w:tcPr>
            <w:tcW w:w="2494" w:type="dxa"/>
            <w:vAlign w:val="center"/>
          </w:tcPr>
          <w:p w14:paraId="2D21BBD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Высвобождение производственного времени увеличивает оплачиваемую загрузку</w:t>
            </w:r>
          </w:p>
        </w:tc>
        <w:tc>
          <w:tcPr>
            <w:tcW w:w="1474" w:type="dxa"/>
            <w:vAlign w:val="center"/>
          </w:tcPr>
          <w:p w14:paraId="022F8D69" w14:textId="77777777" w:rsidR="007335C4" w:rsidRDefault="00000000">
            <w:r>
              <w:rPr>
                <w:sz w:val="17"/>
              </w:rPr>
              <w:t>0,65% выручки</w:t>
            </w:r>
          </w:p>
        </w:tc>
        <w:tc>
          <w:tcPr>
            <w:tcW w:w="2494" w:type="dxa"/>
            <w:vAlign w:val="center"/>
          </w:tcPr>
          <w:p w14:paraId="75509D01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Порог +0,5 п.п. оплачиваемой загрузки при отраслевой оценке около +1,3% выручки на 1 п.п.</w:t>
            </w:r>
          </w:p>
        </w:tc>
      </w:tr>
      <w:tr w:rsidR="007335C4" w:rsidRPr="001018A5" w14:paraId="043B9CA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3A54EAA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№2. Раннее архитектурное и ИБ-согласование</w:t>
            </w:r>
          </w:p>
        </w:tc>
        <w:tc>
          <w:tcPr>
            <w:tcW w:w="1587" w:type="dxa"/>
            <w:vAlign w:val="center"/>
          </w:tcPr>
          <w:p w14:paraId="17C7A794" w14:textId="77777777" w:rsidR="007335C4" w:rsidRDefault="00000000">
            <w:r>
              <w:rPr>
                <w:sz w:val="17"/>
              </w:rPr>
              <w:t>Себестоимость переделок</w:t>
            </w:r>
          </w:p>
        </w:tc>
        <w:tc>
          <w:tcPr>
            <w:tcW w:w="2494" w:type="dxa"/>
            <w:vAlign w:val="center"/>
          </w:tcPr>
          <w:p w14:paraId="617487BE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Сокращаются трудозатраты на исправление уже реализованных решений</w:t>
            </w:r>
          </w:p>
        </w:tc>
        <w:tc>
          <w:tcPr>
            <w:tcW w:w="1474" w:type="dxa"/>
            <w:vAlign w:val="center"/>
          </w:tcPr>
          <w:p w14:paraId="4E887FF4" w14:textId="77777777" w:rsidR="007335C4" w:rsidRDefault="00000000">
            <w:r>
              <w:rPr>
                <w:sz w:val="17"/>
              </w:rPr>
              <w:t>6,25% статьи переделок</w:t>
            </w:r>
          </w:p>
        </w:tc>
        <w:tc>
          <w:tcPr>
            <w:tcW w:w="2494" w:type="dxa"/>
            <w:vAlign w:val="center"/>
          </w:tcPr>
          <w:p w14:paraId="65A19E1D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Снижение расчётной доли соответствующих переделок с 8,0% до 7,5%</w:t>
            </w:r>
          </w:p>
        </w:tc>
      </w:tr>
      <w:tr w:rsidR="007335C4" w:rsidRPr="001018A5" w14:paraId="198A52D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DF5452C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№3. Учёт фактического потребления общих ИТ-услуг</w:t>
            </w:r>
          </w:p>
        </w:tc>
        <w:tc>
          <w:tcPr>
            <w:tcW w:w="1587" w:type="dxa"/>
            <w:vAlign w:val="center"/>
          </w:tcPr>
          <w:p w14:paraId="456BA40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Операционные расходы на общие ИТ-услуги</w:t>
            </w:r>
          </w:p>
        </w:tc>
        <w:tc>
          <w:tcPr>
            <w:tcW w:w="2494" w:type="dxa"/>
            <w:vAlign w:val="center"/>
          </w:tcPr>
          <w:p w14:paraId="4D80112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Сокращается необязательное и неиспользуемое потребление</w:t>
            </w:r>
          </w:p>
        </w:tc>
        <w:tc>
          <w:tcPr>
            <w:tcW w:w="1474" w:type="dxa"/>
            <w:vAlign w:val="center"/>
          </w:tcPr>
          <w:p w14:paraId="452008D9" w14:textId="77777777" w:rsidR="007335C4" w:rsidRDefault="00000000">
            <w:r>
              <w:rPr>
                <w:sz w:val="17"/>
              </w:rPr>
              <w:t>5% переменной части статьи</w:t>
            </w:r>
          </w:p>
        </w:tc>
        <w:tc>
          <w:tcPr>
            <w:tcW w:w="2494" w:type="dxa"/>
            <w:vAlign w:val="center"/>
          </w:tcPr>
          <w:p w14:paraId="79003F53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7"/>
                <w:lang w:val="ru-RU"/>
              </w:rPr>
              <w:t>Расчётная переменная база около 3,52 млрд руб.</w:t>
            </w:r>
          </w:p>
        </w:tc>
      </w:tr>
    </w:tbl>
    <w:p w14:paraId="6A987CA2" w14:textId="77777777" w:rsidR="007335C4" w:rsidRPr="001018A5" w:rsidRDefault="007335C4">
      <w:pPr>
        <w:spacing w:after="0"/>
        <w:rPr>
          <w:lang w:val="ru-RU"/>
        </w:rPr>
      </w:pPr>
    </w:p>
    <w:p w14:paraId="76F2491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lastRenderedPageBreak/>
        <w:t>Предварительная сумма годовых эффектов до учёта пересечений составляет</w:t>
      </w:r>
    </w:p>
    <w:p w14:paraId="47EAC2F5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>637 + 211 + 176 = около 1 024 млн руб.</w:t>
      </w:r>
    </w:p>
    <w:p w14:paraId="1446157C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Это примерно 1,05% выручки 2025 года.</w:t>
      </w:r>
    </w:p>
    <w:p w14:paraId="5FB2FFC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Эта сумма используется только для проверки порядка величины. Итоговый совокупный эффект требует исключения пересечений между гипотезами.</w:t>
      </w:r>
    </w:p>
    <w:p w14:paraId="710B44F0" w14:textId="77777777" w:rsidR="007335C4" w:rsidRPr="001018A5" w:rsidRDefault="00000000">
      <w:pPr>
        <w:keepNext/>
        <w:spacing w:before="200" w:after="80"/>
        <w:rPr>
          <w:lang w:val="ru-RU"/>
        </w:rPr>
      </w:pPr>
      <w:r w:rsidRPr="001018A5">
        <w:rPr>
          <w:b/>
          <w:lang w:val="ru-RU"/>
        </w:rPr>
        <w:t>5. Приоритизация</w:t>
      </w:r>
    </w:p>
    <w:p w14:paraId="5860AE9C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трёх гипотез используется единая формула</w:t>
      </w:r>
    </w:p>
    <w:p w14:paraId="10178798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>Приоритет = годовой экономический эффект / единовременные затраты на внедрение.</w:t>
      </w:r>
    </w:p>
    <w:p w14:paraId="71B97B6D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Показатель показывает, сколько рублей годового эффекта приходится на один рубль первоначальных затрат при выполнении гипотезы.</w:t>
      </w:r>
    </w:p>
    <w:p w14:paraId="73C1010D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гипотезы №1 стоимость внедрения принимается около 63 млн руб. Расчёт предполагает 16 полных ставок на девять месяцев и 20% дополнительных расходов на интеграцию и масштабирование</w:t>
      </w:r>
    </w:p>
    <w:p w14:paraId="4E5244AF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16 </w:t>
      </w:r>
      <w:r>
        <w:t>x</w:t>
      </w:r>
      <w:r w:rsidRPr="001018A5">
        <w:rPr>
          <w:lang w:val="ru-RU"/>
        </w:rPr>
        <w:t xml:space="preserve"> 4,4 млн </w:t>
      </w:r>
      <w:r>
        <w:t>x</w:t>
      </w:r>
      <w:r w:rsidRPr="001018A5">
        <w:rPr>
          <w:lang w:val="ru-RU"/>
        </w:rPr>
        <w:t xml:space="preserve"> 0,75 </w:t>
      </w:r>
      <w:r>
        <w:t>x</w:t>
      </w:r>
      <w:r w:rsidRPr="001018A5">
        <w:rPr>
          <w:lang w:val="ru-RU"/>
        </w:rPr>
        <w:t xml:space="preserve"> 1,20 = около 63 млн руб.</w:t>
      </w:r>
    </w:p>
    <w:p w14:paraId="4521DC3E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Ранее рассчитанная стоимость согласующей мощности не считается целиком новым расходом этой гипотезы, поскольку часть соответствующих специалистов и функций уже существует. Фактический прирост постоянных расходов должен определяться относительно текущего штата и бюджета.</w:t>
      </w:r>
    </w:p>
    <w:p w14:paraId="3F0B1B3A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гипотезы №2 стоимость внедрения принимается около 26 млн руб.</w:t>
      </w:r>
    </w:p>
    <w:p w14:paraId="28205EB5" w14:textId="77777777" w:rsidR="007335C4" w:rsidRPr="001018A5" w:rsidRDefault="00000000">
      <w:pPr>
        <w:spacing w:after="0" w:line="360" w:lineRule="auto"/>
        <w:rPr>
          <w:lang w:val="ru-RU"/>
        </w:rPr>
      </w:pPr>
      <w:r w:rsidRPr="001018A5">
        <w:rPr>
          <w:lang w:val="ru-RU"/>
        </w:rPr>
        <w:t xml:space="preserve">10 </w:t>
      </w:r>
      <w:r>
        <w:t>x</w:t>
      </w:r>
      <w:r w:rsidRPr="001018A5">
        <w:rPr>
          <w:lang w:val="ru-RU"/>
        </w:rPr>
        <w:t xml:space="preserve"> 4,4 млн </w:t>
      </w:r>
      <w:r>
        <w:t>x</w:t>
      </w:r>
      <w:r w:rsidRPr="001018A5">
        <w:rPr>
          <w:lang w:val="ru-RU"/>
        </w:rPr>
        <w:t xml:space="preserve"> 0,5 </w:t>
      </w:r>
      <w:r>
        <w:t>x</w:t>
      </w:r>
      <w:r w:rsidRPr="001018A5">
        <w:rPr>
          <w:lang w:val="ru-RU"/>
        </w:rPr>
        <w:t xml:space="preserve"> 1,20 = около 26 млн руб.</w:t>
      </w:r>
    </w:p>
    <w:p w14:paraId="7CDE0909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Для гипотезы №3 используется ранее рассчитанная стоимость программы прозрачности ИТ-затрат около 33 млн руб.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871"/>
        <w:gridCol w:w="2268"/>
        <w:gridCol w:w="1701"/>
        <w:gridCol w:w="1361"/>
      </w:tblGrid>
      <w:tr w:rsidR="007335C4" w14:paraId="33AED72C" w14:textId="77777777">
        <w:trPr>
          <w:cantSplit/>
          <w:tblHeader/>
          <w:jc w:val="center"/>
        </w:trPr>
        <w:tc>
          <w:tcPr>
            <w:tcW w:w="1304" w:type="dxa"/>
            <w:vAlign w:val="center"/>
          </w:tcPr>
          <w:p w14:paraId="6D0DA2D1" w14:textId="77777777" w:rsidR="007335C4" w:rsidRDefault="00000000">
            <w:pPr>
              <w:jc w:val="center"/>
            </w:pPr>
            <w:r>
              <w:rPr>
                <w:b/>
                <w:sz w:val="18"/>
              </w:rPr>
              <w:t>Гипотеза</w:t>
            </w:r>
          </w:p>
        </w:tc>
        <w:tc>
          <w:tcPr>
            <w:tcW w:w="1871" w:type="dxa"/>
            <w:vAlign w:val="center"/>
          </w:tcPr>
          <w:p w14:paraId="3F2C1234" w14:textId="77777777" w:rsidR="007335C4" w:rsidRDefault="00000000">
            <w:pPr>
              <w:jc w:val="center"/>
            </w:pPr>
            <w:r>
              <w:rPr>
                <w:b/>
                <w:sz w:val="18"/>
              </w:rPr>
              <w:t>Годовой эффект, млн руб.</w:t>
            </w:r>
          </w:p>
        </w:tc>
        <w:tc>
          <w:tcPr>
            <w:tcW w:w="2268" w:type="dxa"/>
            <w:vAlign w:val="center"/>
          </w:tcPr>
          <w:p w14:paraId="18C32C7C" w14:textId="77777777" w:rsidR="007335C4" w:rsidRDefault="00000000">
            <w:pPr>
              <w:jc w:val="center"/>
            </w:pPr>
            <w:r>
              <w:rPr>
                <w:b/>
                <w:sz w:val="18"/>
              </w:rPr>
              <w:t>Единовременные затраты, млн руб.</w:t>
            </w:r>
          </w:p>
        </w:tc>
        <w:tc>
          <w:tcPr>
            <w:tcW w:w="1701" w:type="dxa"/>
            <w:vAlign w:val="center"/>
          </w:tcPr>
          <w:p w14:paraId="128E517D" w14:textId="77777777" w:rsidR="007335C4" w:rsidRDefault="00000000">
            <w:pPr>
              <w:jc w:val="center"/>
            </w:pPr>
            <w:r>
              <w:rPr>
                <w:b/>
                <w:sz w:val="18"/>
              </w:rPr>
              <w:t>Расчёт</w:t>
            </w:r>
          </w:p>
        </w:tc>
        <w:tc>
          <w:tcPr>
            <w:tcW w:w="1361" w:type="dxa"/>
            <w:vAlign w:val="center"/>
          </w:tcPr>
          <w:p w14:paraId="78D8E3FA" w14:textId="77777777" w:rsidR="007335C4" w:rsidRDefault="00000000">
            <w:pPr>
              <w:jc w:val="center"/>
            </w:pPr>
            <w:r>
              <w:rPr>
                <w:b/>
                <w:sz w:val="18"/>
              </w:rPr>
              <w:t>Приоритет</w:t>
            </w:r>
          </w:p>
        </w:tc>
      </w:tr>
      <w:tr w:rsidR="007335C4" w14:paraId="377EBD89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55817572" w14:textId="77777777" w:rsidR="007335C4" w:rsidRDefault="00000000">
            <w:r>
              <w:rPr>
                <w:sz w:val="18"/>
              </w:rPr>
              <w:t>№1</w:t>
            </w:r>
          </w:p>
        </w:tc>
        <w:tc>
          <w:tcPr>
            <w:tcW w:w="1871" w:type="dxa"/>
            <w:vAlign w:val="center"/>
          </w:tcPr>
          <w:p w14:paraId="628374AC" w14:textId="77777777" w:rsidR="007335C4" w:rsidRDefault="00000000">
            <w:r>
              <w:rPr>
                <w:sz w:val="18"/>
              </w:rPr>
              <w:t>637</w:t>
            </w:r>
          </w:p>
        </w:tc>
        <w:tc>
          <w:tcPr>
            <w:tcW w:w="2268" w:type="dxa"/>
            <w:vAlign w:val="center"/>
          </w:tcPr>
          <w:p w14:paraId="681FD7A7" w14:textId="77777777" w:rsidR="007335C4" w:rsidRDefault="00000000">
            <w:r>
              <w:rPr>
                <w:sz w:val="18"/>
              </w:rPr>
              <w:t>63</w:t>
            </w:r>
          </w:p>
        </w:tc>
        <w:tc>
          <w:tcPr>
            <w:tcW w:w="1701" w:type="dxa"/>
            <w:vAlign w:val="center"/>
          </w:tcPr>
          <w:p w14:paraId="28A11476" w14:textId="77777777" w:rsidR="007335C4" w:rsidRDefault="00000000">
            <w:r>
              <w:rPr>
                <w:sz w:val="18"/>
              </w:rPr>
              <w:t>637 / 63</w:t>
            </w:r>
          </w:p>
        </w:tc>
        <w:tc>
          <w:tcPr>
            <w:tcW w:w="1361" w:type="dxa"/>
            <w:vAlign w:val="center"/>
          </w:tcPr>
          <w:p w14:paraId="469AB0D5" w14:textId="77777777" w:rsidR="007335C4" w:rsidRDefault="00000000">
            <w:r>
              <w:rPr>
                <w:sz w:val="18"/>
              </w:rPr>
              <w:t>10,1</w:t>
            </w:r>
          </w:p>
        </w:tc>
      </w:tr>
      <w:tr w:rsidR="007335C4" w14:paraId="2E878BDC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143A08AA" w14:textId="77777777" w:rsidR="007335C4" w:rsidRDefault="00000000">
            <w:r>
              <w:rPr>
                <w:sz w:val="18"/>
              </w:rPr>
              <w:t>№2</w:t>
            </w:r>
          </w:p>
        </w:tc>
        <w:tc>
          <w:tcPr>
            <w:tcW w:w="1871" w:type="dxa"/>
            <w:vAlign w:val="center"/>
          </w:tcPr>
          <w:p w14:paraId="116B17B6" w14:textId="77777777" w:rsidR="007335C4" w:rsidRDefault="00000000">
            <w:r>
              <w:rPr>
                <w:sz w:val="18"/>
              </w:rPr>
              <w:t>211</w:t>
            </w:r>
          </w:p>
        </w:tc>
        <w:tc>
          <w:tcPr>
            <w:tcW w:w="2268" w:type="dxa"/>
            <w:vAlign w:val="center"/>
          </w:tcPr>
          <w:p w14:paraId="54794C33" w14:textId="77777777" w:rsidR="007335C4" w:rsidRDefault="00000000">
            <w:r>
              <w:rPr>
                <w:sz w:val="18"/>
              </w:rPr>
              <w:t>26</w:t>
            </w:r>
          </w:p>
        </w:tc>
        <w:tc>
          <w:tcPr>
            <w:tcW w:w="1701" w:type="dxa"/>
            <w:vAlign w:val="center"/>
          </w:tcPr>
          <w:p w14:paraId="4C6D2B60" w14:textId="77777777" w:rsidR="007335C4" w:rsidRDefault="00000000">
            <w:r>
              <w:rPr>
                <w:sz w:val="18"/>
              </w:rPr>
              <w:t>211 / 26</w:t>
            </w:r>
          </w:p>
        </w:tc>
        <w:tc>
          <w:tcPr>
            <w:tcW w:w="1361" w:type="dxa"/>
            <w:vAlign w:val="center"/>
          </w:tcPr>
          <w:p w14:paraId="1325DC77" w14:textId="77777777" w:rsidR="007335C4" w:rsidRDefault="00000000">
            <w:r>
              <w:rPr>
                <w:sz w:val="18"/>
              </w:rPr>
              <w:t>8,1</w:t>
            </w:r>
          </w:p>
        </w:tc>
      </w:tr>
      <w:tr w:rsidR="007335C4" w14:paraId="33F56DA6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210D4D77" w14:textId="77777777" w:rsidR="007335C4" w:rsidRDefault="00000000">
            <w:r>
              <w:rPr>
                <w:sz w:val="18"/>
              </w:rPr>
              <w:t>№3</w:t>
            </w:r>
          </w:p>
        </w:tc>
        <w:tc>
          <w:tcPr>
            <w:tcW w:w="1871" w:type="dxa"/>
            <w:vAlign w:val="center"/>
          </w:tcPr>
          <w:p w14:paraId="1661A034" w14:textId="77777777" w:rsidR="007335C4" w:rsidRDefault="00000000">
            <w:r>
              <w:rPr>
                <w:sz w:val="18"/>
              </w:rPr>
              <w:t>176</w:t>
            </w:r>
          </w:p>
        </w:tc>
        <w:tc>
          <w:tcPr>
            <w:tcW w:w="2268" w:type="dxa"/>
            <w:vAlign w:val="center"/>
          </w:tcPr>
          <w:p w14:paraId="3A4BB9CA" w14:textId="77777777" w:rsidR="007335C4" w:rsidRDefault="00000000">
            <w:r>
              <w:rPr>
                <w:sz w:val="18"/>
              </w:rPr>
              <w:t>33</w:t>
            </w:r>
          </w:p>
        </w:tc>
        <w:tc>
          <w:tcPr>
            <w:tcW w:w="1701" w:type="dxa"/>
            <w:vAlign w:val="center"/>
          </w:tcPr>
          <w:p w14:paraId="06235E7E" w14:textId="77777777" w:rsidR="007335C4" w:rsidRDefault="00000000">
            <w:r>
              <w:rPr>
                <w:sz w:val="18"/>
              </w:rPr>
              <w:t>176 / 33</w:t>
            </w:r>
          </w:p>
        </w:tc>
        <w:tc>
          <w:tcPr>
            <w:tcW w:w="1361" w:type="dxa"/>
            <w:vAlign w:val="center"/>
          </w:tcPr>
          <w:p w14:paraId="15ECAEAA" w14:textId="77777777" w:rsidR="007335C4" w:rsidRDefault="00000000">
            <w:r>
              <w:rPr>
                <w:sz w:val="18"/>
              </w:rPr>
              <w:t>5,3</w:t>
            </w:r>
          </w:p>
        </w:tc>
      </w:tr>
    </w:tbl>
    <w:p w14:paraId="697C547D" w14:textId="77777777" w:rsidR="007335C4" w:rsidRDefault="007335C4">
      <w:pPr>
        <w:spacing w:after="0"/>
      </w:pPr>
    </w:p>
    <w:p w14:paraId="61C241C9" w14:textId="77777777" w:rsidR="007335C4" w:rsidRDefault="00000000">
      <w:pPr>
        <w:spacing w:after="0" w:line="360" w:lineRule="auto"/>
      </w:pPr>
      <w:r>
        <w:t>Порядок по результатам расчёта</w:t>
      </w:r>
    </w:p>
    <w:p w14:paraId="746297F4" w14:textId="77777777" w:rsidR="007335C4" w:rsidRDefault="00000000">
      <w:pPr>
        <w:spacing w:after="0" w:line="360" w:lineRule="auto"/>
      </w:pPr>
      <w:r>
        <w:t>1. Гипотеза №1.</w:t>
      </w:r>
    </w:p>
    <w:p w14:paraId="056C66FA" w14:textId="77777777" w:rsidR="007335C4" w:rsidRDefault="00000000">
      <w:pPr>
        <w:spacing w:after="0" w:line="360" w:lineRule="auto"/>
      </w:pPr>
      <w:r>
        <w:t>2. Гипотеза №2.</w:t>
      </w:r>
    </w:p>
    <w:p w14:paraId="2AB737B3" w14:textId="77777777" w:rsidR="007335C4" w:rsidRDefault="00000000">
      <w:pPr>
        <w:spacing w:after="0" w:line="360" w:lineRule="auto"/>
      </w:pPr>
      <w:r>
        <w:t>3. Гипотеза №3.</w:t>
      </w:r>
    </w:p>
    <w:p w14:paraId="51E08E51" w14:textId="77777777" w:rsidR="007335C4" w:rsidRDefault="00000000">
      <w:pPr>
        <w:keepNext/>
        <w:spacing w:before="200" w:after="80"/>
      </w:pPr>
      <w:r>
        <w:rPr>
          <w:b/>
        </w:rPr>
        <w:t>6. Выбор для дальнейшей проработки</w:t>
      </w:r>
    </w:p>
    <w:p w14:paraId="2EC08D6C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В ПР3 предлагается перейти с гипотезами №1 и №2.</w:t>
      </w:r>
    </w:p>
    <w:p w14:paraId="2BFE3377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№1 имеет наибольший расчётный приоритет и одновременно относится к двум красным зонам ПР1. Её можно проверять через уже существующий производственный процесс и платформу «Сфера».</w:t>
      </w:r>
    </w:p>
    <w:p w14:paraId="52091DCB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№2 имеет второй приоритет. Для её проверки требуется получить фактическую статистику переделок, после чего изменение можно пилотировать на ограниченном числе потоков.</w:t>
      </w:r>
    </w:p>
    <w:p w14:paraId="42C8CC1D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Гипотеза №3 остаётся в резерве. Создание прозрачной модели ИТ-затрат требуется изменившимся бизнес-контекстом независимо от экономической гипотезы. При этом оценка именно 5% экономии сейчас зависит от наиболее слабой расчётной базы из трёх гипотез.</w:t>
      </w:r>
    </w:p>
    <w:p w14:paraId="2C4B466F" w14:textId="77777777" w:rsidR="007335C4" w:rsidRPr="001018A5" w:rsidRDefault="00000000">
      <w:pPr>
        <w:keepNext/>
        <w:spacing w:before="200" w:after="80"/>
        <w:rPr>
          <w:lang w:val="ru-RU"/>
        </w:rPr>
      </w:pPr>
      <w:r w:rsidRPr="001018A5">
        <w:rPr>
          <w:b/>
          <w:lang w:val="ru-RU"/>
        </w:rPr>
        <w:t>7. Что не включается в дальнейшую проработку</w:t>
      </w:r>
    </w:p>
    <w:p w14:paraId="5ED9D841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 xml:space="preserve">Отдельная гипотеза по обязательным ИБ-проверкам не выделяется. Техническая блокировка релиза без результатов </w:t>
      </w:r>
      <w:r>
        <w:t>SAST</w:t>
      </w:r>
      <w:r w:rsidRPr="001018A5">
        <w:rPr>
          <w:lang w:val="ru-RU"/>
        </w:rPr>
        <w:t xml:space="preserve">, </w:t>
      </w:r>
      <w:r>
        <w:t>SCA</w:t>
      </w:r>
      <w:r w:rsidRPr="001018A5">
        <w:rPr>
          <w:lang w:val="ru-RU"/>
        </w:rPr>
        <w:t xml:space="preserve"> и </w:t>
      </w:r>
      <w:r>
        <w:t>BCA</w:t>
      </w:r>
      <w:r w:rsidRPr="001018A5">
        <w:rPr>
          <w:lang w:val="ru-RU"/>
        </w:rPr>
        <w:t xml:space="preserve"> входит в гипотезу №1 как часть единого процесса подготовки и согласования релизного пакета.</w:t>
      </w:r>
    </w:p>
    <w:p w14:paraId="664A1DD6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Еженедельный выпуск релизов также не рассматривается как самостоятельная денежная гипотеза. Увеличение частоты поставки само по себе не гарантирует роста выручки Иннотеха. Экономический результат проверяется через изменение оплачиваемой загрузки.</w:t>
      </w:r>
    </w:p>
    <w:p w14:paraId="44678DFB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lastRenderedPageBreak/>
        <w:t>Жёлтая зона «Направления» не используется как самостоятельная точка приложения. В ПР1 проблема этой зоны связана с отсутствием публичной сегментной разбивки выручки, а не с подтверждённой экономической потерей.</w:t>
      </w:r>
    </w:p>
    <w:p w14:paraId="53BEBDF5" w14:textId="77777777" w:rsidR="007335C4" w:rsidRPr="001018A5" w:rsidRDefault="00000000">
      <w:pPr>
        <w:spacing w:after="0" w:line="360" w:lineRule="auto"/>
        <w:ind w:firstLine="709"/>
        <w:jc w:val="both"/>
        <w:rPr>
          <w:lang w:val="ru-RU"/>
        </w:rPr>
      </w:pPr>
      <w:r w:rsidRPr="001018A5">
        <w:rPr>
          <w:lang w:val="ru-RU"/>
        </w:rPr>
        <w:t>Зелёная зона «Клиенты и каналы» не даёт проблемного признака для отдельной гипотезы.</w:t>
      </w:r>
    </w:p>
    <w:p w14:paraId="578A4FCC" w14:textId="77777777" w:rsidR="007335C4" w:rsidRPr="001018A5" w:rsidRDefault="00000000">
      <w:pPr>
        <w:keepNext/>
        <w:spacing w:before="200" w:after="80"/>
        <w:rPr>
          <w:lang w:val="ru-RU"/>
        </w:rPr>
      </w:pPr>
      <w:r w:rsidRPr="001018A5">
        <w:rPr>
          <w:b/>
          <w:lang w:val="ru-RU"/>
        </w:rPr>
        <w:t>8. Реестр допущений</w:t>
      </w:r>
    </w:p>
    <w:p w14:paraId="70241F3F" w14:textId="77777777" w:rsidR="007335C4" w:rsidRDefault="00000000">
      <w:pPr>
        <w:spacing w:after="0" w:line="360" w:lineRule="auto"/>
        <w:ind w:firstLine="709"/>
        <w:jc w:val="both"/>
      </w:pPr>
      <w:r w:rsidRPr="001018A5">
        <w:rPr>
          <w:lang w:val="ru-RU"/>
        </w:rPr>
        <w:t xml:space="preserve">Реестр продолжает ПР1 и реакцию на изменение бизнес-контекста. </w:t>
      </w:r>
      <w:r>
        <w:t>Формат таблицы сохраняется.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706"/>
        <w:gridCol w:w="1247"/>
        <w:gridCol w:w="1814"/>
      </w:tblGrid>
      <w:tr w:rsidR="007335C4" w14:paraId="19E2BC01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34CFA16F" w14:textId="77777777" w:rsidR="007335C4" w:rsidRDefault="00000000">
            <w:pPr>
              <w:jc w:val="center"/>
            </w:pPr>
            <w:r>
              <w:rPr>
                <w:b/>
                <w:sz w:val="16"/>
              </w:rPr>
              <w:t>Цифра</w:t>
            </w:r>
          </w:p>
        </w:tc>
        <w:tc>
          <w:tcPr>
            <w:tcW w:w="4706" w:type="dxa"/>
            <w:vAlign w:val="center"/>
          </w:tcPr>
          <w:p w14:paraId="1C70E862" w14:textId="77777777" w:rsidR="007335C4" w:rsidRDefault="00000000">
            <w:pPr>
              <w:jc w:val="center"/>
            </w:pPr>
            <w:r>
              <w:rPr>
                <w:b/>
                <w:sz w:val="16"/>
              </w:rPr>
              <w:t>Откуда взята оценка</w:t>
            </w:r>
          </w:p>
        </w:tc>
        <w:tc>
          <w:tcPr>
            <w:tcW w:w="1247" w:type="dxa"/>
            <w:vAlign w:val="center"/>
          </w:tcPr>
          <w:p w14:paraId="328FAEE6" w14:textId="77777777" w:rsidR="007335C4" w:rsidRDefault="00000000">
            <w:pPr>
              <w:jc w:val="center"/>
            </w:pPr>
            <w:r>
              <w:rPr>
                <w:b/>
                <w:sz w:val="16"/>
              </w:rPr>
              <w:t>Уверенность</w:t>
            </w:r>
          </w:p>
        </w:tc>
        <w:tc>
          <w:tcPr>
            <w:tcW w:w="1814" w:type="dxa"/>
            <w:vAlign w:val="center"/>
          </w:tcPr>
          <w:p w14:paraId="4D358957" w14:textId="77777777" w:rsidR="007335C4" w:rsidRDefault="00000000">
            <w:pPr>
              <w:jc w:val="center"/>
            </w:pPr>
            <w:r>
              <w:rPr>
                <w:b/>
                <w:sz w:val="16"/>
              </w:rPr>
              <w:t>Кто или что проверит</w:t>
            </w:r>
          </w:p>
        </w:tc>
      </w:tr>
      <w:tr w:rsidR="007335C4" w:rsidRPr="001018A5" w14:paraId="07A3D52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532D55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60% сотрудников участвуют непосредственно в создании и поставке изменений</w:t>
            </w:r>
          </w:p>
        </w:tc>
        <w:tc>
          <w:tcPr>
            <w:tcW w:w="4706" w:type="dxa"/>
            <w:vAlign w:val="center"/>
          </w:tcPr>
          <w:p w14:paraId="53FEEDD8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Публичного распределения персонала Иннотеха по функциям нет. Для модели предполагается, что около 40% численности занято сопровождением, эксплуатацией, платформенными и корпоративными функциями, ИБ, архитектурой и управлением.</w:t>
            </w:r>
          </w:p>
        </w:tc>
        <w:tc>
          <w:tcPr>
            <w:tcW w:w="1247" w:type="dxa"/>
            <w:vAlign w:val="center"/>
          </w:tcPr>
          <w:p w14:paraId="75F75ABF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2D614514" w14:textId="77777777" w:rsidR="007335C4" w:rsidRPr="001018A5" w:rsidRDefault="00000000">
            <w:pPr>
              <w:rPr>
                <w:lang w:val="ru-RU"/>
              </w:rPr>
            </w:pPr>
            <w:r>
              <w:rPr>
                <w:sz w:val="16"/>
              </w:rPr>
              <w:t>HR</w:t>
            </w:r>
            <w:r w:rsidRPr="001018A5">
              <w:rPr>
                <w:sz w:val="16"/>
                <w:lang w:val="ru-RU"/>
              </w:rPr>
              <w:t xml:space="preserve"> и финансовый блок Иннотеха</w:t>
            </w:r>
          </w:p>
        </w:tc>
      </w:tr>
      <w:tr w:rsidR="007335C4" w:rsidRPr="001018A5" w14:paraId="198856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3403B1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80 человек на один продуктовый или клиентский поток</w:t>
            </w:r>
          </w:p>
        </w:tc>
        <w:tc>
          <w:tcPr>
            <w:tcW w:w="4706" w:type="dxa"/>
            <w:vAlign w:val="center"/>
          </w:tcPr>
          <w:p w14:paraId="6D7E79AF" w14:textId="77777777" w:rsidR="007335C4" w:rsidRDefault="00000000">
            <w:r w:rsidRPr="001018A5">
              <w:rPr>
                <w:sz w:val="16"/>
                <w:lang w:val="ru-RU"/>
              </w:rPr>
              <w:t xml:space="preserve">Поток рассматривается как несколько связанных команд разработки, анализа и тестирования вместе с относимой частью технических ролей. </w:t>
            </w:r>
            <w:r>
              <w:rPr>
                <w:sz w:val="16"/>
              </w:rPr>
              <w:t>Число используется только для оценки количества независимых потоков.</w:t>
            </w:r>
          </w:p>
        </w:tc>
        <w:tc>
          <w:tcPr>
            <w:tcW w:w="1247" w:type="dxa"/>
            <w:vAlign w:val="center"/>
          </w:tcPr>
          <w:p w14:paraId="280F2D5B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94BBC6B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Организационная структура и руководители направлений</w:t>
            </w:r>
          </w:p>
        </w:tc>
      </w:tr>
      <w:tr w:rsidR="007335C4" w:rsidRPr="001018A5" w14:paraId="02F497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5FA9A3" w14:textId="77777777" w:rsidR="007335C4" w:rsidRDefault="00000000">
            <w:r>
              <w:rPr>
                <w:sz w:val="16"/>
              </w:rPr>
              <w:t>120 потоков</w:t>
            </w:r>
          </w:p>
        </w:tc>
        <w:tc>
          <w:tcPr>
            <w:tcW w:w="4706" w:type="dxa"/>
            <w:vAlign w:val="center"/>
          </w:tcPr>
          <w:p w14:paraId="56FB9427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 xml:space="preserve">16 000 сотрудников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60% непосредственно занятых в поставке / 80 человек на поток = 120.</w:t>
            </w:r>
          </w:p>
        </w:tc>
        <w:tc>
          <w:tcPr>
            <w:tcW w:w="1247" w:type="dxa"/>
            <w:vAlign w:val="center"/>
          </w:tcPr>
          <w:p w14:paraId="0C6F7004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2A2906B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Реальный портфель продуктов, проектов и выделенных центров разработки</w:t>
            </w:r>
          </w:p>
        </w:tc>
      </w:tr>
      <w:tr w:rsidR="007335C4" w:rsidRPr="001018A5" w14:paraId="610D4C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59096A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20 человеко-часов на согласование одного пакета</w:t>
            </w:r>
          </w:p>
        </w:tc>
        <w:tc>
          <w:tcPr>
            <w:tcW w:w="4706" w:type="dxa"/>
            <w:vAlign w:val="center"/>
          </w:tcPr>
          <w:p w14:paraId="7ECB26C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 xml:space="preserve">8 ч ИБ + 4 ч архитектура + 4 ч </w:t>
            </w:r>
            <w:r>
              <w:rPr>
                <w:sz w:val="16"/>
              </w:rPr>
              <w:t>QA</w:t>
            </w:r>
            <w:r w:rsidRPr="001018A5">
              <w:rPr>
                <w:sz w:val="16"/>
                <w:lang w:val="ru-RU"/>
              </w:rPr>
              <w:t>/ПСИ + 2 ч проверка прослеживаемости + 2 ч координация.</w:t>
            </w:r>
          </w:p>
        </w:tc>
        <w:tc>
          <w:tcPr>
            <w:tcW w:w="1247" w:type="dxa"/>
            <w:vAlign w:val="center"/>
          </w:tcPr>
          <w:p w14:paraId="529CDB58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6979A7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Учёт фактических трудозатрат после запуска процесса</w:t>
            </w:r>
          </w:p>
        </w:tc>
      </w:tr>
      <w:tr w:rsidR="007335C4" w14:paraId="481CA7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2A73F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30 часов в неделю на рассмотрение пакетов для одной полной ставки</w:t>
            </w:r>
          </w:p>
        </w:tc>
        <w:tc>
          <w:tcPr>
            <w:tcW w:w="4706" w:type="dxa"/>
            <w:vAlign w:val="center"/>
          </w:tcPr>
          <w:p w14:paraId="35B0D41B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Из 40 рабочих часов около 10 оставляются на совещания, внутренние задачи, обучение, администрирование и переключение между задачами.</w:t>
            </w:r>
          </w:p>
        </w:tc>
        <w:tc>
          <w:tcPr>
            <w:tcW w:w="1247" w:type="dxa"/>
            <w:vAlign w:val="center"/>
          </w:tcPr>
          <w:p w14:paraId="5BC5DACF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50683095" w14:textId="77777777" w:rsidR="007335C4" w:rsidRDefault="00000000">
            <w:r>
              <w:rPr>
                <w:sz w:val="16"/>
              </w:rPr>
              <w:t>Фактическая загрузка согласующих функций</w:t>
            </w:r>
          </w:p>
        </w:tc>
      </w:tr>
      <w:tr w:rsidR="007335C4" w:rsidRPr="001018A5" w14:paraId="4F26D3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6073B3" w14:textId="77777777" w:rsidR="007335C4" w:rsidRDefault="00000000">
            <w:r>
              <w:rPr>
                <w:sz w:val="16"/>
              </w:rPr>
              <w:t>20% резерва мощности</w:t>
            </w:r>
          </w:p>
        </w:tc>
        <w:tc>
          <w:tcPr>
            <w:tcW w:w="4706" w:type="dxa"/>
            <w:vAlign w:val="center"/>
          </w:tcPr>
          <w:p w14:paraId="25434629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Запас учитывает повторные проверки, отсутствие сотрудников, срочные изменения и неравномерность поступления релизов.</w:t>
            </w:r>
          </w:p>
        </w:tc>
        <w:tc>
          <w:tcPr>
            <w:tcW w:w="1247" w:type="dxa"/>
            <w:vAlign w:val="center"/>
          </w:tcPr>
          <w:p w14:paraId="20E76C36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92F1AD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Статистика загрузки и очередей после нескольких месяцев работы</w:t>
            </w:r>
          </w:p>
        </w:tc>
      </w:tr>
      <w:tr w:rsidR="007335C4" w:rsidRPr="001018A5" w14:paraId="640C6DE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8309DB" w14:textId="77777777" w:rsidR="007335C4" w:rsidRDefault="00000000">
            <w:r>
              <w:rPr>
                <w:sz w:val="16"/>
              </w:rPr>
              <w:t>96 полных ставок согласующей мощности</w:t>
            </w:r>
          </w:p>
        </w:tc>
        <w:tc>
          <w:tcPr>
            <w:tcW w:w="4706" w:type="dxa"/>
            <w:vAlign w:val="center"/>
          </w:tcPr>
          <w:p w14:paraId="011DD49A" w14:textId="77777777" w:rsidR="007335C4" w:rsidRDefault="00000000">
            <w:r w:rsidRPr="001018A5">
              <w:rPr>
                <w:sz w:val="16"/>
                <w:lang w:val="ru-RU"/>
              </w:rPr>
              <w:t xml:space="preserve">120 пакетов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20 ч = 2 400 ч в неделю. При 30 часах на одну ставку требуется 80 ставок. </w:t>
            </w:r>
            <w:r>
              <w:rPr>
                <w:sz w:val="16"/>
              </w:rPr>
              <w:t>С резервом 20% получается 96.</w:t>
            </w:r>
          </w:p>
        </w:tc>
        <w:tc>
          <w:tcPr>
            <w:tcW w:w="1247" w:type="dxa"/>
            <w:vAlign w:val="center"/>
          </w:tcPr>
          <w:p w14:paraId="7071DAB4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5AE02586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Фактический поток релизов и загрузка согласующих</w:t>
            </w:r>
          </w:p>
        </w:tc>
      </w:tr>
      <w:tr w:rsidR="007335C4" w14:paraId="110E3D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E12A28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4,4 млн руб. стоимости одной полной ставки в год</w:t>
            </w:r>
          </w:p>
        </w:tc>
        <w:tc>
          <w:tcPr>
            <w:tcW w:w="4706" w:type="dxa"/>
            <w:vAlign w:val="center"/>
          </w:tcPr>
          <w:p w14:paraId="181B284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70,801 млрд руб. себестоимости продаж из ПР1 делятся на 16 тыс. сотрудников направления Т1 Иннотех. Полученная величина используется как приближённая полная производственная стоимость одной ставки, а не как зарплата.</w:t>
            </w:r>
          </w:p>
        </w:tc>
        <w:tc>
          <w:tcPr>
            <w:tcW w:w="1247" w:type="dxa"/>
            <w:vAlign w:val="center"/>
          </w:tcPr>
          <w:p w14:paraId="64E62821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C9E5420" w14:textId="77777777" w:rsidR="007335C4" w:rsidRDefault="00000000">
            <w:r>
              <w:rPr>
                <w:sz w:val="16"/>
              </w:rPr>
              <w:t>Управленческий учёт Иннотеха</w:t>
            </w:r>
          </w:p>
        </w:tc>
      </w:tr>
      <w:tr w:rsidR="007335C4" w14:paraId="621E27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4D8A0A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425 млн руб. в год на согласующую мощность</w:t>
            </w:r>
          </w:p>
        </w:tc>
        <w:tc>
          <w:tcPr>
            <w:tcW w:w="4706" w:type="dxa"/>
            <w:vAlign w:val="center"/>
          </w:tcPr>
          <w:p w14:paraId="3BB57F4B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 xml:space="preserve">96 ставок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расчётная стоимость одной ставки дают около 425 млн руб.</w:t>
            </w:r>
          </w:p>
        </w:tc>
        <w:tc>
          <w:tcPr>
            <w:tcW w:w="1247" w:type="dxa"/>
            <w:vAlign w:val="center"/>
          </w:tcPr>
          <w:p w14:paraId="3CE13C09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27C8EC4E" w14:textId="77777777" w:rsidR="007335C4" w:rsidRDefault="00000000">
            <w:r>
              <w:rPr>
                <w:sz w:val="16"/>
              </w:rPr>
              <w:t>Финансовый блок</w:t>
            </w:r>
          </w:p>
        </w:tc>
      </w:tr>
      <w:tr w:rsidR="007335C4" w:rsidRPr="001018A5" w14:paraId="09EE4B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D6B34D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68 тыс. руб. на один релизный пакет</w:t>
            </w:r>
          </w:p>
        </w:tc>
        <w:tc>
          <w:tcPr>
            <w:tcW w:w="4706" w:type="dxa"/>
            <w:vAlign w:val="center"/>
          </w:tcPr>
          <w:p w14:paraId="7CA97440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425 млн руб. / 6 240 пакетов в год при 120 еженедельных потоках.</w:t>
            </w:r>
          </w:p>
        </w:tc>
        <w:tc>
          <w:tcPr>
            <w:tcW w:w="1247" w:type="dxa"/>
            <w:vAlign w:val="center"/>
          </w:tcPr>
          <w:p w14:paraId="0BDDAEF1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528D1869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Фактические расходы и количество обработанных пакетов</w:t>
            </w:r>
          </w:p>
        </w:tc>
      </w:tr>
      <w:tr w:rsidR="007335C4" w14:paraId="16BF8BC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C83302" w14:textId="77777777" w:rsidR="007335C4" w:rsidRDefault="00000000">
            <w:r w:rsidRPr="001018A5">
              <w:rPr>
                <w:sz w:val="16"/>
                <w:lang w:val="ru-RU"/>
              </w:rPr>
              <w:t xml:space="preserve">490 млн руб. в год на обязательную </w:t>
            </w:r>
            <w:r>
              <w:rPr>
                <w:sz w:val="16"/>
              </w:rPr>
              <w:t>ИБ</w:t>
            </w:r>
          </w:p>
        </w:tc>
        <w:tc>
          <w:tcPr>
            <w:tcW w:w="4706" w:type="dxa"/>
            <w:vAlign w:val="center"/>
          </w:tcPr>
          <w:p w14:paraId="3C5985C7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Для моделирования принимается бюджет на уровне 0,5% выручки Иннотеха. При выручке 97,988 млрд руб. это около 490 млн руб. Фактический бюджет компании неизвестен.</w:t>
            </w:r>
          </w:p>
        </w:tc>
        <w:tc>
          <w:tcPr>
            <w:tcW w:w="1247" w:type="dxa"/>
            <w:vAlign w:val="center"/>
          </w:tcPr>
          <w:p w14:paraId="516E0A05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05833CC9" w14:textId="77777777" w:rsidR="007335C4" w:rsidRDefault="00000000">
            <w:r>
              <w:rPr>
                <w:sz w:val="16"/>
              </w:rPr>
              <w:t>CISO и финансовый блок</w:t>
            </w:r>
          </w:p>
        </w:tc>
      </w:tr>
      <w:tr w:rsidR="007335C4" w14:paraId="6A9B9DF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61A02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170 млн руб. согласующей ИБ-мощности</w:t>
            </w:r>
          </w:p>
        </w:tc>
        <w:tc>
          <w:tcPr>
            <w:tcW w:w="4706" w:type="dxa"/>
            <w:vAlign w:val="center"/>
          </w:tcPr>
          <w:p w14:paraId="354958ED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На ИБ приходится 8 из 20 часов согласования одного пакета, то есть около 40% рассчитанной согласующей мощности.</w:t>
            </w:r>
          </w:p>
        </w:tc>
        <w:tc>
          <w:tcPr>
            <w:tcW w:w="1247" w:type="dxa"/>
            <w:vAlign w:val="center"/>
          </w:tcPr>
          <w:p w14:paraId="59E53963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49D77B22" w14:textId="77777777" w:rsidR="007335C4" w:rsidRDefault="00000000">
            <w:r>
              <w:rPr>
                <w:sz w:val="16"/>
              </w:rPr>
              <w:t>Учёт фактической загрузки ИБ</w:t>
            </w:r>
          </w:p>
        </w:tc>
      </w:tr>
      <w:tr w:rsidR="007335C4" w:rsidRPr="001018A5" w14:paraId="0D7DC22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080C08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Три недели задержки повторной приёмки</w:t>
            </w:r>
          </w:p>
        </w:tc>
        <w:tc>
          <w:tcPr>
            <w:tcW w:w="4706" w:type="dxa"/>
            <w:vAlign w:val="center"/>
          </w:tcPr>
          <w:p w14:paraId="22C2800D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Одна неделя на устранение проблемы, одна на повторное тестирование и проверки, одна на повторную приёмку ВТБ.</w:t>
            </w:r>
          </w:p>
        </w:tc>
        <w:tc>
          <w:tcPr>
            <w:tcW w:w="1247" w:type="dxa"/>
            <w:vAlign w:val="center"/>
          </w:tcPr>
          <w:p w14:paraId="1AB730FE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00DF3195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Реальный план устранения и повторной приёмки</w:t>
            </w:r>
          </w:p>
        </w:tc>
      </w:tr>
      <w:tr w:rsidR="007335C4" w14:paraId="47537F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8EEFCC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47 млн руб. выручки под риском</w:t>
            </w:r>
          </w:p>
        </w:tc>
        <w:tc>
          <w:tcPr>
            <w:tcW w:w="4706" w:type="dxa"/>
            <w:vAlign w:val="center"/>
          </w:tcPr>
          <w:p w14:paraId="029233FA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 xml:space="preserve">97,988 млрд руб. / 120 потоков / 52 недели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3 недели задержки = около 47 млн руб.</w:t>
            </w:r>
          </w:p>
        </w:tc>
        <w:tc>
          <w:tcPr>
            <w:tcW w:w="1247" w:type="dxa"/>
            <w:vAlign w:val="center"/>
          </w:tcPr>
          <w:p w14:paraId="3DE0A4E5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E22C7AF" w14:textId="77777777" w:rsidR="007335C4" w:rsidRDefault="00000000">
            <w:r>
              <w:rPr>
                <w:sz w:val="16"/>
              </w:rPr>
              <w:t>Финансовый куратор договора</w:t>
            </w:r>
          </w:p>
        </w:tc>
      </w:tr>
      <w:tr w:rsidR="007335C4" w14:paraId="0B23AB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534109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12 полных ставок на создание модели прозрачности затрат</w:t>
            </w:r>
          </w:p>
        </w:tc>
        <w:tc>
          <w:tcPr>
            <w:tcW w:w="4706" w:type="dxa"/>
            <w:vAlign w:val="center"/>
          </w:tcPr>
          <w:p w14:paraId="39F2ED68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Предполагается временная центральная команда из специалистов по финансовой модели услуг, данным, интеграциям и управлению программой.</w:t>
            </w:r>
          </w:p>
        </w:tc>
        <w:tc>
          <w:tcPr>
            <w:tcW w:w="1247" w:type="dxa"/>
            <w:vAlign w:val="center"/>
          </w:tcPr>
          <w:p w14:paraId="378A8147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578E5A1B" w14:textId="77777777" w:rsidR="007335C4" w:rsidRDefault="00000000">
            <w:r>
              <w:rPr>
                <w:sz w:val="16"/>
              </w:rPr>
              <w:t>Руководитель программы</w:t>
            </w:r>
          </w:p>
        </w:tc>
      </w:tr>
      <w:tr w:rsidR="007335C4" w:rsidRPr="001018A5" w14:paraId="213F8AC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746AD5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lastRenderedPageBreak/>
              <w:t>Шесть месяцев на внедрение модели прозрачности затрат</w:t>
            </w:r>
          </w:p>
        </w:tc>
        <w:tc>
          <w:tcPr>
            <w:tcW w:w="4706" w:type="dxa"/>
            <w:vAlign w:val="center"/>
          </w:tcPr>
          <w:p w14:paraId="77335F58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Срок включает инвентаризацию услуг, назначение владельцев, настройку единиц потребления, подключение данных и пробный расчёт.</w:t>
            </w:r>
          </w:p>
        </w:tc>
        <w:tc>
          <w:tcPr>
            <w:tcW w:w="1247" w:type="dxa"/>
            <w:vAlign w:val="center"/>
          </w:tcPr>
          <w:p w14:paraId="08DD9774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3807E095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План программы после детального проектирования</w:t>
            </w:r>
          </w:p>
        </w:tc>
      </w:tr>
      <w:tr w:rsidR="007335C4" w14:paraId="1ED746A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BA9A5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33 млн руб. на внедрение модели прозрачности затрат</w:t>
            </w:r>
          </w:p>
        </w:tc>
        <w:tc>
          <w:tcPr>
            <w:tcW w:w="4706" w:type="dxa"/>
            <w:vAlign w:val="center"/>
          </w:tcPr>
          <w:p w14:paraId="1ABF534C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Полугодовая стоимость 12 расчётных ставок увеличивается на 25% для настройки интеграций, отчётности и резерва программы.</w:t>
            </w:r>
          </w:p>
        </w:tc>
        <w:tc>
          <w:tcPr>
            <w:tcW w:w="1247" w:type="dxa"/>
            <w:vAlign w:val="center"/>
          </w:tcPr>
          <w:p w14:paraId="38EB48BA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3551D14D" w14:textId="77777777" w:rsidR="007335C4" w:rsidRDefault="00000000">
            <w:r>
              <w:rPr>
                <w:sz w:val="16"/>
              </w:rPr>
              <w:t>Финансовая смета программы</w:t>
            </w:r>
          </w:p>
        </w:tc>
      </w:tr>
      <w:tr w:rsidR="007335C4" w:rsidRPr="001018A5" w14:paraId="5116FA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BD1ED3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15 рабочих дней текущего формального согласования</w:t>
            </w:r>
          </w:p>
        </w:tc>
        <w:tc>
          <w:tcPr>
            <w:tcW w:w="4706" w:type="dxa"/>
            <w:vAlign w:val="center"/>
          </w:tcPr>
          <w:p w14:paraId="49544F0E" w14:textId="77777777" w:rsidR="007335C4" w:rsidRDefault="00000000">
            <w:r w:rsidRPr="001018A5">
              <w:rPr>
                <w:sz w:val="16"/>
                <w:lang w:val="ru-RU"/>
              </w:rPr>
              <w:t xml:space="preserve">В ПР1 и условиях изменения бизнес-контекста указано, что согласование занимает несколько недель. </w:t>
            </w:r>
            <w:r>
              <w:rPr>
                <w:sz w:val="16"/>
              </w:rPr>
              <w:t>Для количественного расчёта принимаются три рабочие недели.</w:t>
            </w:r>
          </w:p>
        </w:tc>
        <w:tc>
          <w:tcPr>
            <w:tcW w:w="1247" w:type="dxa"/>
            <w:vAlign w:val="center"/>
          </w:tcPr>
          <w:p w14:paraId="4269B416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C2E8E53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Фактические данные по стадиям согласования</w:t>
            </w:r>
          </w:p>
        </w:tc>
      </w:tr>
      <w:tr w:rsidR="007335C4" w:rsidRPr="001018A5" w14:paraId="26B019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8CD7B3" w14:textId="77777777" w:rsidR="007335C4" w:rsidRDefault="00000000">
            <w:r>
              <w:rPr>
                <w:sz w:val="16"/>
              </w:rPr>
              <w:t>75% оплачиваемой загрузки</w:t>
            </w:r>
          </w:p>
        </w:tc>
        <w:tc>
          <w:tcPr>
            <w:tcW w:w="4706" w:type="dxa"/>
            <w:vAlign w:val="center"/>
          </w:tcPr>
          <w:p w14:paraId="2B3BE0AB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Фактический показатель Иннотеха недоступен. Значение принято около отраслевых ориентиров сервисных ИТ-компаний, приведённых в отраслевом коридоре.</w:t>
            </w:r>
          </w:p>
        </w:tc>
        <w:tc>
          <w:tcPr>
            <w:tcW w:w="1247" w:type="dxa"/>
            <w:vAlign w:val="center"/>
          </w:tcPr>
          <w:p w14:paraId="3326D6AA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740609BA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Внутренний учёт оплачиваемой и неоплачиваемой загрузки</w:t>
            </w:r>
          </w:p>
        </w:tc>
      </w:tr>
      <w:tr w:rsidR="007335C4" w:rsidRPr="001018A5" w14:paraId="0A52175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DBE48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1 600 рабочих часов на одного производственного сотрудника в год</w:t>
            </w:r>
          </w:p>
        </w:tc>
        <w:tc>
          <w:tcPr>
            <w:tcW w:w="4706" w:type="dxa"/>
            <w:vAlign w:val="center"/>
          </w:tcPr>
          <w:p w14:paraId="2ADC162C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Рабочая оценка годового доступного фонда времени после выходных, праздников, отпусков и прочего нерабочего времени.</w:t>
            </w:r>
          </w:p>
        </w:tc>
        <w:tc>
          <w:tcPr>
            <w:tcW w:w="1247" w:type="dxa"/>
            <w:vAlign w:val="center"/>
          </w:tcPr>
          <w:p w14:paraId="584B4FC1" w14:textId="77777777" w:rsidR="007335C4" w:rsidRDefault="00000000">
            <w:r>
              <w:rPr>
                <w:sz w:val="16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5C3F7AAD" w14:textId="77777777" w:rsidR="007335C4" w:rsidRPr="001018A5" w:rsidRDefault="00000000">
            <w:pPr>
              <w:rPr>
                <w:lang w:val="ru-RU"/>
              </w:rPr>
            </w:pPr>
            <w:r>
              <w:rPr>
                <w:sz w:val="16"/>
              </w:rPr>
              <w:t>HR</w:t>
            </w:r>
            <w:r w:rsidRPr="001018A5">
              <w:rPr>
                <w:sz w:val="16"/>
                <w:lang w:val="ru-RU"/>
              </w:rPr>
              <w:t xml:space="preserve"> и производственный учёт рабочего времени</w:t>
            </w:r>
          </w:p>
        </w:tc>
      </w:tr>
      <w:tr w:rsidR="007335C4" w:rsidRPr="001018A5" w14:paraId="15ED5BA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562BF1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8% производственных трудозатрат приходится на поздние переделки по архитектурным, ИБ и интеграционным причинам</w:t>
            </w:r>
          </w:p>
        </w:tc>
        <w:tc>
          <w:tcPr>
            <w:tcW w:w="4706" w:type="dxa"/>
            <w:vAlign w:val="center"/>
          </w:tcPr>
          <w:p w14:paraId="26E06D08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Фактическая классифицированная статистика недоступна. Значение используется как исходная база гипотезы №2.</w:t>
            </w:r>
          </w:p>
        </w:tc>
        <w:tc>
          <w:tcPr>
            <w:tcW w:w="1247" w:type="dxa"/>
            <w:vAlign w:val="center"/>
          </w:tcPr>
          <w:p w14:paraId="0AC39364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0BFA21B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Аналитика задач и трудозатрат за 6–12 месяцев</w:t>
            </w:r>
          </w:p>
        </w:tc>
      </w:tr>
      <w:tr w:rsidR="007335C4" w:rsidRPr="001018A5" w14:paraId="3CA238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E0EEA7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3,38 млрд руб. в год составляет расчётная статья таких переделок</w:t>
            </w:r>
          </w:p>
        </w:tc>
        <w:tc>
          <w:tcPr>
            <w:tcW w:w="4706" w:type="dxa"/>
            <w:vAlign w:val="center"/>
          </w:tcPr>
          <w:p w14:paraId="49305B3A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 xml:space="preserve">9 600 производственных сотрудников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4,4 млн руб. стоимости ставки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8%.</w:t>
            </w:r>
          </w:p>
        </w:tc>
        <w:tc>
          <w:tcPr>
            <w:tcW w:w="1247" w:type="dxa"/>
            <w:vAlign w:val="center"/>
          </w:tcPr>
          <w:p w14:paraId="5F28A2C0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34F8820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Финансовый блок и учёт трудозатрат</w:t>
            </w:r>
          </w:p>
        </w:tc>
      </w:tr>
      <w:tr w:rsidR="007335C4" w:rsidRPr="001018A5" w14:paraId="0E7D698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66E3D1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25% непроизводственной численности относится к общим технологическим сервисам</w:t>
            </w:r>
          </w:p>
        </w:tc>
        <w:tc>
          <w:tcPr>
            <w:tcW w:w="4706" w:type="dxa"/>
            <w:vAlign w:val="center"/>
          </w:tcPr>
          <w:p w14:paraId="3E29FA76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Из расчётных 40% сотрудников вне непосредственной поставки четверть условно относится к платформенным и общим технологическим функциям.</w:t>
            </w:r>
          </w:p>
        </w:tc>
        <w:tc>
          <w:tcPr>
            <w:tcW w:w="1247" w:type="dxa"/>
            <w:vAlign w:val="center"/>
          </w:tcPr>
          <w:p w14:paraId="6B7A64AB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5174F23A" w14:textId="77777777" w:rsidR="007335C4" w:rsidRPr="001018A5" w:rsidRDefault="00000000">
            <w:pPr>
              <w:rPr>
                <w:lang w:val="ru-RU"/>
              </w:rPr>
            </w:pPr>
            <w:r>
              <w:rPr>
                <w:sz w:val="16"/>
              </w:rPr>
              <w:t>HR</w:t>
            </w:r>
            <w:r w:rsidRPr="001018A5">
              <w:rPr>
                <w:sz w:val="16"/>
                <w:lang w:val="ru-RU"/>
              </w:rPr>
              <w:t xml:space="preserve"> и структура центров затрат</w:t>
            </w:r>
          </w:p>
        </w:tc>
      </w:tr>
      <w:tr w:rsidR="007335C4" w:rsidRPr="001018A5" w14:paraId="7A48FC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45F3F8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50% стоимости общих технологических сервисов является переменной</w:t>
            </w:r>
          </w:p>
        </w:tc>
        <w:tc>
          <w:tcPr>
            <w:tcW w:w="4706" w:type="dxa"/>
            <w:vAlign w:val="center"/>
          </w:tcPr>
          <w:p w14:paraId="22AD7D70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Половина расчётной стоимости принимается управляемой через фактический объём потребления, вторая половина относится к обязательной и резервной мощности.</w:t>
            </w:r>
          </w:p>
        </w:tc>
        <w:tc>
          <w:tcPr>
            <w:tcW w:w="1247" w:type="dxa"/>
            <w:vAlign w:val="center"/>
          </w:tcPr>
          <w:p w14:paraId="74B1ED67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8ED7FB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Управленческий учёт и владельцы сервисов</w:t>
            </w:r>
          </w:p>
        </w:tc>
      </w:tr>
      <w:tr w:rsidR="007335C4" w:rsidRPr="001018A5" w14:paraId="689A9D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17FBB9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3,52 млрд руб. в год составляет переменная часть общих технологических сервисов</w:t>
            </w:r>
          </w:p>
        </w:tc>
        <w:tc>
          <w:tcPr>
            <w:tcW w:w="4706" w:type="dxa"/>
            <w:vAlign w:val="center"/>
          </w:tcPr>
          <w:p w14:paraId="7C20D6B9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 xml:space="preserve">6 400 сотрудников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25%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4,4 млн руб. </w:t>
            </w:r>
            <w:r>
              <w:rPr>
                <w:sz w:val="16"/>
              </w:rPr>
              <w:t>x</w:t>
            </w:r>
            <w:r w:rsidRPr="001018A5">
              <w:rPr>
                <w:sz w:val="16"/>
                <w:lang w:val="ru-RU"/>
              </w:rPr>
              <w:t xml:space="preserve"> 50% = около 3,52 млрд руб.</w:t>
            </w:r>
          </w:p>
        </w:tc>
        <w:tc>
          <w:tcPr>
            <w:tcW w:w="1247" w:type="dxa"/>
            <w:vAlign w:val="center"/>
          </w:tcPr>
          <w:p w14:paraId="12DA7457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61ADEE44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Финансовый блок и владельцы сервисов</w:t>
            </w:r>
          </w:p>
        </w:tc>
      </w:tr>
      <w:tr w:rsidR="007335C4" w:rsidRPr="001018A5" w14:paraId="46DC2E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9A941F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63 млн руб. на внедрение гипотезы №1</w:t>
            </w:r>
          </w:p>
        </w:tc>
        <w:tc>
          <w:tcPr>
            <w:tcW w:w="4706" w:type="dxa"/>
            <w:vAlign w:val="center"/>
          </w:tcPr>
          <w:p w14:paraId="5B312CB2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16 полных ставок на девять месяцев плюс 20% дополнительных расходов на интеграцию и масштабирование.</w:t>
            </w:r>
          </w:p>
        </w:tc>
        <w:tc>
          <w:tcPr>
            <w:tcW w:w="1247" w:type="dxa"/>
            <w:vAlign w:val="center"/>
          </w:tcPr>
          <w:p w14:paraId="088C94CA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1434C0FC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Технический план и финансовая смета</w:t>
            </w:r>
          </w:p>
        </w:tc>
      </w:tr>
      <w:tr w:rsidR="007335C4" w:rsidRPr="001018A5" w14:paraId="5E2D824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F00199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Около 26 млн руб. на внедрение гипотезы №2</w:t>
            </w:r>
          </w:p>
        </w:tc>
        <w:tc>
          <w:tcPr>
            <w:tcW w:w="4706" w:type="dxa"/>
            <w:vAlign w:val="center"/>
          </w:tcPr>
          <w:p w14:paraId="1D7A070D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10 полных ставок на шесть месяцев плюс 20% дополнительных расходов на настройку процесса и аналитики.</w:t>
            </w:r>
          </w:p>
        </w:tc>
        <w:tc>
          <w:tcPr>
            <w:tcW w:w="1247" w:type="dxa"/>
            <w:vAlign w:val="center"/>
          </w:tcPr>
          <w:p w14:paraId="6D6D4799" w14:textId="77777777" w:rsidR="007335C4" w:rsidRDefault="00000000">
            <w:r>
              <w:rPr>
                <w:sz w:val="16"/>
              </w:rPr>
              <w:t>Низкая</w:t>
            </w:r>
          </w:p>
        </w:tc>
        <w:tc>
          <w:tcPr>
            <w:tcW w:w="1814" w:type="dxa"/>
            <w:vAlign w:val="center"/>
          </w:tcPr>
          <w:p w14:paraId="1460BC89" w14:textId="77777777" w:rsidR="007335C4" w:rsidRPr="001018A5" w:rsidRDefault="00000000">
            <w:pPr>
              <w:rPr>
                <w:lang w:val="ru-RU"/>
              </w:rPr>
            </w:pPr>
            <w:r w:rsidRPr="001018A5">
              <w:rPr>
                <w:sz w:val="16"/>
                <w:lang w:val="ru-RU"/>
              </w:rPr>
              <w:t>План пилота и финансовая смета</w:t>
            </w:r>
          </w:p>
        </w:tc>
      </w:tr>
    </w:tbl>
    <w:p w14:paraId="12EC9619" w14:textId="77777777" w:rsidR="007335C4" w:rsidRPr="001018A5" w:rsidRDefault="007335C4">
      <w:pPr>
        <w:spacing w:after="0"/>
        <w:rPr>
          <w:lang w:val="ru-RU"/>
        </w:rPr>
      </w:pPr>
    </w:p>
    <w:p w14:paraId="1946F38F" w14:textId="77777777" w:rsidR="007335C4" w:rsidRDefault="00000000">
      <w:pPr>
        <w:keepNext/>
        <w:spacing w:before="200" w:after="80"/>
        <w:rPr>
          <w:b/>
          <w:lang w:val="ru-RU"/>
        </w:rPr>
      </w:pPr>
      <w:r w:rsidRPr="001018A5">
        <w:rPr>
          <w:b/>
          <w:lang w:val="ru-RU"/>
        </w:rPr>
        <w:t>9. Источники</w:t>
      </w:r>
    </w:p>
    <w:p w14:paraId="62B8E99E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1. ООО «ГК «Иннотех». Сведения об ИТ-аккредитации, деятельности и программных продуктах. Официальный сайт ГК «Иннотех». Дата обращения: 21.09.2026.</w:t>
      </w:r>
    </w:p>
    <w:p w14:paraId="6AE7427D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2. Т1 Иннотех. ИТ-холдинг Т1. Описание бизнес-направления. Дата обращения: 21.09.2026.</w:t>
      </w:r>
    </w:p>
    <w:p w14:paraId="44EEAB6C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3. Компанию по разработке ИТ-решений Т1 Иннотех возглавил Андрей Гулидин. ИТ-холдинг Т1, 26.02.2026. Дата обращения: 21.09.2026.</w:t>
      </w:r>
    </w:p>
    <w:p w14:paraId="13332B60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4. ООО «ГК «Иннотех». РБК Компании. Финансовые показатели организации. Дата обращения: 21.09.2026.</w:t>
      </w:r>
    </w:p>
    <w:p w14:paraId="2D13ACE3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5. Цифровая трансформация клиента. ИТ-холдинг Т1. Материалы о заказной разработке и предоставлении ИТ-команд. Дата обращения: 21.09.2026.</w:t>
      </w:r>
    </w:p>
    <w:p w14:paraId="66DC3DFB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6. Проекты Группы «Иннотех» и Банка ВТБ. ГК «Иннотех». Материалы о совместных технологических проектах. Дата обращения: 21.09.2026.</w:t>
      </w:r>
    </w:p>
    <w:p w14:paraId="2A42A4E5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7. ОРИКС. ГК «Иннотех». Материалы о клиентском опыте МТС-Банка. Дата обращения: 21.09.2026.</w:t>
      </w:r>
    </w:p>
    <w:p w14:paraId="59BCAF72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 xml:space="preserve">8. Т1 Иннотех завершил перенос сайта НПФ ВТБ на отечественную </w:t>
      </w:r>
      <w:r>
        <w:rPr>
          <w:sz w:val="22"/>
        </w:rPr>
        <w:t>CMS</w:t>
      </w:r>
      <w:r w:rsidRPr="00123D5D">
        <w:rPr>
          <w:sz w:val="22"/>
          <w:lang w:val="ru-RU"/>
        </w:rPr>
        <w:t>. ИТ-холдинг Т1. Дата обращения: 21.09.2026.</w:t>
      </w:r>
    </w:p>
    <w:p w14:paraId="36A3827B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 xml:space="preserve">9. ООО </w:t>
      </w:r>
      <w:r>
        <w:rPr>
          <w:sz w:val="22"/>
        </w:rPr>
        <w:t>Universal</w:t>
      </w:r>
      <w:r w:rsidRPr="00123D5D">
        <w:rPr>
          <w:sz w:val="22"/>
          <w:lang w:val="ru-RU"/>
        </w:rPr>
        <w:t xml:space="preserve"> </w:t>
      </w:r>
      <w:r>
        <w:rPr>
          <w:sz w:val="22"/>
        </w:rPr>
        <w:t>Platforms</w:t>
      </w:r>
      <w:r w:rsidRPr="00123D5D">
        <w:rPr>
          <w:sz w:val="22"/>
          <w:lang w:val="ru-RU"/>
        </w:rPr>
        <w:t xml:space="preserve"> и ГК «Иннотех» запускают сервис управления </w:t>
      </w:r>
      <w:r>
        <w:rPr>
          <w:sz w:val="22"/>
        </w:rPr>
        <w:t>API</w:t>
      </w:r>
      <w:r w:rsidRPr="00123D5D">
        <w:rPr>
          <w:sz w:val="22"/>
          <w:lang w:val="ru-RU"/>
        </w:rPr>
        <w:t xml:space="preserve"> на рынке Узбекистана. </w:t>
      </w:r>
      <w:r>
        <w:rPr>
          <w:sz w:val="22"/>
        </w:rPr>
        <w:t>UZCARD</w:t>
      </w:r>
      <w:r w:rsidRPr="00123D5D">
        <w:rPr>
          <w:sz w:val="22"/>
          <w:lang w:val="ru-RU"/>
        </w:rPr>
        <w:t>. Дата обращения: 21.09.2026.</w:t>
      </w:r>
    </w:p>
    <w:p w14:paraId="39D168E6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10. ВТБ перевёл производство ИТ-решений на российские системы. ИТ-холдинг Т1. Материалы о применении платформы «Сфера». Дата обращения: 21.09.2026.</w:t>
      </w:r>
    </w:p>
    <w:p w14:paraId="31B20C95" w14:textId="77777777" w:rsidR="001018A5" w:rsidRPr="00123D5D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lastRenderedPageBreak/>
        <w:t xml:space="preserve">11. </w:t>
      </w:r>
      <w:r>
        <w:rPr>
          <w:sz w:val="22"/>
        </w:rPr>
        <w:t>DION</w:t>
      </w:r>
      <w:r w:rsidRPr="00123D5D">
        <w:rPr>
          <w:sz w:val="22"/>
          <w:lang w:val="ru-RU"/>
        </w:rPr>
        <w:t>, платформа корпоративных коммуникаций. ИТ-холдинг Т1. Материалы о возможностях платформы. Дата обращения: 21.09.2026.</w:t>
      </w:r>
    </w:p>
    <w:p w14:paraId="16997F7B" w14:textId="37281B49" w:rsidR="001018A5" w:rsidRPr="00F47FEF" w:rsidRDefault="001018A5" w:rsidP="001018A5">
      <w:pPr>
        <w:spacing w:after="20" w:line="240" w:lineRule="auto"/>
        <w:jc w:val="both"/>
        <w:rPr>
          <w:lang w:val="ru-RU"/>
        </w:rPr>
      </w:pPr>
      <w:r w:rsidRPr="00123D5D">
        <w:rPr>
          <w:sz w:val="22"/>
          <w:lang w:val="ru-RU"/>
        </w:rPr>
        <w:t>12. Годовой отчёт ИТ-холдинга Т1 за 2024 год. Раздел «Информационная безопасность и защита персональных данных». Дата обращения: 21.09.2026.</w:t>
      </w:r>
    </w:p>
    <w:p w14:paraId="70BDBC63" w14:textId="5CE927F0" w:rsidR="007335C4" w:rsidRPr="001018A5" w:rsidRDefault="001018A5" w:rsidP="001018A5">
      <w:pPr>
        <w:spacing w:after="20" w:line="240" w:lineRule="auto"/>
        <w:jc w:val="both"/>
        <w:rPr>
          <w:lang w:val="ru-RU"/>
        </w:rPr>
      </w:pPr>
      <w:r>
        <w:rPr>
          <w:sz w:val="22"/>
          <w:szCs w:val="18"/>
          <w:lang w:val="ru-RU"/>
        </w:rPr>
        <w:t>13</w:t>
      </w:r>
      <w:r w:rsidR="00000000" w:rsidRPr="001018A5">
        <w:rPr>
          <w:sz w:val="22"/>
          <w:szCs w:val="18"/>
          <w:lang w:val="ru-RU"/>
        </w:rPr>
        <w:t xml:space="preserve">. </w:t>
      </w:r>
      <w:r w:rsidR="00000000" w:rsidRPr="001018A5">
        <w:rPr>
          <w:sz w:val="22"/>
          <w:szCs w:val="18"/>
        </w:rPr>
        <w:t>Certinia</w:t>
      </w:r>
      <w:r w:rsidR="00000000" w:rsidRPr="001018A5">
        <w:rPr>
          <w:sz w:val="22"/>
          <w:szCs w:val="18"/>
          <w:lang w:val="ru-RU"/>
        </w:rPr>
        <w:t xml:space="preserve"> / </w:t>
      </w:r>
      <w:r w:rsidR="00000000" w:rsidRPr="001018A5">
        <w:rPr>
          <w:sz w:val="22"/>
          <w:szCs w:val="18"/>
        </w:rPr>
        <w:t>SPI</w:t>
      </w:r>
      <w:r w:rsidR="00000000" w:rsidRPr="001018A5">
        <w:rPr>
          <w:sz w:val="22"/>
          <w:szCs w:val="18"/>
          <w:lang w:val="ru-RU"/>
        </w:rPr>
        <w:t xml:space="preserve"> </w:t>
      </w:r>
      <w:r w:rsidR="00000000" w:rsidRPr="001018A5">
        <w:rPr>
          <w:sz w:val="22"/>
          <w:szCs w:val="18"/>
        </w:rPr>
        <w:t>Professional</w:t>
      </w:r>
      <w:r w:rsidR="00000000" w:rsidRPr="001018A5">
        <w:rPr>
          <w:sz w:val="22"/>
          <w:szCs w:val="18"/>
          <w:lang w:val="ru-RU"/>
        </w:rPr>
        <w:t xml:space="preserve"> </w:t>
      </w:r>
      <w:r w:rsidR="00000000" w:rsidRPr="001018A5">
        <w:rPr>
          <w:sz w:val="22"/>
          <w:szCs w:val="18"/>
        </w:rPr>
        <w:t>Services</w:t>
      </w:r>
      <w:r w:rsidR="00000000" w:rsidRPr="001018A5">
        <w:rPr>
          <w:sz w:val="22"/>
          <w:szCs w:val="18"/>
          <w:lang w:val="ru-RU"/>
        </w:rPr>
        <w:t xml:space="preserve"> </w:t>
      </w:r>
      <w:r w:rsidR="00000000" w:rsidRPr="001018A5">
        <w:rPr>
          <w:sz w:val="22"/>
          <w:szCs w:val="18"/>
        </w:rPr>
        <w:t>Benchmark</w:t>
      </w:r>
      <w:r w:rsidR="00000000" w:rsidRPr="001018A5">
        <w:rPr>
          <w:sz w:val="22"/>
          <w:szCs w:val="18"/>
          <w:lang w:val="ru-RU"/>
        </w:rPr>
        <w:t>, показатель оплачиваемой загрузки сервисных компаний.</w:t>
      </w:r>
      <w:r>
        <w:rPr>
          <w:sz w:val="22"/>
          <w:szCs w:val="18"/>
          <w:lang w:val="ru-RU"/>
        </w:rPr>
        <w:t xml:space="preserve"> </w:t>
      </w:r>
      <w:r w:rsidRPr="00123D5D">
        <w:rPr>
          <w:sz w:val="22"/>
          <w:lang w:val="ru-RU"/>
        </w:rPr>
        <w:t xml:space="preserve">Дата обращения: </w:t>
      </w:r>
      <w:r>
        <w:rPr>
          <w:sz w:val="22"/>
          <w:lang w:val="ru-RU"/>
        </w:rPr>
        <w:t>05</w:t>
      </w:r>
      <w:r w:rsidRPr="00123D5D">
        <w:rPr>
          <w:sz w:val="22"/>
          <w:lang w:val="ru-RU"/>
        </w:rPr>
        <w:t>.</w:t>
      </w:r>
      <w:r>
        <w:rPr>
          <w:sz w:val="22"/>
          <w:lang w:val="ru-RU"/>
        </w:rPr>
        <w:t>10</w:t>
      </w:r>
      <w:r w:rsidRPr="00123D5D">
        <w:rPr>
          <w:sz w:val="22"/>
          <w:lang w:val="ru-RU"/>
        </w:rPr>
        <w:t>.2026.</w:t>
      </w:r>
    </w:p>
    <w:p w14:paraId="39F10F23" w14:textId="21B7035E" w:rsidR="007335C4" w:rsidRPr="001018A5" w:rsidRDefault="001018A5" w:rsidP="001018A5">
      <w:pPr>
        <w:spacing w:after="0" w:line="360" w:lineRule="auto"/>
        <w:jc w:val="both"/>
        <w:rPr>
          <w:sz w:val="22"/>
          <w:szCs w:val="18"/>
          <w:lang w:val="ru-RU"/>
        </w:rPr>
      </w:pPr>
      <w:r>
        <w:rPr>
          <w:sz w:val="22"/>
          <w:szCs w:val="18"/>
          <w:lang w:val="ru-RU"/>
        </w:rPr>
        <w:t>14</w:t>
      </w:r>
      <w:r w:rsidR="00000000" w:rsidRPr="001018A5">
        <w:rPr>
          <w:sz w:val="22"/>
          <w:szCs w:val="18"/>
          <w:lang w:val="ru-RU"/>
        </w:rPr>
        <w:t xml:space="preserve">. </w:t>
      </w:r>
      <w:r w:rsidR="00000000" w:rsidRPr="001018A5">
        <w:rPr>
          <w:sz w:val="22"/>
          <w:szCs w:val="18"/>
        </w:rPr>
        <w:t>EPAM</w:t>
      </w:r>
      <w:r w:rsidR="00000000" w:rsidRPr="001018A5">
        <w:rPr>
          <w:sz w:val="22"/>
          <w:szCs w:val="18"/>
          <w:lang w:val="ru-RU"/>
        </w:rPr>
        <w:t>, опубликованный показатель оплачиваемой загрузки.</w:t>
      </w:r>
      <w:r>
        <w:rPr>
          <w:sz w:val="22"/>
          <w:szCs w:val="18"/>
          <w:lang w:val="ru-RU"/>
        </w:rPr>
        <w:t xml:space="preserve"> </w:t>
      </w:r>
      <w:r w:rsidRPr="00123D5D">
        <w:rPr>
          <w:sz w:val="22"/>
          <w:lang w:val="ru-RU"/>
        </w:rPr>
        <w:t xml:space="preserve">Дата обращения: </w:t>
      </w:r>
      <w:r>
        <w:rPr>
          <w:sz w:val="22"/>
          <w:lang w:val="ru-RU"/>
        </w:rPr>
        <w:t>05</w:t>
      </w:r>
      <w:r w:rsidRPr="00123D5D">
        <w:rPr>
          <w:sz w:val="22"/>
          <w:lang w:val="ru-RU"/>
        </w:rPr>
        <w:t>.</w:t>
      </w:r>
      <w:r>
        <w:rPr>
          <w:sz w:val="22"/>
          <w:lang w:val="ru-RU"/>
        </w:rPr>
        <w:t>10</w:t>
      </w:r>
      <w:r w:rsidRPr="00123D5D">
        <w:rPr>
          <w:sz w:val="22"/>
          <w:lang w:val="ru-RU"/>
        </w:rPr>
        <w:t>.2026.</w:t>
      </w:r>
    </w:p>
    <w:p w14:paraId="6FDE7E37" w14:textId="64A7B995" w:rsidR="007335C4" w:rsidRPr="001018A5" w:rsidRDefault="001018A5" w:rsidP="001018A5">
      <w:pPr>
        <w:spacing w:after="0" w:line="360" w:lineRule="auto"/>
        <w:jc w:val="both"/>
        <w:rPr>
          <w:sz w:val="22"/>
          <w:szCs w:val="18"/>
          <w:lang w:val="ru-RU"/>
        </w:rPr>
      </w:pPr>
      <w:r>
        <w:rPr>
          <w:sz w:val="22"/>
          <w:szCs w:val="18"/>
          <w:lang w:val="ru-RU"/>
        </w:rPr>
        <w:t>15</w:t>
      </w:r>
      <w:r w:rsidR="00000000" w:rsidRPr="001018A5">
        <w:rPr>
          <w:sz w:val="22"/>
          <w:szCs w:val="18"/>
          <w:lang w:val="ru-RU"/>
        </w:rPr>
        <w:t xml:space="preserve">. </w:t>
      </w:r>
      <w:r w:rsidR="00000000" w:rsidRPr="001018A5">
        <w:rPr>
          <w:sz w:val="22"/>
          <w:szCs w:val="18"/>
        </w:rPr>
        <w:t>Infosys</w:t>
      </w:r>
      <w:r w:rsidR="00000000" w:rsidRPr="001018A5">
        <w:rPr>
          <w:sz w:val="22"/>
          <w:szCs w:val="18"/>
          <w:lang w:val="ru-RU"/>
        </w:rPr>
        <w:t>, опубликованный показатель оплачиваемой загрузки.</w:t>
      </w:r>
      <w:r>
        <w:rPr>
          <w:sz w:val="22"/>
          <w:szCs w:val="18"/>
          <w:lang w:val="ru-RU"/>
        </w:rPr>
        <w:t xml:space="preserve"> </w:t>
      </w:r>
      <w:r w:rsidRPr="00123D5D">
        <w:rPr>
          <w:sz w:val="22"/>
          <w:lang w:val="ru-RU"/>
        </w:rPr>
        <w:t xml:space="preserve">Дата обращения: </w:t>
      </w:r>
      <w:r>
        <w:rPr>
          <w:sz w:val="22"/>
          <w:lang w:val="ru-RU"/>
        </w:rPr>
        <w:t>05</w:t>
      </w:r>
      <w:r w:rsidRPr="00123D5D">
        <w:rPr>
          <w:sz w:val="22"/>
          <w:lang w:val="ru-RU"/>
        </w:rPr>
        <w:t>.</w:t>
      </w:r>
      <w:r>
        <w:rPr>
          <w:sz w:val="22"/>
          <w:lang w:val="ru-RU"/>
        </w:rPr>
        <w:t>10</w:t>
      </w:r>
      <w:r w:rsidRPr="00123D5D">
        <w:rPr>
          <w:sz w:val="22"/>
          <w:lang w:val="ru-RU"/>
        </w:rPr>
        <w:t>.2026.</w:t>
      </w:r>
    </w:p>
    <w:p w14:paraId="459CEF47" w14:textId="0E2E3F63" w:rsidR="007335C4" w:rsidRPr="001018A5" w:rsidRDefault="001018A5" w:rsidP="001018A5">
      <w:pPr>
        <w:spacing w:after="0" w:line="360" w:lineRule="auto"/>
        <w:jc w:val="both"/>
        <w:rPr>
          <w:sz w:val="22"/>
          <w:szCs w:val="18"/>
          <w:lang w:val="ru-RU"/>
        </w:rPr>
      </w:pPr>
      <w:r>
        <w:rPr>
          <w:sz w:val="22"/>
          <w:szCs w:val="18"/>
          <w:lang w:val="ru-RU"/>
        </w:rPr>
        <w:t>16</w:t>
      </w:r>
      <w:r w:rsidR="00000000" w:rsidRPr="001018A5">
        <w:rPr>
          <w:sz w:val="22"/>
          <w:szCs w:val="18"/>
          <w:lang w:val="ru-RU"/>
        </w:rPr>
        <w:t>. РУССОФТ, показатели российских разработчиков программного обеспечения.</w:t>
      </w:r>
      <w:r>
        <w:rPr>
          <w:sz w:val="22"/>
          <w:szCs w:val="18"/>
          <w:lang w:val="ru-RU"/>
        </w:rPr>
        <w:t xml:space="preserve"> </w:t>
      </w:r>
      <w:r w:rsidRPr="00123D5D">
        <w:rPr>
          <w:sz w:val="22"/>
          <w:lang w:val="ru-RU"/>
        </w:rPr>
        <w:t xml:space="preserve">Дата обращения: </w:t>
      </w:r>
      <w:r>
        <w:rPr>
          <w:sz w:val="22"/>
          <w:lang w:val="ru-RU"/>
        </w:rPr>
        <w:t>05</w:t>
      </w:r>
      <w:r w:rsidRPr="00123D5D">
        <w:rPr>
          <w:sz w:val="22"/>
          <w:lang w:val="ru-RU"/>
        </w:rPr>
        <w:t>.</w:t>
      </w:r>
      <w:r>
        <w:rPr>
          <w:sz w:val="22"/>
          <w:lang w:val="ru-RU"/>
        </w:rPr>
        <w:t>10</w:t>
      </w:r>
      <w:r w:rsidRPr="00123D5D">
        <w:rPr>
          <w:sz w:val="22"/>
          <w:lang w:val="ru-RU"/>
        </w:rPr>
        <w:t>.2026.</w:t>
      </w:r>
    </w:p>
    <w:sectPr w:rsidR="007335C4" w:rsidRPr="001018A5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64E6" w14:textId="77777777" w:rsidR="00F51338" w:rsidRDefault="00F51338">
      <w:pPr>
        <w:spacing w:after="0" w:line="240" w:lineRule="auto"/>
      </w:pPr>
      <w:r>
        <w:separator/>
      </w:r>
    </w:p>
  </w:endnote>
  <w:endnote w:type="continuationSeparator" w:id="0">
    <w:p w14:paraId="260D9156" w14:textId="77777777" w:rsidR="00F51338" w:rsidRDefault="00F51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1C5F9" w14:textId="77777777" w:rsidR="00CB5227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123D5D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5439" w14:textId="77777777" w:rsidR="00F51338" w:rsidRDefault="00F51338">
      <w:pPr>
        <w:spacing w:after="0" w:line="240" w:lineRule="auto"/>
      </w:pPr>
      <w:r>
        <w:separator/>
      </w:r>
    </w:p>
  </w:footnote>
  <w:footnote w:type="continuationSeparator" w:id="0">
    <w:p w14:paraId="14D36865" w14:textId="77777777" w:rsidR="00F51338" w:rsidRDefault="00F51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03680">
    <w:abstractNumId w:val="8"/>
  </w:num>
  <w:num w:numId="2" w16cid:durableId="1994290337">
    <w:abstractNumId w:val="6"/>
  </w:num>
  <w:num w:numId="3" w16cid:durableId="1426850782">
    <w:abstractNumId w:val="5"/>
  </w:num>
  <w:num w:numId="4" w16cid:durableId="213394576">
    <w:abstractNumId w:val="4"/>
  </w:num>
  <w:num w:numId="5" w16cid:durableId="606737065">
    <w:abstractNumId w:val="7"/>
  </w:num>
  <w:num w:numId="6" w16cid:durableId="1182547535">
    <w:abstractNumId w:val="3"/>
  </w:num>
  <w:num w:numId="7" w16cid:durableId="1849444318">
    <w:abstractNumId w:val="2"/>
  </w:num>
  <w:num w:numId="8" w16cid:durableId="993295215">
    <w:abstractNumId w:val="1"/>
  </w:num>
  <w:num w:numId="9" w16cid:durableId="73126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8A5"/>
    <w:rsid w:val="00123D5D"/>
    <w:rsid w:val="0015074B"/>
    <w:rsid w:val="001B49E7"/>
    <w:rsid w:val="0029639D"/>
    <w:rsid w:val="00326F90"/>
    <w:rsid w:val="003B7417"/>
    <w:rsid w:val="004C6C3E"/>
    <w:rsid w:val="005A61AD"/>
    <w:rsid w:val="006C75B6"/>
    <w:rsid w:val="007335C4"/>
    <w:rsid w:val="00AA1D8D"/>
    <w:rsid w:val="00B47730"/>
    <w:rsid w:val="00CB0664"/>
    <w:rsid w:val="00CB5227"/>
    <w:rsid w:val="00F071BE"/>
    <w:rsid w:val="00F47FEF"/>
    <w:rsid w:val="00F51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24C2FE"/>
  <w14:defaultImageDpi w14:val="300"/>
  <w15:docId w15:val="{FC072FA7-54C3-422F-9F8D-000A2062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018A5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3682</Words>
  <Characters>20992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№1. Бизнес и его ИТ</dc:title>
  <dc:subject>ООО «ГК «Иннотех»</dc:subject>
  <dc:creator/>
  <cp:keywords>Практическая работа, Иннотех, ИТ-функция</cp:keywords>
  <dc:description>generated by python-docx</dc:description>
  <cp:lastModifiedBy>Павел Кельбас</cp:lastModifiedBy>
  <cp:revision>5</cp:revision>
  <dcterms:created xsi:type="dcterms:W3CDTF">2013-12-23T23:15:00Z</dcterms:created>
  <dcterms:modified xsi:type="dcterms:W3CDTF">2026-10-05T19:29:00Z</dcterms:modified>
  <cp:category/>
</cp:coreProperties>
</file>