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5B41" w14:textId="77777777" w:rsidR="00CB5227" w:rsidRPr="00123D5D" w:rsidRDefault="00000000">
      <w:pPr>
        <w:spacing w:after="120"/>
        <w:jc w:val="center"/>
        <w:rPr>
          <w:lang w:val="ru-RU"/>
        </w:rPr>
      </w:pPr>
      <w:r w:rsidRPr="00123D5D">
        <w:rPr>
          <w:rFonts w:eastAsia="Times New Roman"/>
          <w:b/>
          <w:sz w:val="32"/>
          <w:lang w:val="ru-RU"/>
        </w:rPr>
        <w:t>Практическая работа №1</w:t>
      </w:r>
    </w:p>
    <w:p w14:paraId="1EE4A87A" w14:textId="77777777" w:rsidR="00CB5227" w:rsidRPr="00123D5D" w:rsidRDefault="00000000">
      <w:pPr>
        <w:spacing w:after="120"/>
        <w:jc w:val="center"/>
        <w:rPr>
          <w:lang w:val="ru-RU"/>
        </w:rPr>
      </w:pPr>
      <w:r w:rsidRPr="00123D5D">
        <w:rPr>
          <w:rFonts w:eastAsia="Times New Roman"/>
          <w:b/>
          <w:sz w:val="32"/>
          <w:lang w:val="ru-RU"/>
        </w:rPr>
        <w:t>Бизнес и его ИТ</w:t>
      </w:r>
    </w:p>
    <w:p w14:paraId="45201E52" w14:textId="77777777" w:rsidR="00CB5227" w:rsidRPr="00123D5D" w:rsidRDefault="00000000">
      <w:pPr>
        <w:keepNext/>
        <w:spacing w:before="12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Краткая версия паспорта проекта</w:t>
      </w:r>
    </w:p>
    <w:p w14:paraId="7C380CFF" w14:textId="77777777" w:rsidR="00CB5227" w:rsidRPr="00123D5D" w:rsidRDefault="00000000">
      <w:pPr>
        <w:spacing w:after="0" w:line="360" w:lineRule="auto"/>
        <w:rPr>
          <w:lang w:val="ru-RU"/>
        </w:rPr>
      </w:pPr>
      <w:r w:rsidRPr="00123D5D">
        <w:rPr>
          <w:rFonts w:eastAsia="Times New Roman"/>
          <w:b/>
          <w:lang w:val="ru-RU"/>
        </w:rPr>
        <w:t xml:space="preserve">1. Бизнес. </w:t>
      </w:r>
      <w:r w:rsidRPr="00123D5D">
        <w:rPr>
          <w:rFonts w:eastAsia="Times New Roman"/>
          <w:lang w:val="ru-RU"/>
        </w:rPr>
        <w:t>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>», разработка программного обеспечения и ИТ-решений для крупного корпоративного сегмента, со значительной специализацией на финансовом секторе.</w:t>
      </w:r>
    </w:p>
    <w:p w14:paraId="0D579158" w14:textId="77777777" w:rsidR="00CB5227" w:rsidRPr="00123D5D" w:rsidRDefault="00000000">
      <w:pPr>
        <w:spacing w:after="0" w:line="360" w:lineRule="auto"/>
        <w:rPr>
          <w:lang w:val="ru-RU"/>
        </w:rPr>
      </w:pPr>
      <w:r w:rsidRPr="00123D5D">
        <w:rPr>
          <w:rFonts w:eastAsia="Times New Roman"/>
          <w:b/>
          <w:lang w:val="ru-RU"/>
        </w:rPr>
        <w:t xml:space="preserve">2. Масштаб. </w:t>
      </w:r>
      <w:r w:rsidRPr="00123D5D">
        <w:rPr>
          <w:rFonts w:eastAsia="Times New Roman"/>
          <w:lang w:val="ru-RU"/>
        </w:rPr>
        <w:t>Выручка 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>» за 2025 год составила 97 987 615 000 руб. [4].</w:t>
      </w:r>
    </w:p>
    <w:p w14:paraId="736F9670" w14:textId="77777777" w:rsidR="00CB5227" w:rsidRPr="00123D5D" w:rsidRDefault="00000000">
      <w:pPr>
        <w:spacing w:after="0" w:line="360" w:lineRule="auto"/>
        <w:rPr>
          <w:lang w:val="ru-RU"/>
        </w:rPr>
      </w:pPr>
      <w:r w:rsidRPr="00123D5D">
        <w:rPr>
          <w:rFonts w:eastAsia="Times New Roman"/>
          <w:b/>
          <w:lang w:val="ru-RU"/>
        </w:rPr>
        <w:t xml:space="preserve">3. Направления. </w:t>
      </w:r>
      <w:r w:rsidRPr="00123D5D">
        <w:rPr>
          <w:rFonts w:eastAsia="Times New Roman"/>
          <w:lang w:val="ru-RU"/>
        </w:rPr>
        <w:t>Заказная разработка информационных систем, выделенные центры разработки, собственные программные продукты, внедрение, сопровождение и техническая поддержка. Доли направлений в выручке публично не раскрываются.</w:t>
      </w:r>
    </w:p>
    <w:p w14:paraId="1AEB2CBE" w14:textId="77777777" w:rsidR="00CB5227" w:rsidRPr="00123D5D" w:rsidRDefault="00000000">
      <w:pPr>
        <w:spacing w:after="0" w:line="360" w:lineRule="auto"/>
        <w:rPr>
          <w:lang w:val="ru-RU"/>
        </w:rPr>
      </w:pPr>
      <w:r w:rsidRPr="00123D5D">
        <w:rPr>
          <w:rFonts w:eastAsia="Times New Roman"/>
          <w:b/>
          <w:lang w:val="ru-RU"/>
        </w:rPr>
        <w:t xml:space="preserve">4. ИТ-функция. </w:t>
      </w:r>
      <w:r w:rsidRPr="00123D5D">
        <w:rPr>
          <w:rFonts w:eastAsia="Times New Roman"/>
          <w:lang w:val="ru-RU"/>
        </w:rPr>
        <w:t xml:space="preserve">Информационные технологии являются основой коммерческой деятельности компании. Производственная ИТ-функция включает разработку, аналитику, тестирование, платформенную инженерию, </w:t>
      </w:r>
      <w:r>
        <w:rPr>
          <w:rFonts w:eastAsia="Times New Roman"/>
        </w:rPr>
        <w:t>DevOps</w:t>
      </w:r>
      <w:r w:rsidRPr="00123D5D">
        <w:rPr>
          <w:rFonts w:eastAsia="Times New Roman"/>
          <w:lang w:val="ru-RU"/>
        </w:rPr>
        <w:t>, сопровождение и информационную безопасность.</w:t>
      </w:r>
    </w:p>
    <w:p w14:paraId="4B2037C9" w14:textId="77777777" w:rsidR="00CB5227" w:rsidRPr="00123D5D" w:rsidRDefault="00000000">
      <w:pPr>
        <w:spacing w:after="0" w:line="360" w:lineRule="auto"/>
        <w:rPr>
          <w:lang w:val="ru-RU"/>
        </w:rPr>
      </w:pPr>
      <w:r w:rsidRPr="00123D5D">
        <w:rPr>
          <w:rFonts w:eastAsia="Times New Roman"/>
          <w:b/>
          <w:lang w:val="ru-RU"/>
        </w:rPr>
        <w:t xml:space="preserve">5. Ограничения. </w:t>
      </w:r>
      <w:r w:rsidRPr="00123D5D">
        <w:rPr>
          <w:rFonts w:eastAsia="Times New Roman"/>
          <w:lang w:val="ru-RU"/>
        </w:rPr>
        <w:t xml:space="preserve">Автор работает </w:t>
      </w:r>
      <w:r>
        <w:rPr>
          <w:rFonts w:eastAsia="Times New Roman"/>
        </w:rPr>
        <w:t>backend</w:t>
      </w:r>
      <w:r w:rsidRPr="00123D5D">
        <w:rPr>
          <w:rFonts w:eastAsia="Times New Roman"/>
          <w:lang w:val="ru-RU"/>
        </w:rPr>
        <w:t>-разработчиком в 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>» и имеет непосредственное представление о процессах разработки в одном из выделенных центров разработки для ВТБ, но не имеет доступа к полной управленческой отчётности, финансовой модели договоров и полной организационной структуре компании. Внутренние сведения используются только в обобщённом виде.</w:t>
      </w:r>
    </w:p>
    <w:p w14:paraId="2E08EDCA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1. Бизнес</w:t>
      </w:r>
    </w:p>
    <w:p w14:paraId="27973B12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» является российской ИТ-компанией, входящей в ИТ-холдинг Т1. Основной вид деятельности юридического лица по ОКВЭД 62.01 связан с разработкой компьютерного программного обеспечения. Компания занимается заказной разработкой и сопровождением </w:t>
      </w:r>
      <w:r w:rsidRPr="00123D5D">
        <w:rPr>
          <w:rFonts w:eastAsia="Times New Roman"/>
          <w:lang w:val="ru-RU"/>
        </w:rPr>
        <w:lastRenderedPageBreak/>
        <w:t>информационных систем, а также созданием и развитием собственных программных продуктов [1].</w:t>
      </w:r>
    </w:p>
    <w:p w14:paraId="6FC1EF76" w14:textId="36426219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Т1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позиционируется внутри холдинга как направление, объединяющее разработку, поставку и поддержку ИТ-решений для крупного бизнеса [2]. Существенная часть деятельности связана с финансовым сектором, включая разработку банковских платформ, систем для автоматизации фронт- и бэк-офиса, интеграционных решений, систем управления данными и рисками. По данным Т1, на февраль 2026 года в направлении Т1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работало более 16 тыс. сотрудников более чем в 170 городах России [3].</w:t>
      </w:r>
    </w:p>
    <w:p w14:paraId="7E0C7E78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Выручка 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>» за 2025 год составила 97 987 615 000 руб. [4]. Таким образом, объект исследования относится к крупному бизнесу, а создание и эксплуатация информационных систем для него являются не вспомогательной деятельностью, а непосредственно источником коммерческого результата.</w:t>
      </w:r>
    </w:p>
    <w:p w14:paraId="405CC47E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2. Направления</w:t>
      </w:r>
    </w:p>
    <w:p w14:paraId="41EAFC33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Публичная бухгалтерская отчётность 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>» не содержит сегментной разбивки выручки, поэтому установить долю каждого направления в общей выручке по открытым данным невозможно. В дальнейшем эти доли не предполагаются и не заменяются экспертными процентами.</w:t>
      </w:r>
    </w:p>
    <w:p w14:paraId="6EDA15FA" w14:textId="6A46C95E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По открытым материалам компании можно выделить заказную разработку и развитие информационных систем для корпоративных заказчиков, предоставление выделенных команд и центров разработки, разработку и лицензирование собственных программных продуктов, внедрение решений, а также их дальнейшее сопровождение и техническую поддержку [1], [2], [5].</w:t>
      </w:r>
      <w:r w:rsidR="005A61AD">
        <w:rPr>
          <w:rFonts w:eastAsia="Times New Roman"/>
          <w:lang w:val="ru-RU"/>
        </w:rPr>
        <w:t xml:space="preserve"> К</w:t>
      </w:r>
      <w:r w:rsidRPr="00123D5D">
        <w:rPr>
          <w:rFonts w:eastAsia="Times New Roman"/>
          <w:lang w:val="ru-RU"/>
        </w:rPr>
        <w:t>оммерческая модель сочетает сервисное направление и собственную продуктовую разработку.</w:t>
      </w:r>
    </w:p>
    <w:p w14:paraId="3F8A15C6" w14:textId="204B8A1E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В рамках доступного автору внутреннего опыта непосредственно наблюдается длительная заказная разработка банковской платформы для ВТБ.</w:t>
      </w:r>
    </w:p>
    <w:p w14:paraId="2F7233CF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lastRenderedPageBreak/>
        <w:t>3. Клиенты и каналы</w:t>
      </w:r>
    </w:p>
    <w:p w14:paraId="4B3A4EBC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Основными заказчиками Т1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являются крупные корпоративные организации, прежде всего компании финансового сектора. Наиболее подробно публично представлены отношения с Банком ВТБ, для которого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участвовал в разработке и развитии большого числа информационных систем и платформ [6]. Собственный опыт автора также подтверждает длительную работу выделенных команд </w:t>
      </w:r>
      <w:proofErr w:type="spellStart"/>
      <w:r w:rsidRPr="00123D5D">
        <w:rPr>
          <w:rFonts w:eastAsia="Times New Roman"/>
          <w:lang w:val="ru-RU"/>
        </w:rPr>
        <w:t>Иннотеха</w:t>
      </w:r>
      <w:proofErr w:type="spellEnd"/>
      <w:r w:rsidRPr="00123D5D">
        <w:rPr>
          <w:rFonts w:eastAsia="Times New Roman"/>
          <w:lang w:val="ru-RU"/>
        </w:rPr>
        <w:t xml:space="preserve"> над банковскими системами ВТБ.</w:t>
      </w:r>
    </w:p>
    <w:p w14:paraId="16EB6787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Среди других публично подтверждённых пользователей и заказчиков решений компании присутствуют МТС-Банк, НПФ ВТБ и </w:t>
      </w:r>
      <w:r>
        <w:rPr>
          <w:rFonts w:eastAsia="Times New Roman"/>
        </w:rPr>
        <w:t>UZCARD</w:t>
      </w:r>
      <w:r w:rsidRPr="00123D5D">
        <w:rPr>
          <w:rFonts w:eastAsia="Times New Roman"/>
          <w:lang w:val="ru-RU"/>
        </w:rPr>
        <w:t xml:space="preserve"> [7], [8], [9]. Публичный перечень не является исчерпывающим, поскольку часть кейсов компании публикуется без раскрытия конкретного заказчика.</w:t>
      </w:r>
    </w:p>
    <w:p w14:paraId="5FEF68BA" w14:textId="64A343D2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Основным каналом продаж для крупных корпоративных клиентов являются прямые </w:t>
      </w:r>
      <w:r>
        <w:rPr>
          <w:rFonts w:eastAsia="Times New Roman"/>
        </w:rPr>
        <w:t>B</w:t>
      </w:r>
      <w:r w:rsidRPr="00123D5D">
        <w:rPr>
          <w:rFonts w:eastAsia="Times New Roman"/>
          <w:lang w:val="ru-RU"/>
        </w:rPr>
        <w:t>2</w:t>
      </w:r>
      <w:r>
        <w:rPr>
          <w:rFonts w:eastAsia="Times New Roman"/>
        </w:rPr>
        <w:t>B</w:t>
      </w:r>
      <w:r w:rsidRPr="00123D5D">
        <w:rPr>
          <w:rFonts w:eastAsia="Times New Roman"/>
          <w:lang w:val="ru-RU"/>
        </w:rPr>
        <w:t xml:space="preserve">-отношения, в рамках которых заключаются договоры на разработку, развитие, внедрение и сопровождение информационных систем. Для собственных продуктов дополнительно используются лицензирование и партнёрский канал. </w:t>
      </w:r>
      <w:r w:rsidR="005A61AD">
        <w:rPr>
          <w:rFonts w:eastAsia="Times New Roman"/>
          <w:lang w:val="ru-RU"/>
        </w:rPr>
        <w:t>К</w:t>
      </w:r>
      <w:r w:rsidRPr="00123D5D">
        <w:rPr>
          <w:rFonts w:eastAsia="Times New Roman"/>
          <w:lang w:val="ru-RU"/>
        </w:rPr>
        <w:t>лиент покупает не через массовый розничный канал, а через прямое корпоративное взаимодействие, проектный контракт либо договор на использование и внедрение программного продукта.</w:t>
      </w:r>
    </w:p>
    <w:p w14:paraId="7E919ABB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4. Ключевые процессы</w:t>
      </w:r>
    </w:p>
    <w:p w14:paraId="32E9FF1B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Для направления заказной разработки путь от заказа до денег можно укрупнённо представить в пяти действиях:</w:t>
      </w:r>
    </w:p>
    <w:p w14:paraId="55EC7C5C" w14:textId="77777777" w:rsidR="00CB5227" w:rsidRPr="00123D5D" w:rsidRDefault="00000000" w:rsidP="00123D5D">
      <w:pPr>
        <w:spacing w:before="60" w:after="120"/>
        <w:rPr>
          <w:lang w:val="ru-RU"/>
        </w:rPr>
      </w:pPr>
      <w:r w:rsidRPr="00123D5D">
        <w:rPr>
          <w:rFonts w:eastAsia="Times New Roman"/>
          <w:b/>
          <w:sz w:val="26"/>
          <w:lang w:val="ru-RU"/>
        </w:rPr>
        <w:t>1. Формирование и согласование потребности заказчика -&gt; 2. Анализ и разработка решения -&gt; 3. Тестирование и приёмка -&gt; 4. Ввод в промышленную эксплуатацию и сопровождение -&gt; 5. Коммерческое закрытие выполненных работ.</w:t>
      </w:r>
    </w:p>
    <w:p w14:paraId="6C6BAF2F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На наблюдаемом проекте для ВТБ потребность и основные функциональные требования преимущественно возникают на стороне заказчика. Аналитики переводят банковские и регуляторные требования в </w:t>
      </w:r>
      <w:r w:rsidRPr="00123D5D">
        <w:rPr>
          <w:rFonts w:eastAsia="Times New Roman"/>
          <w:lang w:val="ru-RU"/>
        </w:rPr>
        <w:lastRenderedPageBreak/>
        <w:t>детальное описание будущей функциональности, после чего работы декомпозируются и передаются командам разработки. Крупные изменения организуются через эпики, итерационное планирование и отдельные задачи.</w:t>
      </w:r>
    </w:p>
    <w:p w14:paraId="7A2C8F23" w14:textId="7CDCC488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Второй и третий этапы включают разработку, функциональное и автоматизированное тестирование, нагрузочные проверки, формирование необходимых артефактов, проверки информационной безопасности и другие контрольные процедуры. Одной из основных точек формальной приёмки является ПСИ. Для изменений, затрагивающих данные клиентов или расчёты, обязательное формальное согласование занимает несколько недель. Одновременно совет директоров </w:t>
      </w:r>
      <w:r w:rsidR="005A61AD">
        <w:rPr>
          <w:rFonts w:eastAsia="Times New Roman"/>
          <w:lang w:val="ru-RU"/>
        </w:rPr>
        <w:t xml:space="preserve">недавно </w:t>
      </w:r>
      <w:r w:rsidRPr="00123D5D">
        <w:rPr>
          <w:rFonts w:eastAsia="Times New Roman"/>
          <w:lang w:val="ru-RU"/>
        </w:rPr>
        <w:t xml:space="preserve">установил требование выпускать изменения в продуктах и клиентских процессах еженедельно. В результате длительность согласования </w:t>
      </w:r>
      <w:r w:rsidR="005A61AD">
        <w:rPr>
          <w:rFonts w:eastAsia="Times New Roman"/>
          <w:lang w:val="ru-RU"/>
        </w:rPr>
        <w:t>стала</w:t>
      </w:r>
      <w:r w:rsidRPr="00123D5D">
        <w:rPr>
          <w:rFonts w:eastAsia="Times New Roman"/>
          <w:lang w:val="ru-RU"/>
        </w:rPr>
        <w:t xml:space="preserve"> критическим ограничением ключевого процесса.</w:t>
      </w:r>
    </w:p>
    <w:p w14:paraId="1A7C35AB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После промышленного выпуска первая линия эксплуатации передаётся отдельному сопровождению. Разработчики подключаются при авариях и дефектах, требующих анализа или изменения прикладного кода. Коммерческий механизм пятого этапа автор непосредственно не наблюдает, поэтому конкретная модель актирования и оплаты работ в данной работе не предполагается.</w:t>
      </w:r>
    </w:p>
    <w:p w14:paraId="2A238FA7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5. ИТ-функция</w:t>
      </w:r>
    </w:p>
    <w:p w14:paraId="314ACBCA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Особенность 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» заключается в том, что производственная ИТ-функция совпадает с основной коммерческой деятельностью компании. Разработчики, аналитики, тестировщики, архитекторы, </w:t>
      </w:r>
      <w:r>
        <w:rPr>
          <w:rFonts w:eastAsia="Times New Roman"/>
        </w:rPr>
        <w:t>DevOps</w:t>
      </w:r>
      <w:r w:rsidRPr="00123D5D">
        <w:rPr>
          <w:rFonts w:eastAsia="Times New Roman"/>
          <w:lang w:val="ru-RU"/>
        </w:rPr>
        <w:t>-инженеры и специалисты сопровождения не только обеспечивают внутреннюю работу организации, но непосредственно создают продукт и услуги, которые продаются заказчикам.</w:t>
      </w:r>
    </w:p>
    <w:p w14:paraId="1D78E139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Точная численность ИТ-функции именно ООО «ГК «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» публично не раскрывается. Масштаб можно оценивать только косвенно: всё направление </w:t>
      </w:r>
      <w:r w:rsidRPr="00123D5D">
        <w:rPr>
          <w:rFonts w:eastAsia="Times New Roman"/>
          <w:lang w:val="ru-RU"/>
        </w:rPr>
        <w:lastRenderedPageBreak/>
        <w:t xml:space="preserve">Т1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насчитывало более 16 тыс. сотрудников на февраль 2026 года [3], при этом разработка, поставка и поддержка ИТ-решений являются основной деятельностью направления [2]. Поэтому по масштабу ИТ-функция соответствует крупной специализированной ИТ-организации с разделением профессиональных ролей и эксплуатационной поддержкой.</w:t>
      </w:r>
    </w:p>
    <w:p w14:paraId="4164FD35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Производственная функция включает несколько связанных блоков. Команды разработки и аналитики создают заказные и собственные программные решения, </w:t>
      </w:r>
      <w:r>
        <w:rPr>
          <w:rFonts w:eastAsia="Times New Roman"/>
        </w:rPr>
        <w:t>QA</w:t>
      </w:r>
      <w:r w:rsidRPr="00123D5D">
        <w:rPr>
          <w:rFonts w:eastAsia="Times New Roman"/>
          <w:lang w:val="ru-RU"/>
        </w:rPr>
        <w:t xml:space="preserve"> отвечает за контроль качества, архитектурные роли и централизованные технические функции контролируют существенные изменения, </w:t>
      </w:r>
      <w:r>
        <w:rPr>
          <w:rFonts w:eastAsia="Times New Roman"/>
        </w:rPr>
        <w:t>DevOps</w:t>
      </w:r>
      <w:r w:rsidRPr="00123D5D">
        <w:rPr>
          <w:rFonts w:eastAsia="Times New Roman"/>
          <w:lang w:val="ru-RU"/>
        </w:rPr>
        <w:t xml:space="preserve"> обеспечивает технологический контур поставки, а сопровождение отвечает за эксплуатационный процесс после релиза. На наблюдаемом проекте сопровождение работает круглосуточно, а разработчики привлекаются при авариях, требующих прикладной экспертизы.</w:t>
      </w:r>
    </w:p>
    <w:p w14:paraId="5A52A841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Значительная часть жизненного цикла разработки стандартизирована общей платформой «Сфера». Она объединяет управление задачами и документацией, </w:t>
      </w:r>
      <w:r>
        <w:rPr>
          <w:rFonts w:eastAsia="Times New Roman"/>
        </w:rPr>
        <w:t>Git</w:t>
      </w:r>
      <w:r w:rsidRPr="00123D5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code</w:t>
      </w:r>
      <w:r w:rsidRPr="00123D5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review</w:t>
      </w:r>
      <w:r w:rsidRPr="00123D5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CI</w:t>
      </w:r>
      <w:r w:rsidRPr="00123D5D">
        <w:rPr>
          <w:rFonts w:eastAsia="Times New Roman"/>
          <w:lang w:val="ru-RU"/>
        </w:rPr>
        <w:t>/</w:t>
      </w:r>
      <w:r>
        <w:rPr>
          <w:rFonts w:eastAsia="Times New Roman"/>
        </w:rPr>
        <w:t>CD</w:t>
      </w:r>
      <w:r w:rsidRPr="00123D5D">
        <w:rPr>
          <w:rFonts w:eastAsia="Times New Roman"/>
          <w:lang w:val="ru-RU"/>
        </w:rPr>
        <w:t xml:space="preserve">, тестирование, сборку и релиз программного обеспечения. Использование платформы для производственных процессов ВТБ также подтверждалось публично [10]. В наблюдаемом контуре применяются </w:t>
      </w:r>
      <w:r>
        <w:rPr>
          <w:rFonts w:eastAsia="Times New Roman"/>
        </w:rPr>
        <w:t>Docker</w:t>
      </w:r>
      <w:r w:rsidRPr="00123D5D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Kubernetes</w:t>
      </w:r>
      <w:r w:rsidRPr="00123D5D">
        <w:rPr>
          <w:rFonts w:eastAsia="Times New Roman"/>
          <w:lang w:val="ru-RU"/>
        </w:rPr>
        <w:t xml:space="preserve">, а </w:t>
      </w:r>
      <w:r>
        <w:rPr>
          <w:rFonts w:eastAsia="Times New Roman"/>
        </w:rPr>
        <w:t>backend</w:t>
      </w:r>
      <w:r w:rsidRPr="00123D5D">
        <w:rPr>
          <w:rFonts w:eastAsia="Times New Roman"/>
          <w:lang w:val="ru-RU"/>
        </w:rPr>
        <w:t xml:space="preserve">-разработка ведётся на </w:t>
      </w:r>
      <w:r>
        <w:rPr>
          <w:rFonts w:eastAsia="Times New Roman"/>
        </w:rPr>
        <w:t>Kotlin</w:t>
      </w:r>
      <w:r w:rsidRPr="00123D5D">
        <w:rPr>
          <w:rFonts w:eastAsia="Times New Roman"/>
          <w:lang w:val="ru-RU"/>
        </w:rPr>
        <w:t>.</w:t>
      </w:r>
    </w:p>
    <w:p w14:paraId="300DA2D3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Автономия прикладных команд ограничена рамками архитектуры и требований заказчика. Команда может самостоятельно выбирать способ внутренней реализации сервиса, проектировать структуры данных и исправлять локальные проблемы производительности, однако существенные изменения проходят централизованный </w:t>
      </w:r>
      <w:r>
        <w:rPr>
          <w:rFonts w:eastAsia="Times New Roman"/>
        </w:rPr>
        <w:t>review</w:t>
      </w:r>
      <w:r w:rsidRPr="00123D5D">
        <w:rPr>
          <w:rFonts w:eastAsia="Times New Roman"/>
          <w:lang w:val="ru-RU"/>
        </w:rPr>
        <w:t>. Такой контроль обеспечивает единообразие решений, но создаёт зависимость от централизованных технических ролей и в отдельных случаях увеличивает время ожидания.</w:t>
      </w:r>
    </w:p>
    <w:p w14:paraId="162C50FF" w14:textId="77777777" w:rsidR="00CB5227" w:rsidRDefault="00000000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123D5D">
        <w:rPr>
          <w:rFonts w:eastAsia="Times New Roman"/>
          <w:lang w:val="ru-RU"/>
        </w:rPr>
        <w:t xml:space="preserve">В производственных командах используются и привлечённые специалисты сторонних организаций. По наблюдениям автора, они работают </w:t>
      </w:r>
      <w:r w:rsidRPr="00123D5D">
        <w:rPr>
          <w:rFonts w:eastAsia="Times New Roman"/>
          <w:lang w:val="ru-RU"/>
        </w:rPr>
        <w:lastRenderedPageBreak/>
        <w:t>как полноценные участники общих команд, включены в те же процессы разработки и не образуют отдельного параллельного контура. Контроль их работы осуществляется внутри обычной структуры команды и проекта.</w:t>
      </w:r>
    </w:p>
    <w:p w14:paraId="341A7FEF" w14:textId="13765F9A" w:rsidR="005A61AD" w:rsidRPr="00123D5D" w:rsidRDefault="005A61AD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Дополнительной проблемой </w:t>
      </w:r>
      <w:r>
        <w:rPr>
          <w:rFonts w:eastAsia="Times New Roman"/>
          <w:lang w:val="ru-RU"/>
        </w:rPr>
        <w:t xml:space="preserve">недавно </w:t>
      </w:r>
      <w:r w:rsidRPr="00123D5D">
        <w:rPr>
          <w:rFonts w:eastAsia="Times New Roman"/>
          <w:lang w:val="ru-RU"/>
        </w:rPr>
        <w:t xml:space="preserve">стала необходимость полной прозрачности </w:t>
      </w:r>
      <w:proofErr w:type="gramStart"/>
      <w:r w:rsidRPr="00123D5D">
        <w:rPr>
          <w:rFonts w:eastAsia="Times New Roman"/>
          <w:lang w:val="ru-RU"/>
        </w:rPr>
        <w:t>ИТ-затрат</w:t>
      </w:r>
      <w:proofErr w:type="gramEnd"/>
      <w:r>
        <w:rPr>
          <w:rFonts w:eastAsia="Times New Roman"/>
          <w:lang w:val="ru-RU"/>
        </w:rPr>
        <w:t xml:space="preserve"> затребованная с</w:t>
      </w:r>
      <w:r w:rsidRPr="005A61AD">
        <w:rPr>
          <w:rFonts w:eastAsia="Times New Roman"/>
          <w:lang w:val="ru-RU"/>
        </w:rPr>
        <w:t>обственник</w:t>
      </w:r>
      <w:r>
        <w:rPr>
          <w:rFonts w:eastAsia="Times New Roman"/>
          <w:lang w:val="ru-RU"/>
        </w:rPr>
        <w:t>ами компании</w:t>
      </w:r>
      <w:r w:rsidRPr="00123D5D">
        <w:rPr>
          <w:rFonts w:eastAsia="Times New Roman"/>
          <w:lang w:val="ru-RU"/>
        </w:rPr>
        <w:t>: подразделения должны оплачивать услуги и инициативы пропорционально фактическому потреблению и получили возможность сравнивать внутренние услуги с внешними поставщиками. При этом общие технологические риски и долгосрочные инвестиции не имеют очевидного владельца бюджета</w:t>
      </w:r>
      <w:r>
        <w:rPr>
          <w:rFonts w:eastAsia="Times New Roman"/>
          <w:lang w:val="ru-RU"/>
        </w:rPr>
        <w:t>.</w:t>
      </w:r>
    </w:p>
    <w:p w14:paraId="3D2C0008" w14:textId="6B0C08B0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Помимо производственной ИТ-функции существует обеспечивающий корпоративный ИТ-контур, предоставляющий сотрудникам средства связи, удалённого доступа, рабочие учётные записи и другие внутренние сервисы. Полная организационная структура этого контура автору недоступна.</w:t>
      </w:r>
    </w:p>
    <w:p w14:paraId="5C0A11FD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6. Связь и безопасность</w:t>
      </w:r>
    </w:p>
    <w:p w14:paraId="09610402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В рабочем контуре автора используются </w:t>
      </w:r>
      <w:r>
        <w:rPr>
          <w:rFonts w:eastAsia="Times New Roman"/>
        </w:rPr>
        <w:t>DION</w:t>
      </w:r>
      <w:r w:rsidRPr="00123D5D">
        <w:rPr>
          <w:rFonts w:eastAsia="Times New Roman"/>
          <w:lang w:val="ru-RU"/>
        </w:rPr>
        <w:t xml:space="preserve">, мессенджер «Команда», </w:t>
      </w:r>
      <w:proofErr w:type="spellStart"/>
      <w:r>
        <w:rPr>
          <w:rFonts w:eastAsia="Times New Roman"/>
        </w:rPr>
        <w:t>WorksPadX</w:t>
      </w:r>
      <w:proofErr w:type="spellEnd"/>
      <w:r w:rsidRPr="00123D5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Outlook</w:t>
      </w:r>
      <w:r w:rsidRPr="00123D5D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Cisco</w:t>
      </w:r>
      <w:r w:rsidRPr="00123D5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Secure</w:t>
      </w:r>
      <w:r w:rsidRPr="00123D5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Client</w:t>
      </w:r>
      <w:r w:rsidRPr="00123D5D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Check</w:t>
      </w:r>
      <w:r w:rsidRPr="00123D5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Point</w:t>
      </w:r>
      <w:r w:rsidRPr="00123D5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Mobile</w:t>
      </w:r>
      <w:r w:rsidRPr="00123D5D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DION</w:t>
      </w:r>
      <w:r w:rsidRPr="00123D5D">
        <w:rPr>
          <w:rFonts w:eastAsia="Times New Roman"/>
          <w:lang w:val="ru-RU"/>
        </w:rPr>
        <w:t xml:space="preserve"> является платформой корпоративных коммуникаций ИТ-холдинга Т1 и поддерживает видеоконференции, звонки и корпоративные чаты [11]. При этом точное распределение владельцев всех используемых коммуникационных сервисов между подразделениями Т1, </w:t>
      </w:r>
      <w:proofErr w:type="spellStart"/>
      <w:r w:rsidRPr="00123D5D">
        <w:rPr>
          <w:rFonts w:eastAsia="Times New Roman"/>
          <w:lang w:val="ru-RU"/>
        </w:rPr>
        <w:t>Иннотехом</w:t>
      </w:r>
      <w:proofErr w:type="spellEnd"/>
      <w:r w:rsidRPr="00123D5D">
        <w:rPr>
          <w:rFonts w:eastAsia="Times New Roman"/>
          <w:lang w:val="ru-RU"/>
        </w:rPr>
        <w:t xml:space="preserve"> и заказчиком на уровне разработчика не наблюдается, поэтому оно не предполагается в работе.</w:t>
      </w:r>
    </w:p>
    <w:p w14:paraId="69E3862F" w14:textId="3F3E4806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Доступы к рабочим системам выдаются централизованно. Разработчик получает необходимые права через установленный процесс, однако полная цепочка согласующих ролей находится вне его рабочей зоны. На проекте ВТБ </w:t>
      </w:r>
      <w:r>
        <w:rPr>
          <w:rFonts w:eastAsia="Times New Roman"/>
        </w:rPr>
        <w:t>production</w:t>
      </w:r>
      <w:r w:rsidRPr="00123D5D">
        <w:rPr>
          <w:rFonts w:eastAsia="Times New Roman"/>
          <w:lang w:val="ru-RU"/>
        </w:rPr>
        <w:t>-контур находится на стороне заказчика, а резервное копирование и восстановление, по доступному автору представлению, относятся к эксплуатационному сопровождению.</w:t>
      </w:r>
    </w:p>
    <w:p w14:paraId="589FA186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lastRenderedPageBreak/>
        <w:t>Информационная безопасность выделена в самостоятельную функцию и встроена в жизненный цикл разработки. В наблюдаемом процессе используются SAST, SCA и BCA, а перед промышленным выпуском существуют дополнительные проверки и согласования. Специалисты ИБ участвуют в ПСИ и контроле готовности изменений к эксплуатации. Новая модель распределения ИТ-затрат создаёт дополнительный риск: подразделения начинают отказываться от части мер безопасности, обновлений и общих платформ, если не видят их непосредственной ценности для собственного бюджета.</w:t>
      </w:r>
    </w:p>
    <w:p w14:paraId="7F047375" w14:textId="42AE4BD4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По публичным данным Холдинга Т1, в 2024 году в продуктах и системах Т1 не были зафиксированы нарушения информационной безопасности, киберинциденты или утечки данных, а также не поступали обоснованные жалобы на нарушение конфиденциальности клиентов [12].</w:t>
      </w:r>
    </w:p>
    <w:p w14:paraId="68CE5147" w14:textId="77777777" w:rsidR="00CB5227" w:rsidRPr="00123D5D" w:rsidRDefault="00000000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7. Состояние ИТ</w:t>
      </w:r>
    </w:p>
    <w:p w14:paraId="4E1101B6" w14:textId="142F0D5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По шкале, используемой в данной практической работе, наиболее обоснованным состоянием является «Служба».</w:t>
      </w:r>
    </w:p>
    <w:p w14:paraId="7D7B72B0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Главный наблюдаемый признак заключается в том, что в исследуемом контуре инициатива по бизнес-функциональности преимущественно идёт от ВТБ. Банковский заказчик определяет, какие бизнес-процессы и функциональные изменения необходимо реализовать, после чего </w:t>
      </w:r>
      <w:proofErr w:type="spellStart"/>
      <w:r w:rsidRPr="00123D5D">
        <w:rPr>
          <w:rFonts w:eastAsia="Times New Roman"/>
          <w:lang w:val="ru-RU"/>
        </w:rPr>
        <w:t>Иннотех</w:t>
      </w:r>
      <w:proofErr w:type="spellEnd"/>
      <w:r w:rsidRPr="00123D5D">
        <w:rPr>
          <w:rFonts w:eastAsia="Times New Roman"/>
          <w:lang w:val="ru-RU"/>
        </w:rPr>
        <w:t xml:space="preserve"> выполняет анализ и техническую реализацию. Команда разработки обладает самостоятельностью в технических деталях, но обычно подключается после того, как необходимость бизнес-изменения уже определена.</w:t>
      </w:r>
    </w:p>
    <w:p w14:paraId="03EBC666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 xml:space="preserve">На уровне разработки работа измеряется прежде всего выполнением требуемой функциональности, сроками, планом работ, числом инцидентов и доступностью систем. При этом до разработчиков практически не доводятся показатели непосредственного бизнес-эффекта, например влияние изменения на объём привлечённых депозитов, стоимость операции, конверсию или прибыль. Дополнительно появились требования к еженедельному выпуску изменений и </w:t>
      </w:r>
      <w:r w:rsidRPr="00123D5D">
        <w:rPr>
          <w:rFonts w:eastAsia="Times New Roman"/>
          <w:lang w:val="ru-RU"/>
        </w:rPr>
        <w:lastRenderedPageBreak/>
        <w:t>полной прозрачности ИТ-затрат, которые текущая система показателей непосредственно не отражает. Это усиливает несоответствие фактического состояния ИТ новым требованиям бизнеса.</w:t>
      </w:r>
    </w:p>
    <w:p w14:paraId="0726DF4C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Для состояния «Поставщик услуг» методика требует наличия каталога услуг с владельцами и целевыми уровнями, а бизнес должен измерять стоимость и качество услуги. Отдельные эксплуатационные показатели в наблюдаемом контуре существуют, однако наличие полноценного каталога услуг и системного измерения их стоимости автором не подтверждено. Требование оплачивать ИТ по фактическому потреблению и возможность выбора внешнего поставщика делают этот пробел существенным. Фактическое состояние при этом сохраняет признаки «Службы», поскольку инициатива по бизнес-функциональности по-прежнему преимущественно формируется заказчиком.</w:t>
      </w:r>
    </w:p>
    <w:p w14:paraId="79510879" w14:textId="77777777" w:rsidR="00CB5227" w:rsidRDefault="00000000">
      <w:pPr>
        <w:keepNext/>
        <w:spacing w:before="120" w:after="80"/>
      </w:pPr>
      <w:proofErr w:type="spellStart"/>
      <w:r>
        <w:rPr>
          <w:rFonts w:eastAsia="Times New Roman"/>
          <w:b/>
        </w:rPr>
        <w:t>Таблица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состояния</w:t>
      </w:r>
      <w:proofErr w:type="spellEnd"/>
      <w:r>
        <w:rPr>
          <w:rFonts w:eastAsia="Times New Roman"/>
          <w:b/>
        </w:rPr>
        <w:t xml:space="preserve"> ИТ-</w:t>
      </w:r>
      <w:proofErr w:type="spellStart"/>
      <w:r>
        <w:rPr>
          <w:rFonts w:eastAsia="Times New Roman"/>
          <w:b/>
        </w:rPr>
        <w:t>функции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948"/>
        <w:gridCol w:w="3572"/>
        <w:gridCol w:w="1361"/>
      </w:tblGrid>
      <w:tr w:rsidR="00CB5227" w14:paraId="1AFA2890" w14:textId="77777777">
        <w:trPr>
          <w:cantSplit/>
          <w:tblHeader/>
          <w:jc w:val="center"/>
        </w:trPr>
        <w:tc>
          <w:tcPr>
            <w:tcW w:w="1531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F0E0E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Состояние</w:t>
            </w:r>
          </w:p>
        </w:tc>
        <w:tc>
          <w:tcPr>
            <w:tcW w:w="2948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B11EB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Признак по методике</w:t>
            </w:r>
          </w:p>
        </w:tc>
        <w:tc>
          <w:tcPr>
            <w:tcW w:w="3572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B2E41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Что наблюдается</w:t>
            </w:r>
          </w:p>
        </w:tc>
        <w:tc>
          <w:tcPr>
            <w:tcW w:w="1361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A2AD7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Вывод</w:t>
            </w:r>
          </w:p>
        </w:tc>
      </w:tr>
      <w:tr w:rsidR="00CB5227" w14:paraId="6DF41137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2E778" w14:textId="77777777" w:rsidR="00CB5227" w:rsidRPr="005A61AD" w:rsidRDefault="00000000">
            <w:pPr>
              <w:rPr>
                <w:sz w:val="22"/>
                <w:lang w:val="ru-RU"/>
              </w:rPr>
            </w:pPr>
            <w:r w:rsidRPr="005A61AD">
              <w:rPr>
                <w:rFonts w:eastAsia="Times New Roman"/>
                <w:sz w:val="22"/>
                <w:lang w:val="ru-RU"/>
              </w:rPr>
              <w:t>Служба</w:t>
            </w:r>
          </w:p>
        </w:tc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6A130" w14:textId="77777777" w:rsidR="00CB5227" w:rsidRPr="005A61AD" w:rsidRDefault="00000000">
            <w:pPr>
              <w:rPr>
                <w:sz w:val="22"/>
                <w:lang w:val="ru-RU"/>
              </w:rPr>
            </w:pPr>
            <w:r w:rsidRPr="005A61AD">
              <w:rPr>
                <w:rFonts w:eastAsia="Times New Roman"/>
                <w:sz w:val="22"/>
                <w:lang w:val="ru-RU"/>
              </w:rPr>
              <w:t>ИТ получает задачу после того, как решение принято; основной вопрос связан с выполнением запроса и сроком</w:t>
            </w:r>
          </w:p>
        </w:tc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289EE" w14:textId="77777777" w:rsidR="00CB5227" w:rsidRPr="005A61AD" w:rsidRDefault="00000000">
            <w:pPr>
              <w:rPr>
                <w:sz w:val="22"/>
                <w:lang w:val="ru-RU"/>
              </w:rPr>
            </w:pPr>
            <w:r w:rsidRPr="005A61AD">
              <w:rPr>
                <w:rFonts w:eastAsia="Times New Roman"/>
                <w:sz w:val="22"/>
                <w:lang w:val="ru-RU"/>
              </w:rPr>
              <w:t>Основные функциональные инициативы поступают со стороны ВТБ, до команды доходят требования, план работ и сроки. Новые требования к стоимости и скорости выпуска не меняют способ возникновения инициатив.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21AA0" w14:textId="77777777" w:rsidR="00CB5227" w:rsidRPr="005A61AD" w:rsidRDefault="00000000">
            <w:pPr>
              <w:rPr>
                <w:sz w:val="22"/>
                <w:lang w:val="ru-RU"/>
              </w:rPr>
            </w:pPr>
            <w:r w:rsidRPr="005A61AD">
              <w:rPr>
                <w:rFonts w:eastAsia="Times New Roman"/>
                <w:sz w:val="22"/>
                <w:lang w:val="ru-RU"/>
              </w:rPr>
              <w:t>Соответствует фактическому состоянию</w:t>
            </w:r>
          </w:p>
        </w:tc>
      </w:tr>
      <w:tr w:rsidR="00CB5227" w14:paraId="72A36BC7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54CF3" w14:textId="77777777" w:rsidR="00CB5227" w:rsidRPr="005A61AD" w:rsidRDefault="00000000">
            <w:pPr>
              <w:rPr>
                <w:sz w:val="22"/>
                <w:lang w:val="ru-RU"/>
              </w:rPr>
            </w:pPr>
            <w:r w:rsidRPr="005A61AD">
              <w:rPr>
                <w:rFonts w:eastAsia="Times New Roman"/>
                <w:sz w:val="22"/>
                <w:lang w:val="ru-RU"/>
              </w:rPr>
              <w:t>Поставщик услуг</w:t>
            </w:r>
          </w:p>
        </w:tc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5DFF7" w14:textId="77777777" w:rsidR="00CB5227" w:rsidRPr="005A61AD" w:rsidRDefault="00000000">
            <w:pPr>
              <w:rPr>
                <w:sz w:val="22"/>
                <w:lang w:val="ru-RU"/>
              </w:rPr>
            </w:pPr>
            <w:r w:rsidRPr="005A61AD">
              <w:rPr>
                <w:rFonts w:eastAsia="Times New Roman"/>
                <w:sz w:val="22"/>
                <w:lang w:val="ru-RU"/>
              </w:rPr>
              <w:t>Есть каталог услуг с владельцами и целевыми уровнями; бизнес измеряет стоимость и качество услуги</w:t>
            </w:r>
          </w:p>
        </w:tc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DF0D5" w14:textId="77777777" w:rsidR="00CB5227" w:rsidRPr="005A61AD" w:rsidRDefault="00000000">
            <w:pPr>
              <w:rPr>
                <w:sz w:val="22"/>
                <w:lang w:val="ru-RU"/>
              </w:rPr>
            </w:pPr>
            <w:r w:rsidRPr="005A61AD">
              <w:rPr>
                <w:rFonts w:eastAsia="Times New Roman"/>
                <w:sz w:val="22"/>
                <w:lang w:val="ru-RU"/>
              </w:rPr>
              <w:t>Наблюдаются показатели доступности и инцидентов, но каталог услуг и системное измерение стоимости не подтверждены. При этом бизнес уже требует оплаты по потреблению и сравнения с внешними поставщиками.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CD6A6" w14:textId="77777777" w:rsidR="00CB5227" w:rsidRPr="005A61AD" w:rsidRDefault="00000000">
            <w:pPr>
              <w:rPr>
                <w:sz w:val="22"/>
                <w:lang w:val="ru-RU"/>
              </w:rPr>
            </w:pPr>
            <w:r w:rsidRPr="005A61AD">
              <w:rPr>
                <w:rFonts w:eastAsia="Times New Roman"/>
                <w:sz w:val="22"/>
                <w:lang w:val="ru-RU"/>
              </w:rPr>
              <w:t>Не достигнуто</w:t>
            </w:r>
          </w:p>
        </w:tc>
      </w:tr>
      <w:tr w:rsidR="00CB5227" w14:paraId="75E90458" w14:textId="77777777">
        <w:trPr>
          <w:cantSplit/>
          <w:jc w:val="center"/>
        </w:trPr>
        <w:tc>
          <w:tcPr>
            <w:tcW w:w="153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AAA75" w14:textId="77777777" w:rsidR="00CB5227" w:rsidRPr="005A61AD" w:rsidRDefault="00000000">
            <w:pPr>
              <w:rPr>
                <w:sz w:val="22"/>
                <w:lang w:val="ru-RU"/>
              </w:rPr>
            </w:pPr>
            <w:r w:rsidRPr="005A61AD">
              <w:rPr>
                <w:rFonts w:eastAsia="Times New Roman"/>
                <w:sz w:val="22"/>
                <w:lang w:val="ru-RU"/>
              </w:rPr>
              <w:t>Партнёр</w:t>
            </w:r>
          </w:p>
        </w:tc>
        <w:tc>
          <w:tcPr>
            <w:tcW w:w="29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9F30A" w14:textId="77777777" w:rsidR="00CB5227" w:rsidRPr="005A61AD" w:rsidRDefault="00000000">
            <w:pPr>
              <w:rPr>
                <w:sz w:val="22"/>
                <w:lang w:val="ru-RU"/>
              </w:rPr>
            </w:pPr>
            <w:r w:rsidRPr="005A61AD">
              <w:rPr>
                <w:rFonts w:eastAsia="Times New Roman"/>
                <w:sz w:val="22"/>
                <w:lang w:val="ru-RU"/>
              </w:rPr>
              <w:t>ИТ участвует в решении до появления требований и отвечает вместе с бизнесом за рассчитанный эффект</w:t>
            </w:r>
          </w:p>
        </w:tc>
        <w:tc>
          <w:tcPr>
            <w:tcW w:w="35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DAABD" w14:textId="77777777" w:rsidR="00CB5227" w:rsidRPr="005A61AD" w:rsidRDefault="00000000">
            <w:pPr>
              <w:rPr>
                <w:sz w:val="22"/>
                <w:lang w:val="ru-RU"/>
              </w:rPr>
            </w:pPr>
            <w:r w:rsidRPr="005A61AD">
              <w:rPr>
                <w:rFonts w:eastAsia="Times New Roman"/>
                <w:sz w:val="22"/>
                <w:lang w:val="ru-RU"/>
              </w:rPr>
              <w:t>Ключевые бизнес-показатели и экономический эффект до команды разработки практически не транслируются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BF8EA" w14:textId="77777777" w:rsidR="00CB5227" w:rsidRPr="005A61AD" w:rsidRDefault="00000000">
            <w:pPr>
              <w:rPr>
                <w:sz w:val="22"/>
                <w:lang w:val="ru-RU"/>
              </w:rPr>
            </w:pPr>
            <w:r w:rsidRPr="005A61AD">
              <w:rPr>
                <w:rFonts w:eastAsia="Times New Roman"/>
                <w:sz w:val="22"/>
                <w:lang w:val="ru-RU"/>
              </w:rPr>
              <w:t>Не соответствует</w:t>
            </w:r>
          </w:p>
        </w:tc>
      </w:tr>
    </w:tbl>
    <w:p w14:paraId="07588DEC" w14:textId="77777777" w:rsidR="00CB5227" w:rsidRDefault="00CB5227">
      <w:pPr>
        <w:spacing w:after="0" w:line="240" w:lineRule="auto"/>
        <w:jc w:val="both"/>
        <w:rPr>
          <w:lang w:val="ru-RU"/>
        </w:rPr>
      </w:pPr>
    </w:p>
    <w:p w14:paraId="672A0BD2" w14:textId="77777777" w:rsidR="005A61AD" w:rsidRDefault="005A61AD">
      <w:pPr>
        <w:spacing w:after="0" w:line="240" w:lineRule="auto"/>
        <w:jc w:val="both"/>
        <w:rPr>
          <w:lang w:val="ru-RU"/>
        </w:rPr>
      </w:pPr>
    </w:p>
    <w:p w14:paraId="53588D06" w14:textId="77777777" w:rsidR="005A61AD" w:rsidRPr="005A61AD" w:rsidRDefault="005A61AD">
      <w:pPr>
        <w:spacing w:after="0" w:line="240" w:lineRule="auto"/>
        <w:jc w:val="both"/>
        <w:rPr>
          <w:lang w:val="ru-RU"/>
        </w:rPr>
      </w:pPr>
    </w:p>
    <w:p w14:paraId="6872F1A2" w14:textId="1CACBF87" w:rsidR="005A61AD" w:rsidRPr="005A61AD" w:rsidRDefault="00000000" w:rsidP="005A61AD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123D5D">
        <w:rPr>
          <w:rFonts w:eastAsia="Times New Roman"/>
          <w:b/>
          <w:lang w:val="ru-RU"/>
        </w:rPr>
        <w:lastRenderedPageBreak/>
        <w:t>8. Зона по каждому блоку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361"/>
        <w:gridCol w:w="5839"/>
      </w:tblGrid>
      <w:tr w:rsidR="00CB5227" w14:paraId="62671A2D" w14:textId="77777777">
        <w:trPr>
          <w:cantSplit/>
          <w:tblHeader/>
          <w:jc w:val="center"/>
        </w:trPr>
        <w:tc>
          <w:tcPr>
            <w:tcW w:w="2324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48E40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Блок</w:t>
            </w:r>
          </w:p>
        </w:tc>
        <w:tc>
          <w:tcPr>
            <w:tcW w:w="1361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204EA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Зона</w:t>
            </w:r>
          </w:p>
        </w:tc>
        <w:tc>
          <w:tcPr>
            <w:tcW w:w="5839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372C6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19"/>
              </w:rPr>
              <w:t>Обоснование</w:t>
            </w:r>
          </w:p>
        </w:tc>
      </w:tr>
      <w:tr w:rsidR="00CB5227" w:rsidRPr="005A61AD" w14:paraId="5EDECC95" w14:textId="77777777"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4211E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2. Направления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73D8A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Жёлтая</w:t>
            </w:r>
          </w:p>
        </w:tc>
        <w:tc>
          <w:tcPr>
            <w:tcW w:w="5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08F1B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Направления деятельности определяются достаточно хорошо, однако доли каждого из них в выручке публично не раскрываются, поэтому оценить концентрацию бизнеса нельзя</w:t>
            </w:r>
          </w:p>
        </w:tc>
      </w:tr>
      <w:tr w:rsidR="00CB5227" w:rsidRPr="005A61AD" w14:paraId="0A0685D1" w14:textId="77777777"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B5ECD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3. Клиенты и каналы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09CD0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Зелёная</w:t>
            </w:r>
          </w:p>
        </w:tc>
        <w:tc>
          <w:tcPr>
            <w:tcW w:w="5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CB633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Подтверждены длительные отношения с несколькими крупными корпоративными заказчиками и используются несколько B2B-моделей взаимодействия: заказная разработка, лицензирование, внедрение и сопровождение</w:t>
            </w:r>
          </w:p>
        </w:tc>
      </w:tr>
      <w:tr w:rsidR="00CB5227" w:rsidRPr="005A61AD" w14:paraId="38468F73" w14:textId="77777777"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85AC0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4. Ключевые процессы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E3796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Красная</w:t>
            </w:r>
          </w:p>
        </w:tc>
        <w:tc>
          <w:tcPr>
            <w:tcW w:w="5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76C68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Обязательное согласование части изменений занимает несколько недель при установленном требовании еженедельного выпуска изменений</w:t>
            </w:r>
          </w:p>
        </w:tc>
      </w:tr>
      <w:tr w:rsidR="00CB5227" w:rsidRPr="005A61AD" w14:paraId="703711C3" w14:textId="77777777"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9F510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5. ИТ-функция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B28D3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Жёлтая</w:t>
            </w:r>
          </w:p>
        </w:tc>
        <w:tc>
          <w:tcPr>
            <w:tcW w:w="5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A0177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Производственная ИТ-функция развита, но прозрачность стоимости услуг, распределение общих затрат и сопоставление внутренних и внешних поставщиков на доступном уровне не подтверждены</w:t>
            </w:r>
          </w:p>
        </w:tc>
      </w:tr>
      <w:tr w:rsidR="00CB5227" w:rsidRPr="005A61AD" w14:paraId="72AD2B37" w14:textId="77777777"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15663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6. Связь и безопасность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BC0D9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Красная</w:t>
            </w:r>
          </w:p>
        </w:tc>
        <w:tc>
          <w:tcPr>
            <w:tcW w:w="5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2171A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Подразделения начинают отказываться от части мер безопасности, обновлений и общих платформ из-за отсутствия непосредственно видимой ценности для собственного бюджета</w:t>
            </w:r>
          </w:p>
        </w:tc>
      </w:tr>
      <w:tr w:rsidR="00CB5227" w:rsidRPr="005A61AD" w14:paraId="04DB2490" w14:textId="77777777">
        <w:trPr>
          <w:cantSplit/>
          <w:jc w:val="center"/>
        </w:trPr>
        <w:tc>
          <w:tcPr>
            <w:tcW w:w="23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FD6F6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7. Состояние ИТ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6907C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Красная</w:t>
            </w:r>
          </w:p>
        </w:tc>
        <w:tc>
          <w:tcPr>
            <w:tcW w:w="583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194ED" w14:textId="77777777" w:rsidR="00CB5227" w:rsidRPr="005A61AD" w:rsidRDefault="00000000">
            <w:pPr>
              <w:rPr>
                <w:lang w:val="ru-RU"/>
              </w:rPr>
            </w:pPr>
            <w:r w:rsidRPr="005A61AD">
              <w:rPr>
                <w:rFonts w:eastAsia="Times New Roman"/>
                <w:sz w:val="19"/>
                <w:lang w:val="ru-RU"/>
              </w:rPr>
              <w:t>Фактическое состояние «Служба» не соответствует новым требованиям к еженедельной скорости изменений, прозрачности стоимости ИТ и возможности сравнивать поставщиков</w:t>
            </w:r>
          </w:p>
        </w:tc>
      </w:tr>
    </w:tbl>
    <w:p w14:paraId="66166155" w14:textId="77777777" w:rsidR="00CB5227" w:rsidRPr="00123D5D" w:rsidRDefault="00CB5227">
      <w:pPr>
        <w:spacing w:after="0" w:line="240" w:lineRule="auto"/>
        <w:jc w:val="both"/>
        <w:rPr>
          <w:lang w:val="ru-RU"/>
        </w:rPr>
      </w:pPr>
    </w:p>
    <w:p w14:paraId="3003E1BD" w14:textId="0726F19B" w:rsidR="00CB5227" w:rsidRPr="00123D5D" w:rsidRDefault="00000000" w:rsidP="005A61AD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Реестр допущений</w:t>
      </w:r>
    </w:p>
    <w:p w14:paraId="1FF7D100" w14:textId="77777777" w:rsidR="00CB5227" w:rsidRPr="00123D5D" w:rsidRDefault="00000000">
      <w:pPr>
        <w:spacing w:after="0" w:line="360" w:lineRule="auto"/>
        <w:ind w:firstLine="709"/>
        <w:jc w:val="both"/>
        <w:rPr>
          <w:lang w:val="ru-RU"/>
        </w:rPr>
      </w:pPr>
      <w:r w:rsidRPr="00123D5D">
        <w:rPr>
          <w:rFonts w:eastAsia="Times New Roman"/>
          <w:lang w:val="ru-RU"/>
        </w:rPr>
        <w:t>В текущей ПР1 неподтверждённые числовые оценки, необходимые для анализа или расчётов, не используются. Поэтому на данном этапе реестр не содержит записей.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551"/>
        <w:gridCol w:w="1587"/>
        <w:gridCol w:w="2268"/>
      </w:tblGrid>
      <w:tr w:rsidR="00CB5227" w14:paraId="41717650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9AF77" w14:textId="77777777" w:rsidR="00CB5227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sz w:val="20"/>
              </w:rPr>
              <w:t>Цифра</w:t>
            </w:r>
            <w:proofErr w:type="spellEnd"/>
          </w:p>
        </w:tc>
        <w:tc>
          <w:tcPr>
            <w:tcW w:w="2551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D2020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Откуда взята оценка</w:t>
            </w:r>
          </w:p>
        </w:tc>
        <w:tc>
          <w:tcPr>
            <w:tcW w:w="1587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658CB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Уверенность</w:t>
            </w:r>
          </w:p>
        </w:tc>
        <w:tc>
          <w:tcPr>
            <w:tcW w:w="2268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961FF" w14:textId="77777777" w:rsidR="00CB5227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Кто или что проверит</w:t>
            </w:r>
          </w:p>
        </w:tc>
      </w:tr>
      <w:tr w:rsidR="00CB5227" w14:paraId="6CC6B6F5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4AC83" w14:textId="77777777" w:rsidR="00CB5227" w:rsidRPr="00123D5D" w:rsidRDefault="00000000">
            <w:pPr>
              <w:rPr>
                <w:lang w:val="ru-RU"/>
              </w:rPr>
            </w:pPr>
            <w:r w:rsidRPr="00123D5D">
              <w:rPr>
                <w:rFonts w:eastAsia="Times New Roman"/>
                <w:sz w:val="20"/>
                <w:lang w:val="ru-RU"/>
              </w:rPr>
              <w:t>Числовые допущения в ПР1 отсутствуют</w:t>
            </w:r>
          </w:p>
        </w:tc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AE213" w14:textId="77777777" w:rsidR="00CB5227" w:rsidRDefault="00000000"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FCD7E" w14:textId="77777777" w:rsidR="00CB5227" w:rsidRDefault="00000000"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B2568" w14:textId="77777777" w:rsidR="00CB5227" w:rsidRDefault="00000000">
            <w:r>
              <w:rPr>
                <w:rFonts w:eastAsia="Times New Roman"/>
                <w:sz w:val="20"/>
              </w:rPr>
              <w:t>—</w:t>
            </w:r>
          </w:p>
        </w:tc>
      </w:tr>
    </w:tbl>
    <w:p w14:paraId="1E65CD57" w14:textId="77777777" w:rsidR="00CB5227" w:rsidRDefault="00CB5227">
      <w:pPr>
        <w:spacing w:after="0" w:line="240" w:lineRule="auto"/>
        <w:jc w:val="both"/>
        <w:rPr>
          <w:lang w:val="ru-RU"/>
        </w:rPr>
      </w:pPr>
    </w:p>
    <w:p w14:paraId="008C5CB1" w14:textId="584B11ED" w:rsidR="00F47FEF" w:rsidRPr="00123D5D" w:rsidRDefault="00F47FEF" w:rsidP="00F47FEF">
      <w:pPr>
        <w:keepNext/>
        <w:spacing w:before="200" w:after="80"/>
        <w:rPr>
          <w:lang w:val="ru-RU"/>
        </w:rPr>
      </w:pPr>
      <w:r w:rsidRPr="00123D5D">
        <w:rPr>
          <w:rFonts w:eastAsia="Times New Roman"/>
          <w:b/>
          <w:lang w:val="ru-RU"/>
        </w:rPr>
        <w:t>Источники</w:t>
      </w:r>
    </w:p>
    <w:p w14:paraId="23CCB19E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1. ООО «ГК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». Сведения об ИТ-аккредитации, деятельности и программных продуктах. Официальный сайт ГК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». Дата обращения: 21.09.2026.</w:t>
      </w:r>
    </w:p>
    <w:p w14:paraId="7EC6C087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 xml:space="preserve">2. Т1 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. ИТ-холдинг Т1. Описание бизнес-направления. Дата обращения: 21.09.2026.</w:t>
      </w:r>
    </w:p>
    <w:p w14:paraId="29D50759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 xml:space="preserve">3. Компанию по разработке ИТ-решений Т1 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 xml:space="preserve"> возглавил Андрей </w:t>
      </w:r>
      <w:proofErr w:type="spellStart"/>
      <w:r w:rsidRPr="00123D5D">
        <w:rPr>
          <w:rFonts w:eastAsia="Times New Roman"/>
          <w:sz w:val="22"/>
          <w:lang w:val="ru-RU"/>
        </w:rPr>
        <w:t>Гулидин</w:t>
      </w:r>
      <w:proofErr w:type="spellEnd"/>
      <w:r w:rsidRPr="00123D5D">
        <w:rPr>
          <w:rFonts w:eastAsia="Times New Roman"/>
          <w:sz w:val="22"/>
          <w:lang w:val="ru-RU"/>
        </w:rPr>
        <w:t>. ИТ-холдинг Т1, 26.02.2026. Дата обращения: 21.09.2026.</w:t>
      </w:r>
    </w:p>
    <w:p w14:paraId="6C87ACC8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4. ООО «ГК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». РБК Компании. Финансовые показатели организации. Дата обращения: 21.09.2026.</w:t>
      </w:r>
    </w:p>
    <w:p w14:paraId="2BFC717D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5. Цифровая трансформация клиента. ИТ-холдинг Т1. Материалы о заказной разработке и предоставлении ИТ-команд. Дата обращения: 21.09.2026.</w:t>
      </w:r>
    </w:p>
    <w:p w14:paraId="0E9A9391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6. Проекты Группы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» и Банка ВТБ. ГК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». Материалы о совместных технологических проектах. Дата обращения: 21.09.2026.</w:t>
      </w:r>
    </w:p>
    <w:p w14:paraId="5B1BDC45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7. ОРИКС. ГК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>». Материалы о клиентском опыте МТС-Банка. Дата обращения: 21.09.2026.</w:t>
      </w:r>
    </w:p>
    <w:p w14:paraId="56DE1E8E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lastRenderedPageBreak/>
        <w:t xml:space="preserve">8. Т1 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 xml:space="preserve"> завершил перенос сайта НПФ ВТБ на отечественную </w:t>
      </w:r>
      <w:r>
        <w:rPr>
          <w:rFonts w:eastAsia="Times New Roman"/>
          <w:sz w:val="22"/>
        </w:rPr>
        <w:t>CMS</w:t>
      </w:r>
      <w:r w:rsidRPr="00123D5D">
        <w:rPr>
          <w:rFonts w:eastAsia="Times New Roman"/>
          <w:sz w:val="22"/>
          <w:lang w:val="ru-RU"/>
        </w:rPr>
        <w:t>. ИТ-холдинг Т1. Дата обращения: 21.09.2026.</w:t>
      </w:r>
    </w:p>
    <w:p w14:paraId="2246FF1C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 xml:space="preserve">9. ООО </w:t>
      </w:r>
      <w:r>
        <w:rPr>
          <w:rFonts w:eastAsia="Times New Roman"/>
          <w:sz w:val="22"/>
        </w:rPr>
        <w:t>Universal</w:t>
      </w:r>
      <w:r w:rsidRPr="00123D5D">
        <w:rPr>
          <w:rFonts w:eastAsia="Times New Roman"/>
          <w:sz w:val="22"/>
          <w:lang w:val="ru-RU"/>
        </w:rPr>
        <w:t xml:space="preserve"> </w:t>
      </w:r>
      <w:r>
        <w:rPr>
          <w:rFonts w:eastAsia="Times New Roman"/>
          <w:sz w:val="22"/>
        </w:rPr>
        <w:t>Platforms</w:t>
      </w:r>
      <w:r w:rsidRPr="00123D5D">
        <w:rPr>
          <w:rFonts w:eastAsia="Times New Roman"/>
          <w:sz w:val="22"/>
          <w:lang w:val="ru-RU"/>
        </w:rPr>
        <w:t xml:space="preserve"> и ГК «</w:t>
      </w:r>
      <w:proofErr w:type="spellStart"/>
      <w:r w:rsidRPr="00123D5D">
        <w:rPr>
          <w:rFonts w:eastAsia="Times New Roman"/>
          <w:sz w:val="22"/>
          <w:lang w:val="ru-RU"/>
        </w:rPr>
        <w:t>Иннотех</w:t>
      </w:r>
      <w:proofErr w:type="spellEnd"/>
      <w:r w:rsidRPr="00123D5D">
        <w:rPr>
          <w:rFonts w:eastAsia="Times New Roman"/>
          <w:sz w:val="22"/>
          <w:lang w:val="ru-RU"/>
        </w:rPr>
        <w:t xml:space="preserve">» запускают сервис управления </w:t>
      </w:r>
      <w:r>
        <w:rPr>
          <w:rFonts w:eastAsia="Times New Roman"/>
          <w:sz w:val="22"/>
        </w:rPr>
        <w:t>API</w:t>
      </w:r>
      <w:r w:rsidRPr="00123D5D">
        <w:rPr>
          <w:rFonts w:eastAsia="Times New Roman"/>
          <w:sz w:val="22"/>
          <w:lang w:val="ru-RU"/>
        </w:rPr>
        <w:t xml:space="preserve"> на рынке Узбекистана. </w:t>
      </w:r>
      <w:r>
        <w:rPr>
          <w:rFonts w:eastAsia="Times New Roman"/>
          <w:sz w:val="22"/>
        </w:rPr>
        <w:t>UZCARD</w:t>
      </w:r>
      <w:r w:rsidRPr="00123D5D">
        <w:rPr>
          <w:rFonts w:eastAsia="Times New Roman"/>
          <w:sz w:val="22"/>
          <w:lang w:val="ru-RU"/>
        </w:rPr>
        <w:t>. Дата обращения: 21.09.2026.</w:t>
      </w:r>
    </w:p>
    <w:p w14:paraId="18B5A0A1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10. ВТБ перевёл производство ИТ-решений на российские системы. ИТ-холдинг Т1. Материалы о применении платформы «Сфера». Дата обращения: 21.09.2026.</w:t>
      </w:r>
    </w:p>
    <w:p w14:paraId="0ADFF099" w14:textId="77777777" w:rsidR="00F47FEF" w:rsidRPr="00123D5D" w:rsidRDefault="00F47FEF" w:rsidP="00F47FEF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 xml:space="preserve">11. </w:t>
      </w:r>
      <w:r>
        <w:rPr>
          <w:rFonts w:eastAsia="Times New Roman"/>
          <w:sz w:val="22"/>
        </w:rPr>
        <w:t>DION</w:t>
      </w:r>
      <w:r w:rsidRPr="00123D5D">
        <w:rPr>
          <w:rFonts w:eastAsia="Times New Roman"/>
          <w:sz w:val="22"/>
          <w:lang w:val="ru-RU"/>
        </w:rPr>
        <w:t>, платформа корпоративных коммуникаций. ИТ-холдинг Т1. Материалы о возможностях платформы. Дата обращения: 21.09.2026.</w:t>
      </w:r>
    </w:p>
    <w:p w14:paraId="3F74D7EC" w14:textId="7C0F734A" w:rsidR="00F47FEF" w:rsidRPr="00F47FEF" w:rsidRDefault="00F47FEF" w:rsidP="005A61AD">
      <w:pPr>
        <w:spacing w:after="20" w:line="240" w:lineRule="auto"/>
        <w:jc w:val="both"/>
        <w:rPr>
          <w:lang w:val="ru-RU"/>
        </w:rPr>
      </w:pPr>
      <w:r w:rsidRPr="00123D5D">
        <w:rPr>
          <w:rFonts w:eastAsia="Times New Roman"/>
          <w:sz w:val="22"/>
          <w:lang w:val="ru-RU"/>
        </w:rPr>
        <w:t>12. Годовой отчёт ИТ-холдинга Т1 за 2024 год. Раздел «Информационная безопасность и защита персональных данных». Дата обращения: 21.09.2026.</w:t>
      </w:r>
    </w:p>
    <w:sectPr w:rsidR="00F47FEF" w:rsidRPr="00F47FEF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76178" w14:textId="77777777" w:rsidR="001B49E7" w:rsidRDefault="001B49E7">
      <w:pPr>
        <w:spacing w:after="0" w:line="240" w:lineRule="auto"/>
      </w:pPr>
      <w:r>
        <w:separator/>
      </w:r>
    </w:p>
  </w:endnote>
  <w:endnote w:type="continuationSeparator" w:id="0">
    <w:p w14:paraId="37E24DB8" w14:textId="77777777" w:rsidR="001B49E7" w:rsidRDefault="001B4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6CF09" w14:textId="77777777" w:rsidR="00CB5227" w:rsidRDefault="00000000">
    <w:pPr>
      <w:pStyle w:val="a7"/>
      <w:jc w:val="center"/>
    </w:pPr>
    <w:r>
      <w:rPr>
        <w:rFonts w:eastAsia="Times New Roman"/>
        <w:sz w:val="24"/>
      </w:rPr>
      <w:fldChar w:fldCharType="begin"/>
    </w:r>
    <w:r>
      <w:rPr>
        <w:rFonts w:eastAsia="Times New Roman"/>
        <w:sz w:val="24"/>
      </w:rPr>
      <w:instrText xml:space="preserve"> PAGE </w:instrText>
    </w:r>
    <w:r>
      <w:rPr>
        <w:rFonts w:eastAsia="Times New Roman"/>
        <w:sz w:val="24"/>
      </w:rPr>
      <w:fldChar w:fldCharType="separate"/>
    </w:r>
    <w:r w:rsidR="00123D5D">
      <w:rPr>
        <w:rFonts w:eastAsia="Times New Roman"/>
        <w:noProof/>
        <w:sz w:val="24"/>
      </w:rPr>
      <w:t>1</w:t>
    </w:r>
    <w:r>
      <w:rPr>
        <w:rFonts w:eastAsia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8BB87" w14:textId="77777777" w:rsidR="001B49E7" w:rsidRDefault="001B49E7">
      <w:pPr>
        <w:spacing w:after="0" w:line="240" w:lineRule="auto"/>
      </w:pPr>
      <w:r>
        <w:separator/>
      </w:r>
    </w:p>
  </w:footnote>
  <w:footnote w:type="continuationSeparator" w:id="0">
    <w:p w14:paraId="66EA5B01" w14:textId="77777777" w:rsidR="001B49E7" w:rsidRDefault="001B4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203680">
    <w:abstractNumId w:val="8"/>
  </w:num>
  <w:num w:numId="2" w16cid:durableId="1994290337">
    <w:abstractNumId w:val="6"/>
  </w:num>
  <w:num w:numId="3" w16cid:durableId="1426850782">
    <w:abstractNumId w:val="5"/>
  </w:num>
  <w:num w:numId="4" w16cid:durableId="213394576">
    <w:abstractNumId w:val="4"/>
  </w:num>
  <w:num w:numId="5" w16cid:durableId="606737065">
    <w:abstractNumId w:val="7"/>
  </w:num>
  <w:num w:numId="6" w16cid:durableId="1182547535">
    <w:abstractNumId w:val="3"/>
  </w:num>
  <w:num w:numId="7" w16cid:durableId="1849444318">
    <w:abstractNumId w:val="2"/>
  </w:num>
  <w:num w:numId="8" w16cid:durableId="993295215">
    <w:abstractNumId w:val="1"/>
  </w:num>
  <w:num w:numId="9" w16cid:durableId="73126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D5D"/>
    <w:rsid w:val="0015074B"/>
    <w:rsid w:val="001B49E7"/>
    <w:rsid w:val="0029639D"/>
    <w:rsid w:val="00326F90"/>
    <w:rsid w:val="004C6C3E"/>
    <w:rsid w:val="005A61AD"/>
    <w:rsid w:val="006C75B6"/>
    <w:rsid w:val="00AA1D8D"/>
    <w:rsid w:val="00B47730"/>
    <w:rsid w:val="00CB0664"/>
    <w:rsid w:val="00CB5227"/>
    <w:rsid w:val="00F071BE"/>
    <w:rsid w:val="00F47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2A12F"/>
  <w14:defaultImageDpi w14:val="300"/>
  <w15:docId w15:val="{FC072FA7-54C3-422F-9F8D-000A2062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2498</Words>
  <Characters>14241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№1. Бизнес и его ИТ</dc:title>
  <dc:subject>ООО «ГК «Иннотех»</dc:subject>
  <dc:creator/>
  <cp:keywords>Практическая работа, Иннотех, ИТ-функция</cp:keywords>
  <dc:description>generated by python-docx</dc:description>
  <cp:lastModifiedBy>Павел Кельбас</cp:lastModifiedBy>
  <cp:revision>4</cp:revision>
  <dcterms:created xsi:type="dcterms:W3CDTF">2013-12-23T23:15:00Z</dcterms:created>
  <dcterms:modified xsi:type="dcterms:W3CDTF">2026-09-28T20:19:00Z</dcterms:modified>
  <cp:category/>
</cp:coreProperties>
</file>