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AA0F" w14:textId="77777777" w:rsidR="00D31DAA" w:rsidRPr="000423FA" w:rsidRDefault="00000000">
      <w:pPr>
        <w:spacing w:after="120"/>
        <w:jc w:val="center"/>
        <w:rPr>
          <w:lang w:val="ru-RU"/>
        </w:rPr>
      </w:pPr>
      <w:r>
        <w:rPr>
          <w:rFonts w:eastAsia="Times New Roman" w:cs="Times New Roman"/>
          <w:b/>
          <w:sz w:val="32"/>
          <w:lang w:val="ru-RU"/>
        </w:rPr>
        <w:t>ПАСПОРТ ПРОЕКТА</w:t>
      </w:r>
    </w:p>
    <w:p w14:paraId="6CE8E34E" w14:textId="77777777" w:rsidR="00D31DAA" w:rsidRPr="000423FA" w:rsidRDefault="00000000">
      <w:pPr>
        <w:spacing w:after="240"/>
        <w:jc w:val="center"/>
        <w:rPr>
          <w:lang w:val="ru-RU"/>
        </w:rPr>
      </w:pPr>
      <w:r>
        <w:rPr>
          <w:rFonts w:eastAsia="Times New Roman" w:cs="Times New Roman"/>
          <w:b/>
          <w:lang w:val="ru-RU"/>
        </w:rPr>
        <w:t>ООО «ГК «ИННОТЕХ»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633"/>
      </w:tblGrid>
      <w:tr w:rsidR="00D31DAA" w14:paraId="4D8EA32C" w14:textId="77777777">
        <w:trPr>
          <w:jc w:val="center"/>
        </w:trPr>
        <w:tc>
          <w:tcPr>
            <w:tcW w:w="2438" w:type="dxa"/>
            <w:vAlign w:val="center"/>
          </w:tcPr>
          <w:p w14:paraId="39F2D3EB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b/>
                <w:sz w:val="24"/>
                <w:lang w:val="ru-RU"/>
              </w:rPr>
              <w:t>Объект</w:t>
            </w:r>
          </w:p>
        </w:tc>
        <w:tc>
          <w:tcPr>
            <w:tcW w:w="6633" w:type="dxa"/>
            <w:vAlign w:val="center"/>
          </w:tcPr>
          <w:p w14:paraId="33B8A494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sz w:val="24"/>
                <w:lang w:val="ru-RU"/>
              </w:rPr>
              <w:t>ООО «ГК «Иннотех»</w:t>
            </w:r>
          </w:p>
        </w:tc>
      </w:tr>
      <w:tr w:rsidR="00D31DAA" w:rsidRPr="000423FA" w14:paraId="15640242" w14:textId="77777777">
        <w:trPr>
          <w:jc w:val="center"/>
        </w:trPr>
        <w:tc>
          <w:tcPr>
            <w:tcW w:w="2438" w:type="dxa"/>
            <w:vAlign w:val="center"/>
          </w:tcPr>
          <w:p w14:paraId="7416ADEA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b/>
                <w:sz w:val="24"/>
                <w:lang w:val="ru-RU"/>
              </w:rPr>
              <w:t>Полное наименование</w:t>
            </w:r>
          </w:p>
        </w:tc>
        <w:tc>
          <w:tcPr>
            <w:tcW w:w="6633" w:type="dxa"/>
            <w:vAlign w:val="center"/>
          </w:tcPr>
          <w:p w14:paraId="251AEF88" w14:textId="77777777" w:rsidR="00D31DAA" w:rsidRPr="000423FA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eastAsia="Times New Roman" w:cs="Times New Roman"/>
                <w:sz w:val="24"/>
                <w:lang w:val="ru-RU"/>
              </w:rPr>
              <w:t>Общество с ограниченной ответственностью «Группа компаний «Иннотех»</w:t>
            </w:r>
          </w:p>
        </w:tc>
      </w:tr>
      <w:tr w:rsidR="00D31DAA" w14:paraId="0E7D9A64" w14:textId="77777777">
        <w:trPr>
          <w:jc w:val="center"/>
        </w:trPr>
        <w:tc>
          <w:tcPr>
            <w:tcW w:w="2438" w:type="dxa"/>
            <w:vAlign w:val="center"/>
          </w:tcPr>
          <w:p w14:paraId="38B76D40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b/>
                <w:sz w:val="24"/>
                <w:lang w:val="ru-RU"/>
              </w:rPr>
              <w:t>ИНН</w:t>
            </w:r>
          </w:p>
        </w:tc>
        <w:tc>
          <w:tcPr>
            <w:tcW w:w="6633" w:type="dxa"/>
            <w:vAlign w:val="center"/>
          </w:tcPr>
          <w:p w14:paraId="6FE710D4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sz w:val="24"/>
                <w:lang w:val="ru-RU"/>
              </w:rPr>
              <w:t>9703073496</w:t>
            </w:r>
          </w:p>
        </w:tc>
      </w:tr>
      <w:tr w:rsidR="00D31DAA" w14:paraId="3BEE83AF" w14:textId="77777777">
        <w:trPr>
          <w:jc w:val="center"/>
        </w:trPr>
        <w:tc>
          <w:tcPr>
            <w:tcW w:w="2438" w:type="dxa"/>
            <w:vAlign w:val="center"/>
          </w:tcPr>
          <w:p w14:paraId="0398AE19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b/>
                <w:sz w:val="24"/>
                <w:lang w:val="ru-RU"/>
              </w:rPr>
              <w:t>ОГРН</w:t>
            </w:r>
          </w:p>
        </w:tc>
        <w:tc>
          <w:tcPr>
            <w:tcW w:w="6633" w:type="dxa"/>
            <w:vAlign w:val="center"/>
          </w:tcPr>
          <w:p w14:paraId="135B984D" w14:textId="77777777" w:rsidR="00D31DAA" w:rsidRDefault="00000000">
            <w:pPr>
              <w:spacing w:line="240" w:lineRule="auto"/>
            </w:pPr>
            <w:r>
              <w:rPr>
                <w:rFonts w:eastAsia="Times New Roman" w:cs="Times New Roman"/>
                <w:sz w:val="24"/>
                <w:lang w:val="ru-RU"/>
              </w:rPr>
              <w:t>1227700086460</w:t>
            </w:r>
          </w:p>
        </w:tc>
      </w:tr>
    </w:tbl>
    <w:p w14:paraId="483EB5E1" w14:textId="77777777" w:rsidR="00D31DAA" w:rsidRDefault="00000000">
      <w:pPr>
        <w:keepNext/>
        <w:spacing w:before="120"/>
      </w:pPr>
      <w:r>
        <w:rPr>
          <w:rFonts w:eastAsia="Times New Roman" w:cs="Times New Roman"/>
          <w:b/>
          <w:lang w:val="ru-RU"/>
        </w:rPr>
        <w:t>1. Бизнес</w:t>
      </w:r>
    </w:p>
    <w:p w14:paraId="28D44265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ООО «ГК «Иннотех» — российская ИТ-компания, занимающаяся разработкой и сопровождением информационных систем, программных продуктов и решений для цифровизации бизнеса. Официальные сведения компании подтверждают основной вид деятельности по ОКВЭД 62.01 «Разработка компьютерного программного обеспечения», а также наличие значительного портфеля собственных программных продуктов, зарегистрированных в Едином реестре российского ПО. [</w:t>
      </w:r>
      <w:hyperlink r:id="rId8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>]</w:t>
      </w:r>
    </w:p>
    <w:p w14:paraId="7203E55E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Для проекта объект фиксируется на уровне юридического лица ООО «ГК «Иннотех», ИНН 9703073496. Это позволяет использовать финансовые показатели одного определённого юридического лица на протяжении всех практических работ. [</w:t>
      </w:r>
      <w:hyperlink r:id="rId9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10">
        <w:r>
          <w:rPr>
            <w:rFonts w:eastAsia="Times New Roman"/>
            <w:color w:val="0000FF"/>
            <w:szCs w:val="28"/>
            <w:u w:val="single"/>
            <w:lang w:val="ru-RU"/>
          </w:rPr>
          <w:t>3</w:t>
        </w:r>
      </w:hyperlink>
      <w:r>
        <w:rPr>
          <w:rFonts w:eastAsia="Times New Roman" w:cs="Times New Roman"/>
          <w:lang w:val="ru-RU"/>
        </w:rPr>
        <w:t>]</w:t>
      </w:r>
    </w:p>
    <w:p w14:paraId="1A834EB2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2. Отрасль</w:t>
      </w:r>
    </w:p>
    <w:p w14:paraId="3A6ECCC5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Информационные технологии, разработка программного обеспечения и ИТ-услуги, со специализацией на финтехе и банковских информационных системах. Портфель компании включает цифровую банковскую платформу, банковские и интеграционные решения, платформы управления рисками, инструменты для разработки и другие программные продукты. [</w:t>
      </w:r>
      <w:hyperlink r:id="rId11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>]</w:t>
      </w:r>
    </w:p>
    <w:p w14:paraId="47B26DB2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lastRenderedPageBreak/>
        <w:t>3. Выручка</w:t>
      </w:r>
    </w:p>
    <w:p w14:paraId="2C55878A" w14:textId="0C3EDB0F" w:rsidR="00D31DAA" w:rsidRPr="000423FA" w:rsidRDefault="00000000" w:rsidP="000423FA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Выручка ООО «ГК «</w:t>
      </w:r>
      <w:proofErr w:type="spellStart"/>
      <w:r>
        <w:rPr>
          <w:rFonts w:eastAsia="Times New Roman" w:cs="Times New Roman"/>
          <w:lang w:val="ru-RU"/>
        </w:rPr>
        <w:t>Иннотех</w:t>
      </w:r>
      <w:proofErr w:type="spellEnd"/>
      <w:r>
        <w:rPr>
          <w:rFonts w:eastAsia="Times New Roman" w:cs="Times New Roman"/>
          <w:lang w:val="ru-RU"/>
        </w:rPr>
        <w:t>» за 2025 год составила 97 987 615 000 рублей, то есть приблизительно 98,0 млрд рублей. Показатель подтверждается бухгалтерской отчётностью и независимым открытым источником. [</w:t>
      </w:r>
      <w:hyperlink r:id="rId12">
        <w:r>
          <w:rPr>
            <w:rFonts w:eastAsia="Times New Roman"/>
            <w:color w:val="0000FF"/>
            <w:szCs w:val="28"/>
            <w:u w:val="single"/>
            <w:lang w:val="ru-RU"/>
          </w:rPr>
          <w:t>2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13">
        <w:r>
          <w:rPr>
            <w:rFonts w:eastAsia="Times New Roman"/>
            <w:color w:val="0000FF"/>
            <w:szCs w:val="28"/>
            <w:u w:val="single"/>
            <w:lang w:val="ru-RU"/>
          </w:rPr>
          <w:t>3</w:t>
        </w:r>
      </w:hyperlink>
      <w:r>
        <w:rPr>
          <w:rFonts w:eastAsia="Times New Roman" w:cs="Times New Roman"/>
          <w:lang w:val="ru-RU"/>
        </w:rPr>
        <w:t>]</w:t>
      </w:r>
    </w:p>
    <w:p w14:paraId="683D8F86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4. Способ подтверждения масштаба</w:t>
      </w:r>
    </w:p>
    <w:p w14:paraId="1CB7F215" w14:textId="5F9AD9D6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 xml:space="preserve">Способ подтверждения </w:t>
      </w:r>
      <w:r w:rsidR="000423FA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  <w:lang w:val="ru-RU"/>
        </w:rPr>
        <w:t xml:space="preserve"> публичные данные. В качестве основного источника используется Государственный информационный ресурс бухгалтерской (финансовой) отчётности ФНС России, в качестве независимой проверки </w:t>
      </w:r>
      <w:r w:rsidR="000423FA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  <w:lang w:val="ru-RU"/>
        </w:rPr>
        <w:t xml:space="preserve"> карточка ООО «ГК «Иннотех» в РБК Компании. [</w:t>
      </w:r>
      <w:hyperlink r:id="rId14">
        <w:r>
          <w:rPr>
            <w:rFonts w:eastAsia="Times New Roman"/>
            <w:color w:val="0000FF"/>
            <w:szCs w:val="28"/>
            <w:u w:val="single"/>
            <w:lang w:val="ru-RU"/>
          </w:rPr>
          <w:t>2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15">
        <w:r>
          <w:rPr>
            <w:rFonts w:eastAsia="Times New Roman"/>
            <w:color w:val="0000FF"/>
            <w:szCs w:val="28"/>
            <w:u w:val="single"/>
            <w:lang w:val="ru-RU"/>
          </w:rPr>
          <w:t>3</w:t>
        </w:r>
      </w:hyperlink>
      <w:r>
        <w:rPr>
          <w:rFonts w:eastAsia="Times New Roman" w:cs="Times New Roman"/>
          <w:lang w:val="ru-RU"/>
        </w:rPr>
        <w:t>]</w:t>
      </w:r>
    </w:p>
    <w:p w14:paraId="57CEC068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5. Направления выручки</w:t>
      </w:r>
    </w:p>
    <w:p w14:paraId="31B83923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Публичная бухгалтерская отчётность не раскрывает выручку ООО «ГК «Иннотех» по отдельным продуктам и направлениям, поэтому количественные доли направлений в рамках проекта не устанавливаются. [</w:t>
      </w:r>
      <w:hyperlink r:id="rId16">
        <w:r>
          <w:rPr>
            <w:rFonts w:eastAsia="Times New Roman"/>
            <w:color w:val="0000FF"/>
            <w:szCs w:val="28"/>
            <w:u w:val="single"/>
            <w:lang w:val="ru-RU"/>
          </w:rPr>
          <w:t>2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17">
        <w:r>
          <w:rPr>
            <w:rFonts w:eastAsia="Times New Roman"/>
            <w:color w:val="0000FF"/>
            <w:szCs w:val="28"/>
            <w:u w:val="single"/>
            <w:lang w:val="ru-RU"/>
          </w:rPr>
          <w:t>3</w:t>
        </w:r>
      </w:hyperlink>
      <w:r>
        <w:rPr>
          <w:rFonts w:eastAsia="Times New Roman" w:cs="Times New Roman"/>
          <w:lang w:val="ru-RU"/>
        </w:rPr>
        <w:t>]</w:t>
      </w:r>
    </w:p>
    <w:p w14:paraId="0374C803" w14:textId="335C6A5F" w:rsidR="00D31DAA" w:rsidRPr="000423FA" w:rsidRDefault="000423FA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 xml:space="preserve">По открытым сведениям, </w:t>
      </w:r>
      <w:r w:rsidR="00000000">
        <w:rPr>
          <w:rFonts w:eastAsia="Times New Roman" w:cs="Times New Roman"/>
          <w:lang w:val="ru-RU"/>
        </w:rPr>
        <w:t>можно выделить следующие основные направления деятельности, формирующие потенциальные источники выручки:</w:t>
      </w:r>
    </w:p>
    <w:p w14:paraId="3229DBD4" w14:textId="77777777" w:rsidR="00D31DAA" w:rsidRPr="000423FA" w:rsidRDefault="00000000">
      <w:pPr>
        <w:pStyle w:val="a0"/>
        <w:ind w:left="709" w:hanging="357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заказная разработка и развитие информационных систем для крупных корпоративных клиентов;</w:t>
      </w:r>
    </w:p>
    <w:p w14:paraId="0AE32B76" w14:textId="77777777" w:rsidR="00D31DAA" w:rsidRPr="000423FA" w:rsidRDefault="00000000">
      <w:pPr>
        <w:pStyle w:val="a0"/>
        <w:ind w:left="709" w:hanging="357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собственные программные продукты и платформенные решения;</w:t>
      </w:r>
    </w:p>
    <w:p w14:paraId="4807005E" w14:textId="77777777" w:rsidR="00D31DAA" w:rsidRPr="000423FA" w:rsidRDefault="00000000">
      <w:pPr>
        <w:pStyle w:val="a0"/>
        <w:ind w:left="709" w:hanging="357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внедрение, сопровождение и техническая поддержка информационных систем.</w:t>
      </w:r>
    </w:p>
    <w:p w14:paraId="4FA60052" w14:textId="1C5FCDDF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Такое деление является рабочей классификацией по публично описанным видам деятельности и продуктовому портфелю. [</w:t>
      </w:r>
      <w:hyperlink r:id="rId18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19">
        <w:r>
          <w:rPr>
            <w:rFonts w:eastAsia="Times New Roman"/>
            <w:color w:val="0000FF"/>
            <w:szCs w:val="28"/>
            <w:u w:val="single"/>
            <w:lang w:val="ru-RU"/>
          </w:rPr>
          <w:t>4</w:t>
        </w:r>
      </w:hyperlink>
      <w:r>
        <w:rPr>
          <w:rFonts w:eastAsia="Times New Roman" w:cs="Times New Roman"/>
          <w:lang w:val="ru-RU"/>
        </w:rPr>
        <w:t>]</w:t>
      </w:r>
    </w:p>
    <w:p w14:paraId="2E673264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6. Клиенты и каналы</w:t>
      </w:r>
    </w:p>
    <w:p w14:paraId="4804EFAF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 xml:space="preserve">Основными клиентами Т1 </w:t>
      </w:r>
      <w:proofErr w:type="spellStart"/>
      <w:r>
        <w:rPr>
          <w:rFonts w:eastAsia="Times New Roman" w:cs="Times New Roman"/>
          <w:lang w:val="ru-RU"/>
        </w:rPr>
        <w:t>Иннотех</w:t>
      </w:r>
      <w:proofErr w:type="spellEnd"/>
      <w:r>
        <w:rPr>
          <w:rFonts w:eastAsia="Times New Roman" w:cs="Times New Roman"/>
          <w:lang w:val="ru-RU"/>
        </w:rPr>
        <w:t xml:space="preserve"> являются крупные корпоративные заказчики, прежде всего организации финансового сектора. На официальной странице Т1 Иннотех клиентская база компании характеризуется как крупней</w:t>
      </w:r>
      <w:r>
        <w:rPr>
          <w:rFonts w:eastAsia="Times New Roman" w:cs="Times New Roman"/>
          <w:lang w:val="ru-RU"/>
        </w:rPr>
        <w:lastRenderedPageBreak/>
        <w:t>шие банки, страховые, лизинговые компании и ведущие участники финансового сектора. [</w:t>
      </w:r>
      <w:hyperlink r:id="rId20">
        <w:r>
          <w:rPr>
            <w:rFonts w:eastAsia="Times New Roman"/>
            <w:color w:val="0000FF"/>
            <w:szCs w:val="28"/>
            <w:u w:val="single"/>
            <w:lang w:val="ru-RU"/>
          </w:rPr>
          <w:t>4</w:t>
        </w:r>
      </w:hyperlink>
      <w:r>
        <w:rPr>
          <w:rFonts w:eastAsia="Times New Roman" w:cs="Times New Roman"/>
          <w:lang w:val="ru-RU"/>
        </w:rPr>
        <w:t>]</w:t>
      </w:r>
    </w:p>
    <w:p w14:paraId="006BDFC0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Наиболее подробно в публичных материалах представлен ПАО Банк ВТБ. Иннотех прямо называет себя технологическим партнёром ВТБ и описывает ряд совместно реализованных проектов, включая сервисную платформу, API-платформу, аналитические решения и другие компоненты банковской ИТ-архитектуры. [</w:t>
      </w:r>
      <w:hyperlink r:id="rId21">
        <w:r>
          <w:rPr>
            <w:rFonts w:eastAsia="Times New Roman"/>
            <w:color w:val="0000FF"/>
            <w:szCs w:val="28"/>
            <w:u w:val="single"/>
            <w:lang w:val="ru-RU"/>
          </w:rPr>
          <w:t>5</w:t>
        </w:r>
      </w:hyperlink>
      <w:r>
        <w:rPr>
          <w:rFonts w:eastAsia="Times New Roman" w:cs="Times New Roman"/>
          <w:lang w:val="ru-RU"/>
        </w:rPr>
        <w:t>]</w:t>
      </w:r>
    </w:p>
    <w:p w14:paraId="45736DB1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Среди других публично подтверждённых пользователей и заказчиков решений компании можно выделить ПАО «МТС-Банк», представитель которого делился клиентским опытом использования сервиса ОРИКС, а также НПФ ВТБ, для которого Т1 Иннотех выполнил перенос сайта на отечественную CMS. [</w:t>
      </w:r>
      <w:hyperlink r:id="rId22">
        <w:r>
          <w:rPr>
            <w:rFonts w:eastAsia="Times New Roman"/>
            <w:color w:val="0000FF"/>
            <w:szCs w:val="28"/>
            <w:u w:val="single"/>
            <w:lang w:val="ru-RU"/>
          </w:rPr>
          <w:t>6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23">
        <w:r>
          <w:rPr>
            <w:rFonts w:eastAsia="Times New Roman"/>
            <w:color w:val="0000FF"/>
            <w:szCs w:val="28"/>
            <w:u w:val="single"/>
            <w:lang w:val="ru-RU"/>
          </w:rPr>
          <w:t>7</w:t>
        </w:r>
      </w:hyperlink>
      <w:r>
        <w:rPr>
          <w:rFonts w:eastAsia="Times New Roman" w:cs="Times New Roman"/>
          <w:lang w:val="ru-RU"/>
        </w:rPr>
        <w:t>]</w:t>
      </w:r>
    </w:p>
    <w:p w14:paraId="7843E7D4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Компания также имеет опыт международных проектов. В Узбекистане ООО «Universal Platforms», дочерняя структура UZCARD, заключило с ГК «Иннотех» соглашение о совместном использовании Универсальной интеграционной платформы для местного рынка. [</w:t>
      </w:r>
      <w:hyperlink r:id="rId24">
        <w:r>
          <w:rPr>
            <w:rFonts w:eastAsia="Times New Roman"/>
            <w:color w:val="0000FF"/>
            <w:szCs w:val="28"/>
            <w:u w:val="single"/>
            <w:lang w:val="ru-RU"/>
          </w:rPr>
          <w:t>8</w:t>
        </w:r>
      </w:hyperlink>
      <w:r>
        <w:rPr>
          <w:rFonts w:eastAsia="Times New Roman" w:cs="Times New Roman"/>
          <w:lang w:val="ru-RU"/>
        </w:rPr>
        <w:t>]</w:t>
      </w:r>
    </w:p>
    <w:p w14:paraId="6021B516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Основным каналом работы с крупными заказчиками являются прямые долгосрочные B2B-взаимоотношения и проектные контракты, в рамках которых выполняются разработка, модернизация, внедрение и сопровождение информационных систем. Дополнительно компания предоставляет права использования собственных программных продуктов по лицензионной модели. [</w:t>
      </w:r>
      <w:hyperlink r:id="rId25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26">
        <w:r>
          <w:rPr>
            <w:rFonts w:eastAsia="Times New Roman"/>
            <w:color w:val="0000FF"/>
            <w:szCs w:val="28"/>
            <w:u w:val="single"/>
            <w:lang w:val="ru-RU"/>
          </w:rPr>
          <w:t>4</w:t>
        </w:r>
      </w:hyperlink>
      <w:r>
        <w:rPr>
          <w:rFonts w:eastAsia="Times New Roman" w:cs="Times New Roman"/>
          <w:lang w:val="ru-RU"/>
        </w:rPr>
        <w:t>]</w:t>
      </w:r>
    </w:p>
    <w:p w14:paraId="082CFD9D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Из собственного рабочего опыта студента подтверждается наличие длительных проектов разработки банковских информационных систем для крупных заказчиков. В частности, студент более двух лет работает backend-разработчиком в рамках проекта для ВТБ.</w:t>
      </w:r>
    </w:p>
    <w:p w14:paraId="410A23BC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7. Что известно об ИТ на входе</w:t>
      </w:r>
    </w:p>
    <w:p w14:paraId="3B926367" w14:textId="22174795" w:rsidR="00D31DAA" w:rsidRPr="000423FA" w:rsidRDefault="00000000" w:rsidP="000423FA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Наличие крупной ИТ-функции подтверждается непосредственно характером деятельности компании. ООО «ГК «Иннотех» разрабатывает и сопровожда</w:t>
      </w:r>
      <w:r>
        <w:rPr>
          <w:rFonts w:eastAsia="Times New Roman" w:cs="Times New Roman"/>
          <w:lang w:val="ru-RU"/>
        </w:rPr>
        <w:lastRenderedPageBreak/>
        <w:t>ет информационные системы и является правообладателем большого числа программных продуктов, включённых в Единый реестр российского ПО. [</w:t>
      </w:r>
      <w:hyperlink r:id="rId27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>]</w:t>
      </w:r>
    </w:p>
    <w:p w14:paraId="450FD227" w14:textId="2A00EFC1" w:rsidR="00D31DAA" w:rsidRPr="000423FA" w:rsidRDefault="00000000" w:rsidP="000423FA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В разработке применяется корпоративная платформа «Сфера», включающая инструменты для работы с кодом, документацией, CI/CD, оркестрацией, тестированием и другими этапами жизненного цикла ПО. На официальной странице компании также указано, что методология создания ПО и контроль её соблюдения организованы на базе платформы «Сфера», а среди основных языков разработки названы Java, Kotlin, C#, Python, Golang и JavaScript. [</w:t>
      </w:r>
      <w:hyperlink r:id="rId28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>]</w:t>
      </w:r>
    </w:p>
    <w:p w14:paraId="0AFDF03F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8. Доступ студента к сведениям</w:t>
      </w:r>
    </w:p>
    <w:p w14:paraId="4AF65EB4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Есть ограниченный внутренний доступ в рамках рабочей роли backend-разработчика. Студент является сотрудником компании и обладает непосредственным знанием процессов разработки, взаимодействия участников команды, применяемых инструментов и отдельных процессов эксплуатации и информационной безопасности в пределах собственного проекта.</w:t>
      </w:r>
    </w:p>
    <w:p w14:paraId="689BF39C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При этом рабочая роль не предполагает доступа к полной управленческой информации компании, финансовому планированию, ИТ-бюджету, коммерческим показателям, полной структуре портфеля проектов и другим данным уровня руководства. Поэтому в проекте применяется смешанный подход: финансовая и корпоративная информация берётся из открытых источников, сведения об организации разработки могут дополняться собственными наблюдениями студента, а неизвестные показатели фиксируются как допущения и не подменяются вымышленными значениями.</w:t>
      </w:r>
    </w:p>
    <w:p w14:paraId="41DD87CE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9. Ограничения на раскрытие</w:t>
      </w:r>
    </w:p>
    <w:p w14:paraId="6AAFC565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В учебной работе не раскрываются сведения ограниченного распространения, конфиденциальная техническая информация, внутренние адреса систем, учётные данные, конкретные настройки инфраструктуры, закрытая документация и иные сведения, не предназначенные для публичного использования.</w:t>
      </w:r>
    </w:p>
    <w:p w14:paraId="7434B28B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lastRenderedPageBreak/>
        <w:t>Внутренний опыт студента используется только в обобщённом виде, необходимом для описания процессов и устройства ИТ-функции. Для финансовых показателей используются публичные сведения, поэтому их нормировка не требуется. Коэффициент нормировки публичных финансовых показателей принимается равным 1,0.</w:t>
      </w:r>
    </w:p>
    <w:p w14:paraId="24B26C31" w14:textId="77777777" w:rsidR="00D31DAA" w:rsidRPr="000423FA" w:rsidRDefault="00000000">
      <w:pPr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Если в последующих практических работах потребуется показатель, доступный студенту только во внутреннем источнике и не подлежащий раскрытию, вместо фактического значения будет применена нормировка либо показатель будет представлен в относительном виде.</w:t>
      </w:r>
    </w:p>
    <w:p w14:paraId="6BED6AA4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Краткая версия паспорта</w:t>
      </w:r>
    </w:p>
    <w:p w14:paraId="0E21036D" w14:textId="77777777" w:rsidR="00D31DAA" w:rsidRPr="000423FA" w:rsidRDefault="00000000">
      <w:pPr>
        <w:rPr>
          <w:lang w:val="ru-RU"/>
        </w:rPr>
      </w:pPr>
      <w:r>
        <w:rPr>
          <w:rFonts w:eastAsia="Times New Roman" w:cs="Times New Roman"/>
          <w:b/>
          <w:lang w:val="ru-RU"/>
        </w:rPr>
        <w:t xml:space="preserve">1. Бизнес: </w:t>
      </w:r>
      <w:r>
        <w:rPr>
          <w:rFonts w:eastAsia="Times New Roman" w:cs="Times New Roman"/>
          <w:lang w:val="ru-RU"/>
        </w:rPr>
        <w:t>ООО «ГК «</w:t>
      </w:r>
      <w:proofErr w:type="spellStart"/>
      <w:r>
        <w:rPr>
          <w:rFonts w:eastAsia="Times New Roman" w:cs="Times New Roman"/>
          <w:lang w:val="ru-RU"/>
        </w:rPr>
        <w:t>Иннотех</w:t>
      </w:r>
      <w:proofErr w:type="spellEnd"/>
      <w:r>
        <w:rPr>
          <w:rFonts w:eastAsia="Times New Roman" w:cs="Times New Roman"/>
          <w:lang w:val="ru-RU"/>
        </w:rPr>
        <w:t>», разработка ПО и ИТ-решений, преимущественно для финансового сектора. [</w:t>
      </w:r>
      <w:hyperlink r:id="rId29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30">
        <w:r>
          <w:rPr>
            <w:rFonts w:eastAsia="Times New Roman"/>
            <w:color w:val="0000FF"/>
            <w:szCs w:val="28"/>
            <w:u w:val="single"/>
            <w:lang w:val="ru-RU"/>
          </w:rPr>
          <w:t>4</w:t>
        </w:r>
      </w:hyperlink>
      <w:r>
        <w:rPr>
          <w:rFonts w:eastAsia="Times New Roman" w:cs="Times New Roman"/>
          <w:lang w:val="ru-RU"/>
        </w:rPr>
        <w:t>]</w:t>
      </w:r>
    </w:p>
    <w:p w14:paraId="238D2B2A" w14:textId="77777777" w:rsidR="00D31DAA" w:rsidRPr="000423FA" w:rsidRDefault="00000000">
      <w:pPr>
        <w:rPr>
          <w:lang w:val="ru-RU"/>
        </w:rPr>
      </w:pPr>
      <w:r>
        <w:rPr>
          <w:rFonts w:eastAsia="Times New Roman" w:cs="Times New Roman"/>
          <w:b/>
          <w:lang w:val="ru-RU"/>
        </w:rPr>
        <w:t xml:space="preserve">2. Масштаб: </w:t>
      </w:r>
      <w:r>
        <w:rPr>
          <w:rFonts w:eastAsia="Times New Roman" w:cs="Times New Roman"/>
          <w:lang w:val="ru-RU"/>
        </w:rPr>
        <w:t>97,99 млрд руб. выручки за 2025 год; подтверждение по ГИР БО ФНС и РБК Компании. [</w:t>
      </w:r>
      <w:hyperlink r:id="rId31">
        <w:r>
          <w:rPr>
            <w:rFonts w:eastAsia="Times New Roman"/>
            <w:color w:val="0000FF"/>
            <w:szCs w:val="28"/>
            <w:u w:val="single"/>
            <w:lang w:val="ru-RU"/>
          </w:rPr>
          <w:t>2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32">
        <w:r>
          <w:rPr>
            <w:rFonts w:eastAsia="Times New Roman"/>
            <w:color w:val="0000FF"/>
            <w:szCs w:val="28"/>
            <w:u w:val="single"/>
            <w:lang w:val="ru-RU"/>
          </w:rPr>
          <w:t>3</w:t>
        </w:r>
      </w:hyperlink>
      <w:r>
        <w:rPr>
          <w:rFonts w:eastAsia="Times New Roman" w:cs="Times New Roman"/>
          <w:lang w:val="ru-RU"/>
        </w:rPr>
        <w:t>]</w:t>
      </w:r>
    </w:p>
    <w:p w14:paraId="79BDB76E" w14:textId="77777777" w:rsidR="00D31DAA" w:rsidRPr="000423FA" w:rsidRDefault="00000000">
      <w:pPr>
        <w:rPr>
          <w:lang w:val="ru-RU"/>
        </w:rPr>
      </w:pPr>
      <w:r>
        <w:rPr>
          <w:rFonts w:eastAsia="Times New Roman" w:cs="Times New Roman"/>
          <w:b/>
          <w:lang w:val="ru-RU"/>
        </w:rPr>
        <w:t xml:space="preserve">3. Направления: </w:t>
      </w:r>
      <w:r>
        <w:rPr>
          <w:rFonts w:eastAsia="Times New Roman" w:cs="Times New Roman"/>
          <w:lang w:val="ru-RU"/>
        </w:rPr>
        <w:t>заказная разработка информационных систем, собственные программные продукты, внедрение и сопровождение; доли публично не раскрыты. [</w:t>
      </w:r>
      <w:hyperlink r:id="rId33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 xml:space="preserve">; </w:t>
      </w:r>
      <w:hyperlink r:id="rId34">
        <w:r>
          <w:rPr>
            <w:rFonts w:eastAsia="Times New Roman"/>
            <w:color w:val="0000FF"/>
            <w:szCs w:val="28"/>
            <w:u w:val="single"/>
            <w:lang w:val="ru-RU"/>
          </w:rPr>
          <w:t>4</w:t>
        </w:r>
      </w:hyperlink>
      <w:r>
        <w:rPr>
          <w:rFonts w:eastAsia="Times New Roman" w:cs="Times New Roman"/>
          <w:lang w:val="ru-RU"/>
        </w:rPr>
        <w:t>]</w:t>
      </w:r>
    </w:p>
    <w:p w14:paraId="7E32FA9B" w14:textId="77777777" w:rsidR="00D31DAA" w:rsidRPr="000423FA" w:rsidRDefault="00000000">
      <w:pPr>
        <w:rPr>
          <w:lang w:val="ru-RU"/>
        </w:rPr>
      </w:pPr>
      <w:r>
        <w:rPr>
          <w:rFonts w:eastAsia="Times New Roman" w:cs="Times New Roman"/>
          <w:b/>
          <w:lang w:val="ru-RU"/>
        </w:rPr>
        <w:t xml:space="preserve">4. ИТ-функция: </w:t>
      </w:r>
      <w:r>
        <w:rPr>
          <w:rFonts w:eastAsia="Times New Roman" w:cs="Times New Roman"/>
          <w:lang w:val="ru-RU"/>
        </w:rPr>
        <w:t>крупная ИТ-функция, являющаяся основой деятельности компании; окончательный диагноз будет сформирован в ПР1. [</w:t>
      </w:r>
      <w:hyperlink r:id="rId35">
        <w:r>
          <w:rPr>
            <w:rFonts w:eastAsia="Times New Roman"/>
            <w:color w:val="0000FF"/>
            <w:szCs w:val="28"/>
            <w:u w:val="single"/>
            <w:lang w:val="ru-RU"/>
          </w:rPr>
          <w:t>1</w:t>
        </w:r>
      </w:hyperlink>
      <w:r>
        <w:rPr>
          <w:rFonts w:eastAsia="Times New Roman" w:cs="Times New Roman"/>
          <w:lang w:val="ru-RU"/>
        </w:rPr>
        <w:t>]</w:t>
      </w:r>
    </w:p>
    <w:p w14:paraId="04C5120F" w14:textId="77777777" w:rsidR="00D31DAA" w:rsidRPr="000423FA" w:rsidRDefault="00000000">
      <w:pPr>
        <w:rPr>
          <w:lang w:val="ru-RU"/>
        </w:rPr>
      </w:pPr>
      <w:r>
        <w:rPr>
          <w:rFonts w:eastAsia="Times New Roman" w:cs="Times New Roman"/>
          <w:b/>
          <w:lang w:val="ru-RU"/>
        </w:rPr>
        <w:t xml:space="preserve">5. Ограничения: </w:t>
      </w:r>
      <w:r>
        <w:rPr>
          <w:rFonts w:eastAsia="Times New Roman" w:cs="Times New Roman"/>
          <w:lang w:val="ru-RU"/>
        </w:rPr>
        <w:t>есть внутренний доступ на уровне разработчика; финансовые и управленческие данные берутся из открытых источников; закрытые внутренние сведения не раскрываются; коэффициент нормировки публичных данных — 1,0.</w:t>
      </w:r>
    </w:p>
    <w:p w14:paraId="175285C5" w14:textId="77777777" w:rsidR="00D31DAA" w:rsidRPr="000423FA" w:rsidRDefault="00000000">
      <w:pPr>
        <w:keepNext/>
        <w:spacing w:before="120"/>
        <w:rPr>
          <w:lang w:val="ru-RU"/>
        </w:rPr>
      </w:pPr>
      <w:r>
        <w:rPr>
          <w:rFonts w:eastAsia="Times New Roman" w:cs="Times New Roman"/>
          <w:b/>
          <w:lang w:val="ru-RU"/>
        </w:rPr>
        <w:t>Список использованных источников</w:t>
      </w:r>
    </w:p>
    <w:p w14:paraId="53E29282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 xml:space="preserve">1. ООО «ГК «ИННОТЕХ» : сведения об организации и программных продуктах [Электронный ресурс] // Иннотех. – URL: </w:t>
      </w:r>
      <w:hyperlink r:id="rId36">
        <w:r>
          <w:rPr>
            <w:rFonts w:eastAsia="Times New Roman"/>
            <w:color w:val="0000FF"/>
            <w:szCs w:val="28"/>
            <w:u w:val="single"/>
            <w:lang w:val="ru-RU"/>
          </w:rPr>
          <w:t>https://inno.tech/ru/product/it-accreditation/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361B6B0E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lastRenderedPageBreak/>
        <w:t xml:space="preserve">2. Государственный информационный ресурс бухгалтерской (финансовой) отчетности. ООО «ГК «ИННОТЕХ» [Электронный ресурс] // ФНС России. – URL: </w:t>
      </w:r>
      <w:hyperlink r:id="rId37">
        <w:r>
          <w:rPr>
            <w:rFonts w:eastAsia="Times New Roman"/>
            <w:color w:val="0000FF"/>
            <w:szCs w:val="28"/>
            <w:u w:val="single"/>
            <w:lang w:val="ru-RU"/>
          </w:rPr>
          <w:t>https://bo.nalog.gov.ru/organizations-card/11780112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54E6CC28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 xml:space="preserve">3. ООО «ГК «ИННОТЕХ» [Электронный ресурс] // РБК Компании. – URL: </w:t>
      </w:r>
      <w:hyperlink r:id="rId38">
        <w:r>
          <w:rPr>
            <w:rFonts w:eastAsia="Times New Roman"/>
            <w:color w:val="0000FF"/>
            <w:szCs w:val="28"/>
            <w:u w:val="single"/>
            <w:lang w:val="ru-RU"/>
          </w:rPr>
          <w:t>https://companies.rbc.ru/id/1227700086460-obschestvo-s-ogranichennoj-otvetstvennostyu-gruppa-kompanij-innoteh/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3532ECBB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 xml:space="preserve">4. Т1 </w:t>
      </w:r>
      <w:proofErr w:type="spellStart"/>
      <w:r>
        <w:rPr>
          <w:rFonts w:eastAsia="Times New Roman" w:cs="Times New Roman"/>
          <w:lang w:val="ru-RU"/>
        </w:rPr>
        <w:t>Иннотех</w:t>
      </w:r>
      <w:proofErr w:type="spellEnd"/>
      <w:r>
        <w:rPr>
          <w:rFonts w:eastAsia="Times New Roman" w:cs="Times New Roman"/>
          <w:lang w:val="ru-RU"/>
        </w:rPr>
        <w:t xml:space="preserve"> [Электронный ресурс] // ИТ-холдинг Т1. – URL: </w:t>
      </w:r>
      <w:hyperlink r:id="rId39">
        <w:r>
          <w:rPr>
            <w:rFonts w:eastAsia="Times New Roman"/>
            <w:color w:val="0000FF"/>
            <w:szCs w:val="28"/>
            <w:u w:val="single"/>
            <w:lang w:val="ru-RU"/>
          </w:rPr>
          <w:t>https://t1.ru/about/units/t1-innotech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7DB07F5F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>5. Проекты Группы «</w:t>
      </w:r>
      <w:proofErr w:type="spellStart"/>
      <w:r>
        <w:rPr>
          <w:rFonts w:eastAsia="Times New Roman" w:cs="Times New Roman"/>
          <w:lang w:val="ru-RU"/>
        </w:rPr>
        <w:t>Иннотех</w:t>
      </w:r>
      <w:proofErr w:type="spellEnd"/>
      <w:r>
        <w:rPr>
          <w:rFonts w:eastAsia="Times New Roman" w:cs="Times New Roman"/>
          <w:lang w:val="ru-RU"/>
        </w:rPr>
        <w:t xml:space="preserve">» победили сразу в шести номинациях премии GlobalCIO «Проект Года 2022» [Электронный ресурс] // Иннотех. – URL: </w:t>
      </w:r>
      <w:hyperlink r:id="rId40">
        <w:r>
          <w:rPr>
            <w:rFonts w:eastAsia="Times New Roman"/>
            <w:color w:val="0000FF"/>
            <w:szCs w:val="28"/>
            <w:u w:val="single"/>
            <w:lang w:val="ru-RU"/>
          </w:rPr>
          <w:t>https://inno.tech/ru/resources/news_room/globalcio2022/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77135D9D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 xml:space="preserve">6. Первая фактура потерь 2026 года: концентрация убытков от реализации операционных рисков. Новый функционал Орикса для более точного сравнения банка с рынком [Электронный ресурс] // Иннотех. – URL: </w:t>
      </w:r>
      <w:hyperlink r:id="rId41">
        <w:r>
          <w:rPr>
            <w:rFonts w:eastAsia="Times New Roman"/>
            <w:color w:val="0000FF"/>
            <w:szCs w:val="28"/>
            <w:u w:val="single"/>
            <w:lang w:val="ru-RU"/>
          </w:rPr>
          <w:t>https://inno.tech/ru/resources/webinars_events/pervaya-faktura-2026-goda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3CFB44D9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 xml:space="preserve">7. Т1 </w:t>
      </w:r>
      <w:proofErr w:type="spellStart"/>
      <w:r>
        <w:rPr>
          <w:rFonts w:eastAsia="Times New Roman" w:cs="Times New Roman"/>
          <w:lang w:val="ru-RU"/>
        </w:rPr>
        <w:t>Иннотех</w:t>
      </w:r>
      <w:proofErr w:type="spellEnd"/>
      <w:r>
        <w:rPr>
          <w:rFonts w:eastAsia="Times New Roman" w:cs="Times New Roman"/>
          <w:lang w:val="ru-RU"/>
        </w:rPr>
        <w:t xml:space="preserve"> завершил перенос сайта НПФ ВТБ на отечественную CMS [Электронный ресурс] // ИТ-холдинг Т1. – 2025. – 18 дек. – URL: </w:t>
      </w:r>
      <w:hyperlink r:id="rId42">
        <w:r>
          <w:rPr>
            <w:rFonts w:eastAsia="Times New Roman"/>
            <w:color w:val="0000FF"/>
            <w:szCs w:val="28"/>
            <w:u w:val="single"/>
            <w:lang w:val="ru-RU"/>
          </w:rPr>
          <w:t>https://t1.ru/media/news/t1_innoteh_zavershil_perenos_sayta_npf_vtb_na_otechestvennuyu_cms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p w14:paraId="0E8D1991" w14:textId="77777777" w:rsidR="00D31DAA" w:rsidRPr="000423FA" w:rsidRDefault="00000000">
      <w:pPr>
        <w:ind w:left="709" w:hanging="709"/>
        <w:rPr>
          <w:lang w:val="ru-RU"/>
        </w:rPr>
      </w:pPr>
      <w:r>
        <w:rPr>
          <w:rFonts w:eastAsia="Times New Roman" w:cs="Times New Roman"/>
          <w:lang w:val="ru-RU"/>
        </w:rPr>
        <w:t xml:space="preserve">8. ООО «UNIVERSAL PLATFORMS» и ГК «Иннотех» запускают уникальный сервис управления API на рынке Узбекистана [Электронный ресурс] // UZCARD. – 2022. – 27 мая. – URL: </w:t>
      </w:r>
      <w:hyperlink r:id="rId43">
        <w:r>
          <w:rPr>
            <w:rFonts w:eastAsia="Times New Roman"/>
            <w:color w:val="0000FF"/>
            <w:szCs w:val="28"/>
            <w:u w:val="single"/>
            <w:lang w:val="ru-RU"/>
          </w:rPr>
          <w:t>https://api.uzcard.uz/news/ooo-universal-platforms-uzcard-i-gk-innotekh-zapuskayut-unikalnyy-servis-upravleniya-api-na-rynke-uzbekistana/</w:t>
        </w:r>
      </w:hyperlink>
      <w:r>
        <w:rPr>
          <w:rFonts w:eastAsia="Times New Roman" w:cs="Times New Roman"/>
          <w:lang w:val="ru-RU"/>
        </w:rPr>
        <w:t xml:space="preserve"> (дата обращения: 21.09.2026).</w:t>
      </w:r>
    </w:p>
    <w:sectPr w:rsidR="00D31DAA" w:rsidRPr="000423FA" w:rsidSect="00034616">
      <w:footerReference w:type="default" r:id="rId44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1FFFC" w14:textId="77777777" w:rsidR="002419AB" w:rsidRDefault="002419AB">
      <w:pPr>
        <w:spacing w:line="240" w:lineRule="auto"/>
      </w:pPr>
      <w:r>
        <w:separator/>
      </w:r>
    </w:p>
  </w:endnote>
  <w:endnote w:type="continuationSeparator" w:id="0">
    <w:p w14:paraId="2B239C00" w14:textId="77777777" w:rsidR="002419AB" w:rsidRDefault="002419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4E3A" w14:textId="77777777" w:rsidR="00D31DAA" w:rsidRDefault="00000000">
    <w:pPr>
      <w:pStyle w:val="a7"/>
      <w:jc w:val="center"/>
    </w:pPr>
    <w:r>
      <w:rPr>
        <w:rFonts w:eastAsia="Times New Roman" w:cs="Times New Roman"/>
        <w:sz w:val="24"/>
        <w:lang w:val="ru-RU"/>
      </w:rPr>
      <w:fldChar w:fldCharType="begin"/>
    </w:r>
    <w:r>
      <w:rPr>
        <w:rFonts w:eastAsia="Times New Roman" w:cs="Times New Roman"/>
        <w:sz w:val="24"/>
        <w:lang w:val="ru-RU"/>
      </w:rPr>
      <w:instrText xml:space="preserve"> PAGE </w:instrText>
    </w:r>
    <w:r w:rsidR="000423FA">
      <w:rPr>
        <w:rFonts w:eastAsia="Times New Roman" w:cs="Times New Roman"/>
        <w:sz w:val="24"/>
        <w:lang w:val="ru-RU"/>
      </w:rPr>
      <w:fldChar w:fldCharType="separate"/>
    </w:r>
    <w:r w:rsidR="000423FA">
      <w:rPr>
        <w:rFonts w:eastAsia="Times New Roman" w:cs="Times New Roman"/>
        <w:noProof/>
        <w:sz w:val="24"/>
        <w:lang w:val="ru-RU"/>
      </w:rPr>
      <w:t>1</w:t>
    </w:r>
    <w:r>
      <w:rPr>
        <w:rFonts w:eastAsia="Times New Roman" w:cs="Times New Roman"/>
        <w:sz w:val="24"/>
        <w:lang w:val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CE6B" w14:textId="77777777" w:rsidR="002419AB" w:rsidRDefault="002419AB">
      <w:pPr>
        <w:spacing w:line="240" w:lineRule="auto"/>
      </w:pPr>
      <w:r>
        <w:separator/>
      </w:r>
    </w:p>
  </w:footnote>
  <w:footnote w:type="continuationSeparator" w:id="0">
    <w:p w14:paraId="2FD40CEE" w14:textId="77777777" w:rsidR="002419AB" w:rsidRDefault="002419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744288">
    <w:abstractNumId w:val="8"/>
  </w:num>
  <w:num w:numId="2" w16cid:durableId="1305693356">
    <w:abstractNumId w:val="6"/>
  </w:num>
  <w:num w:numId="3" w16cid:durableId="686054892">
    <w:abstractNumId w:val="5"/>
  </w:num>
  <w:num w:numId="4" w16cid:durableId="1362825336">
    <w:abstractNumId w:val="4"/>
  </w:num>
  <w:num w:numId="5" w16cid:durableId="801116557">
    <w:abstractNumId w:val="7"/>
  </w:num>
  <w:num w:numId="6" w16cid:durableId="109012272">
    <w:abstractNumId w:val="3"/>
  </w:num>
  <w:num w:numId="7" w16cid:durableId="122159696">
    <w:abstractNumId w:val="2"/>
  </w:num>
  <w:num w:numId="8" w16cid:durableId="944272218">
    <w:abstractNumId w:val="1"/>
  </w:num>
  <w:num w:numId="9" w16cid:durableId="190606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FA"/>
    <w:rsid w:val="0006063C"/>
    <w:rsid w:val="0015074B"/>
    <w:rsid w:val="002419AB"/>
    <w:rsid w:val="0029639D"/>
    <w:rsid w:val="00326F90"/>
    <w:rsid w:val="005C5D7B"/>
    <w:rsid w:val="00AA1D8D"/>
    <w:rsid w:val="00B47730"/>
    <w:rsid w:val="00CB0664"/>
    <w:rsid w:val="00D31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806BC"/>
  <w14:defaultImageDpi w14:val="300"/>
  <w15:docId w15:val="{43B3F372-7915-47A4-AF68-0D5DAEF4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mpanies.rbc.ru/id/1227700086460-obschestvo-s-ogranichennoj-otvetstvennostyu-gruppa-kompanij-innoteh/" TargetMode="External"/><Relationship Id="rId18" Type="http://schemas.openxmlformats.org/officeDocument/2006/relationships/hyperlink" Target="https://inno.tech/ru/product/it-accreditation/" TargetMode="External"/><Relationship Id="rId26" Type="http://schemas.openxmlformats.org/officeDocument/2006/relationships/hyperlink" Target="https://t1.ru/about/units/t1-innotech" TargetMode="External"/><Relationship Id="rId39" Type="http://schemas.openxmlformats.org/officeDocument/2006/relationships/hyperlink" Target="https://t1.ru/about/units/t1-innotech" TargetMode="External"/><Relationship Id="rId21" Type="http://schemas.openxmlformats.org/officeDocument/2006/relationships/hyperlink" Target="https://inno.tech/ru/resources/news_room/globalcio2022/" TargetMode="External"/><Relationship Id="rId34" Type="http://schemas.openxmlformats.org/officeDocument/2006/relationships/hyperlink" Target="https://t1.ru/about/units/t1-innotech" TargetMode="External"/><Relationship Id="rId42" Type="http://schemas.openxmlformats.org/officeDocument/2006/relationships/hyperlink" Target="https://t1.ru/media/news/t1_innoteh_zavershil_perenos_sayta_npf_vtb_na_otechestvennuyu_cm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bo.nalog.gov.ru/organizations-card/11780112" TargetMode="External"/><Relationship Id="rId29" Type="http://schemas.openxmlformats.org/officeDocument/2006/relationships/hyperlink" Target="https://inno.tech/ru/product/it-accredit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no.tech/ru/product/it-accreditation/" TargetMode="External"/><Relationship Id="rId24" Type="http://schemas.openxmlformats.org/officeDocument/2006/relationships/hyperlink" Target="https://api.uzcard.uz/news/ooo-universal-platforms-uzcard-i-gk-innotekh-zapuskayut-unikalnyy-servis-upravleniya-api-na-rynke-uzbekistana/" TargetMode="External"/><Relationship Id="rId32" Type="http://schemas.openxmlformats.org/officeDocument/2006/relationships/hyperlink" Target="https://companies.rbc.ru/id/1227700086460-obschestvo-s-ogranichennoj-otvetstvennostyu-gruppa-kompanij-innoteh/" TargetMode="External"/><Relationship Id="rId37" Type="http://schemas.openxmlformats.org/officeDocument/2006/relationships/hyperlink" Target="https://bo.nalog.gov.ru/organizations-card/11780112" TargetMode="External"/><Relationship Id="rId40" Type="http://schemas.openxmlformats.org/officeDocument/2006/relationships/hyperlink" Target="https://inno.tech/ru/resources/news_room/globalcio2022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mpanies.rbc.ru/id/1227700086460-obschestvo-s-ogranichennoj-otvetstvennostyu-gruppa-kompanij-innoteh/" TargetMode="External"/><Relationship Id="rId23" Type="http://schemas.openxmlformats.org/officeDocument/2006/relationships/hyperlink" Target="https://t1.ru/media/news/t1_innoteh_zavershil_perenos_sayta_npf_vtb_na_otechestvennuyu_cms" TargetMode="External"/><Relationship Id="rId28" Type="http://schemas.openxmlformats.org/officeDocument/2006/relationships/hyperlink" Target="https://inno.tech/ru/product/it-accreditation/" TargetMode="External"/><Relationship Id="rId36" Type="http://schemas.openxmlformats.org/officeDocument/2006/relationships/hyperlink" Target="https://inno.tech/ru/product/it-accreditation/" TargetMode="External"/><Relationship Id="rId10" Type="http://schemas.openxmlformats.org/officeDocument/2006/relationships/hyperlink" Target="https://companies.rbc.ru/id/1227700086460-obschestvo-s-ogranichennoj-otvetstvennostyu-gruppa-kompanij-innoteh/" TargetMode="External"/><Relationship Id="rId19" Type="http://schemas.openxmlformats.org/officeDocument/2006/relationships/hyperlink" Target="https://t1.ru/about/units/t1-innotech" TargetMode="External"/><Relationship Id="rId31" Type="http://schemas.openxmlformats.org/officeDocument/2006/relationships/hyperlink" Target="https://bo.nalog.gov.ru/organizations-card/11780112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nno.tech/ru/product/it-accreditation/" TargetMode="External"/><Relationship Id="rId14" Type="http://schemas.openxmlformats.org/officeDocument/2006/relationships/hyperlink" Target="https://bo.nalog.gov.ru/organizations-card/11780112" TargetMode="External"/><Relationship Id="rId22" Type="http://schemas.openxmlformats.org/officeDocument/2006/relationships/hyperlink" Target="https://inno.tech/ru/resources/webinars_events/pervaya-faktura-2026-goda" TargetMode="External"/><Relationship Id="rId27" Type="http://schemas.openxmlformats.org/officeDocument/2006/relationships/hyperlink" Target="https://inno.tech/ru/product/it-accreditation/" TargetMode="External"/><Relationship Id="rId30" Type="http://schemas.openxmlformats.org/officeDocument/2006/relationships/hyperlink" Target="https://t1.ru/about/units/t1-innotech" TargetMode="External"/><Relationship Id="rId35" Type="http://schemas.openxmlformats.org/officeDocument/2006/relationships/hyperlink" Target="https://inno.tech/ru/product/it-accreditation/" TargetMode="External"/><Relationship Id="rId43" Type="http://schemas.openxmlformats.org/officeDocument/2006/relationships/hyperlink" Target="https://api.uzcard.uz/news/ooo-universal-platforms-uzcard-i-gk-innotekh-zapuskayut-unikalnyy-servis-upravleniya-api-na-rynke-uzbekistana/" TargetMode="External"/><Relationship Id="rId8" Type="http://schemas.openxmlformats.org/officeDocument/2006/relationships/hyperlink" Target="https://inno.tech/ru/product/it-accreditation/" TargetMode="External"/><Relationship Id="rId3" Type="http://schemas.openxmlformats.org/officeDocument/2006/relationships/styles" Target="styles.xml"/><Relationship Id="rId12" Type="http://schemas.openxmlformats.org/officeDocument/2006/relationships/hyperlink" Target="https://bo.nalog.gov.ru/organizations-card/11780112" TargetMode="External"/><Relationship Id="rId17" Type="http://schemas.openxmlformats.org/officeDocument/2006/relationships/hyperlink" Target="https://companies.rbc.ru/id/1227700086460-obschestvo-s-ogranichennoj-otvetstvennostyu-gruppa-kompanij-innoteh/" TargetMode="External"/><Relationship Id="rId25" Type="http://schemas.openxmlformats.org/officeDocument/2006/relationships/hyperlink" Target="https://inno.tech/ru/product/it-accreditation/" TargetMode="External"/><Relationship Id="rId33" Type="http://schemas.openxmlformats.org/officeDocument/2006/relationships/hyperlink" Target="https://inno.tech/ru/product/it-accreditation/" TargetMode="External"/><Relationship Id="rId38" Type="http://schemas.openxmlformats.org/officeDocument/2006/relationships/hyperlink" Target="https://companies.rbc.ru/id/1227700086460-obschestvo-s-ogranichennoj-otvetstvennostyu-gruppa-kompanij-innoteh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t1.ru/about/units/t1-innotech" TargetMode="External"/><Relationship Id="rId41" Type="http://schemas.openxmlformats.org/officeDocument/2006/relationships/hyperlink" Target="https://inno.tech/ru/resources/webinars_events/pervaya-faktura-2026-go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1829</Words>
  <Characters>10427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проекта — ООО «ГК «Иннотех»</dc:title>
  <dc:subject>Управление информационными технологиями на предприятии</dc:subject>
  <dc:creator>python-docx</dc:creator>
  <cp:keywords>Иннотех, паспорт проекта, ИТ, IT management</cp:keywords>
  <dc:description>generated by python-docx</dc:description>
  <cp:lastModifiedBy>Павел Кельбас</cp:lastModifiedBy>
  <cp:revision>2</cp:revision>
  <dcterms:created xsi:type="dcterms:W3CDTF">2013-12-23T23:15:00Z</dcterms:created>
  <dcterms:modified xsi:type="dcterms:W3CDTF">2026-09-22T09:26:00Z</dcterms:modified>
  <cp:category/>
</cp:coreProperties>
</file>