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480" w:lineRule="exact"/>
        <w:jc w:val="center"/>
      </w:pPr>
      <w:r>
        <w:rPr>
          <w:rFonts w:ascii="Times New Roman" w:hAnsi="Times New Roman"/>
          <w:b/>
          <w:i w:val="0"/>
          <w:sz w:val="28"/>
        </w:rPr>
        <w:t>OpenGeoTrust-PerioSAM: A Geometry-Aware Multi-Task Deep Learning Framework for Simultaneous Crestal Bone Line Segmentation, Landmark Detection, and Calibrated Uncertainty Quantification from Intraoral Periapical Radiographs</w:t>
      </w:r>
    </w:p>
    <w:p>
      <w:pPr>
        <w:spacing w:before="240" w:after="120" w:line="480" w:lineRule="exact"/>
        <w:jc w:val="left"/>
      </w:pPr>
      <w:r>
        <w:rPr>
          <w:rFonts w:ascii="Times New Roman" w:hAnsi="Times New Roman"/>
          <w:b/>
          <w:i w:val="0"/>
          <w:sz w:val="24"/>
        </w:rPr>
        <w:t>ABSTRACT</w:t>
      </w:r>
    </w:p>
    <w:p>
      <w:pPr>
        <w:spacing w:after="100" w:line="480" w:lineRule="exact"/>
        <w:jc w:val="both"/>
      </w:pPr>
      <w:r>
        <w:rPr>
          <w:rFonts w:ascii="Times New Roman" w:hAnsi="Times New Roman"/>
          <w:b/>
          <w:i w:val="0"/>
          <w:sz w:val="24"/>
        </w:rPr>
        <w:t xml:space="preserve">Background: </w:t>
      </w:r>
      <w:r>
        <w:rPr>
          <w:rFonts w:ascii="Times New Roman" w:hAnsi="Times New Roman"/>
          <w:b w:val="0"/>
          <w:i w:val="0"/>
          <w:sz w:val="24"/>
        </w:rPr>
        <w:t>Radiographic bone level assessment is central to periodontitis staging under the 2018 World Workshop classification; however, current clinical practice relies on manual, operator-dependent measurements that are poorly reproducible. Existing artificial intelligence (AI) approaches to periodontal radiographic analysis are largely confined to image-level classification tasks and do not provide pixel-level bone topography, anatomical landmark coordinates, or calibrated uncertainty estimates required for clinical governance.</w:t>
      </w:r>
    </w:p>
    <w:p>
      <w:pPr>
        <w:spacing w:after="100" w:line="480" w:lineRule="exact"/>
        <w:jc w:val="both"/>
      </w:pPr>
      <w:r>
        <w:rPr>
          <w:rFonts w:ascii="Times New Roman" w:hAnsi="Times New Roman"/>
          <w:b/>
          <w:i w:val="0"/>
          <w:sz w:val="24"/>
        </w:rPr>
        <w:t xml:space="preserve">Objectives: </w:t>
      </w:r>
      <w:r>
        <w:rPr>
          <w:rFonts w:ascii="Times New Roman" w:hAnsi="Times New Roman"/>
          <w:b w:val="0"/>
          <w:i w:val="0"/>
          <w:sz w:val="24"/>
        </w:rPr>
        <w:t>To develop and validate OpenGeoTrust-PerioSAM, a geometry-aware multi-task convolutional neural network that simultaneously segments the tooth outline and crestal bone line, detects the cemento-enamel junction (CEJ) and root apex, computes a geometry-based bone-loss percentage, and provides calibrated predictive uncertainty from intraoral periapical (IOPA) radiographs.</w:t>
      </w:r>
    </w:p>
    <w:p>
      <w:pPr>
        <w:spacing w:after="100" w:line="480" w:lineRule="exact"/>
        <w:jc w:val="both"/>
      </w:pPr>
      <w:r>
        <w:rPr>
          <w:rFonts w:ascii="Times New Roman" w:hAnsi="Times New Roman"/>
          <w:b/>
          <w:i w:val="0"/>
          <w:sz w:val="24"/>
        </w:rPr>
        <w:t xml:space="preserve">Methods: </w:t>
      </w:r>
      <w:r>
        <w:rPr>
          <w:rFonts w:ascii="Times New Roman" w:hAnsi="Times New Roman"/>
          <w:b w:val="0"/>
          <w:i w:val="0"/>
          <w:sz w:val="24"/>
        </w:rPr>
        <w:t>A multi-task U-Net with a ResNet-34 encoder and three task-specific decoder heads was trained on the DenPAR dataset (n=1,000 annotated IOPA radiographs; 650/150/200 training/validation/test). A composite Tversky-Focal loss (α=0.3, β=0.7) with target-space bone-line rasterisation (7-pixel width at 512×512 resolution) addressed extreme class imbalance. Monte Carlo (MC) Dropout (T=20) quantified predictive uncertainty. Bootstrap 95% confidence intervals (B=2,000) were computed for all primary metrics.</w:t>
      </w:r>
    </w:p>
    <w:p>
      <w:pPr>
        <w:spacing w:after="100" w:line="480" w:lineRule="exact"/>
        <w:jc w:val="both"/>
      </w:pPr>
      <w:r>
        <w:rPr>
          <w:rFonts w:ascii="Times New Roman" w:hAnsi="Times New Roman"/>
          <w:b/>
          <w:i w:val="0"/>
          <w:sz w:val="24"/>
        </w:rPr>
        <w:t xml:space="preserve">Results: </w:t>
      </w:r>
      <w:r>
        <w:rPr>
          <w:rFonts w:ascii="Times New Roman" w:hAnsi="Times New Roman"/>
          <w:b w:val="0"/>
          <w:i w:val="0"/>
          <w:sz w:val="24"/>
        </w:rPr>
        <w:t>On the held-out test set (n=200), the model achieved tooth segmentation Dice Similarity Coefficient (DSC) 0.957 (95% CI: 0.948–0.958), crestal bone-line DSC 0.544 (95% CI: 0.543–0.595), keypoint mean radial error (MRE) 1.05 pixels (PCK@4px=1.000), and Expected Calibration Error (ECE) 0.094. Predictive uncertainty correlated significantly with segmentation error (Spearman ρ=0.591, p&lt;0.0001). Multi-task joint training reduced the validation-to-test generalisation gap by 80.7% relative to single-task bone segmentation (gap: 0.034 vs. 0.176).</w:t>
      </w:r>
    </w:p>
    <w:p>
      <w:pPr>
        <w:spacing w:after="100" w:line="480" w:lineRule="exact"/>
        <w:jc w:val="both"/>
      </w:pPr>
      <w:r>
        <w:rPr>
          <w:rFonts w:ascii="Times New Roman" w:hAnsi="Times New Roman"/>
          <w:b/>
          <w:i w:val="0"/>
          <w:sz w:val="24"/>
        </w:rPr>
        <w:t xml:space="preserve">Conclusions: </w:t>
      </w:r>
      <w:r>
        <w:rPr>
          <w:rFonts w:ascii="Times New Roman" w:hAnsi="Times New Roman"/>
          <w:b w:val="0"/>
          <w:i w:val="0"/>
          <w:sz w:val="24"/>
        </w:rPr>
        <w:t>OpenGeoTrust-PerioSAM delivers geometrically interpretable, uncertainty-calibrated periodontal bone assessments from IOPA radiographs with performance supporting integration as a reproducible adjunct to radiographic bone level measurement and periodontitis staging.</w:t>
      </w:r>
    </w:p>
    <w:p>
      <w:pPr>
        <w:spacing w:before="0" w:after="240" w:line="480" w:lineRule="exact"/>
        <w:jc w:val="both"/>
      </w:pPr>
      <w:r>
        <w:rPr>
          <w:rFonts w:ascii="Times New Roman" w:hAnsi="Times New Roman"/>
          <w:b w:val="0"/>
          <w:i/>
          <w:sz w:val="24"/>
        </w:rPr>
        <w:t>Keywords: periodontitis; crestal bone segmentation; multi-task learning; deep learning; intraoral periapical radiograph; uncertainty quantification; dental AI</w:t>
      </w:r>
    </w:p>
    <w:p>
      <w:pPr>
        <w:spacing w:before="240" w:after="120" w:line="480" w:lineRule="exact"/>
        <w:jc w:val="left"/>
      </w:pPr>
      <w:r>
        <w:rPr>
          <w:rFonts w:ascii="Times New Roman" w:hAnsi="Times New Roman"/>
          <w:b/>
          <w:i w:val="0"/>
          <w:sz w:val="24"/>
        </w:rPr>
        <w:t>INTRODUCTION</w:t>
      </w:r>
    </w:p>
    <w:p>
      <w:pPr>
        <w:spacing w:before="0" w:after="120" w:line="480" w:lineRule="exact"/>
        <w:ind w:firstLine="720"/>
        <w:jc w:val="both"/>
      </w:pPr>
      <w:r>
        <w:rPr>
          <w:rFonts w:ascii="Times New Roman" w:hAnsi="Times New Roman"/>
          <w:b w:val="0"/>
          <w:i w:val="0"/>
          <w:sz w:val="24"/>
        </w:rPr>
        <w:t>Periodontitis is among the most prevalent non-communicable diseases globally, with severe forms affecting an estimated 11.2% of the world's adult population — ranked sixth in global disease prevalence — and representing the primary cause of tooth loss in adults.</w:t>
      </w:r>
      <w:r>
        <w:rPr>
          <w:rFonts w:ascii="Times New Roman" w:hAnsi="Times New Roman"/>
          <w:b w:val="0"/>
          <w:i w:val="0"/>
          <w:sz w:val="20"/>
          <w:vertAlign w:val="superscript"/>
        </w:rPr>
        <w:t>1</w:t>
      </w:r>
      <w:r>
        <w:rPr>
          <w:rFonts w:ascii="Times New Roman" w:hAnsi="Times New Roman"/>
          <w:b w:val="0"/>
          <w:i w:val="0"/>
          <w:sz w:val="24"/>
        </w:rPr>
        <w:t xml:space="preserve"> Its principal radiographic hallmark is alveolar bone loss measured from the cemento-enamel junction (CEJ) as the anatomical reference point. The 2017 World Workshop on the Classification of Periodontal and Peri-Implant Diseases formally embedded radiographic bone level as an essential criterion for periodontitis staging, with bone loss expressed as a millimetre value or root-length percentage.</w:t>
      </w:r>
      <w:r>
        <w:rPr>
          <w:rFonts w:ascii="Times New Roman" w:hAnsi="Times New Roman"/>
          <w:b w:val="0"/>
          <w:i w:val="0"/>
          <w:sz w:val="20"/>
          <w:vertAlign w:val="superscript"/>
        </w:rPr>
        <w:t>2,3</w:t>
      </w:r>
      <w:r>
        <w:rPr>
          <w:rFonts w:ascii="Times New Roman" w:hAnsi="Times New Roman"/>
          <w:b w:val="0"/>
          <w:i w:val="0"/>
          <w:sz w:val="24"/>
        </w:rPr>
        <w:t xml:space="preserve"> Despite this diagnostic centrality, radiographic bone level measurement in routine clinical practice remains predominantly manual, operator-dependent, and burdened by significant inter- and intra-examiner variability, directly undermining staging reproducibility and longitudinal monitoring fidelity.</w:t>
      </w:r>
    </w:p>
    <w:p>
      <w:pPr>
        <w:spacing w:before="0" w:after="120" w:line="480" w:lineRule="exact"/>
        <w:ind w:firstLine="720"/>
        <w:jc w:val="both"/>
      </w:pPr>
      <w:r>
        <w:rPr>
          <w:rFonts w:ascii="Times New Roman" w:hAnsi="Times New Roman"/>
          <w:b w:val="0"/>
          <w:i w:val="0"/>
          <w:sz w:val="24"/>
        </w:rPr>
        <w:t>The emergence of deep learning in dental diagnostics has generated substantial interest in automating radiographic periodontal assessment.</w:t>
      </w:r>
      <w:r>
        <w:rPr>
          <w:rFonts w:ascii="Times New Roman" w:hAnsi="Times New Roman"/>
          <w:b w:val="0"/>
          <w:i w:val="0"/>
          <w:sz w:val="20"/>
          <w:vertAlign w:val="superscript"/>
        </w:rPr>
        <w:t>4,5</w:t>
      </w:r>
      <w:r>
        <w:rPr>
          <w:rFonts w:ascii="Times New Roman" w:hAnsi="Times New Roman"/>
          <w:b w:val="0"/>
          <w:i w:val="0"/>
          <w:sz w:val="24"/>
        </w:rPr>
        <w:t xml:space="preserve"> Krois and colleagues demonstrated that a seven-layer convolutional neural network trained on panoramic radiograph segments achieved a mean classification accuracy of 0.81 for the presence of radiographic bone loss — comparable to experienced dentists.</w:t>
      </w:r>
      <w:r>
        <w:rPr>
          <w:rFonts w:ascii="Times New Roman" w:hAnsi="Times New Roman"/>
          <w:b w:val="0"/>
          <w:i w:val="0"/>
          <w:sz w:val="20"/>
          <w:vertAlign w:val="superscript"/>
        </w:rPr>
        <w:t>6</w:t>
      </w:r>
      <w:r>
        <w:rPr>
          <w:rFonts w:ascii="Times New Roman" w:hAnsi="Times New Roman"/>
          <w:b w:val="0"/>
          <w:i w:val="0"/>
          <w:sz w:val="24"/>
        </w:rPr>
        <w:t xml:space="preserve"> Chang and colleagues extended this with a hybrid deep learning framework that automatically staged periodontitis on panoramic radiographs according to the 2017 classification criteria, achieving an intraclass correlation coefficient of 0.91 with radiologist diagnoses.</w:t>
      </w:r>
      <w:r>
        <w:rPr>
          <w:rFonts w:ascii="Times New Roman" w:hAnsi="Times New Roman"/>
          <w:b w:val="0"/>
          <w:i w:val="0"/>
          <w:sz w:val="20"/>
          <w:vertAlign w:val="superscript"/>
        </w:rPr>
        <w:t>7</w:t>
      </w:r>
      <w:r>
        <w:rPr>
          <w:rFonts w:ascii="Times New Roman" w:hAnsi="Times New Roman"/>
          <w:b w:val="0"/>
          <w:i w:val="0"/>
          <w:sz w:val="24"/>
        </w:rPr>
        <w:t xml:space="preserve"> Critically, however, both of these landmark studies — and the majority of published periodontal AI — operated on panoramic radiographs and framed the problem as image-level classification rather than dense pixel-level segmentation. They return a diagnostic label or severity grade but cannot localise the crestal bone margin, extract per-tooth geometric measurements, or assign spatial confidence to individual predictions.</w:t>
      </w:r>
    </w:p>
    <w:p>
      <w:pPr>
        <w:spacing w:before="0" w:after="120" w:line="480" w:lineRule="exact"/>
        <w:ind w:firstLine="720"/>
        <w:jc w:val="both"/>
      </w:pPr>
      <w:r>
        <w:rPr>
          <w:rFonts w:ascii="Times New Roman" w:hAnsi="Times New Roman"/>
          <w:b w:val="0"/>
          <w:i w:val="0"/>
          <w:sz w:val="24"/>
        </w:rPr>
        <w:t>Segmentation-based approaches have the potential to close this clinical translation gap, yet the crestal bone line presents formidable technical obstacles. At standard clinical resolution (512×512 pixels), bone-line annotations occupy fewer than 0.5–1.0% of image pixels — a severe class-imbalance regime in which standard Dice-based objectives collapse to the trivial all-background prediction. Furthermore, IOPA radiographs, the most commonly acquired format in clinical periodontology for bone level assessment, exhibit high morphological variability and frequent superimposition of buccal and lingual cortical plates, rendering bone-line contrast inherently ambiguous. These characteristics have precluded the development of a validated, high-performance segmentation system for crestal bone lines on IOPAs.</w:t>
      </w:r>
    </w:p>
    <w:p>
      <w:pPr>
        <w:spacing w:before="0" w:after="120" w:line="480" w:lineRule="exact"/>
        <w:ind w:firstLine="720"/>
        <w:jc w:val="both"/>
      </w:pPr>
      <w:r>
        <w:rPr>
          <w:rFonts w:ascii="Times New Roman" w:hAnsi="Times New Roman"/>
          <w:b w:val="0"/>
          <w:i w:val="0"/>
          <w:sz w:val="24"/>
        </w:rPr>
        <w:t>A further persistent limitation of existing dental AI systems is the absence of reliable uncertainty quantification. Deep neural networks are overconfident by default, generating high-confidence predictions even on ambiguous or out-of-distribution inputs — a property that renders uncalibrated systems clinically hazardous when prediction errors are not flagged for human review. Bayesian approximation via MC Dropout enables tractable predictive uncertainty estimation without architectural modification and has been validated across multiple medical imaging domains;</w:t>
      </w:r>
      <w:r>
        <w:rPr>
          <w:rFonts w:ascii="Times New Roman" w:hAnsi="Times New Roman"/>
          <w:b w:val="0"/>
          <w:i w:val="0"/>
          <w:sz w:val="20"/>
          <w:vertAlign w:val="superscript"/>
        </w:rPr>
        <w:t>8</w:t>
      </w:r>
      <w:r>
        <w:rPr>
          <w:rFonts w:ascii="Times New Roman" w:hAnsi="Times New Roman"/>
          <w:b w:val="0"/>
          <w:i w:val="0"/>
          <w:sz w:val="24"/>
        </w:rPr>
        <w:t xml:space="preserve"> however, its systematic application to periodontal radiograph analysis has not been previously reported.</w:t>
      </w:r>
    </w:p>
    <w:p>
      <w:pPr>
        <w:spacing w:before="0" w:after="120" w:line="480" w:lineRule="exact"/>
        <w:ind w:firstLine="720"/>
        <w:jc w:val="both"/>
      </w:pPr>
      <w:r>
        <w:rPr>
          <w:rFonts w:ascii="Times New Roman" w:hAnsi="Times New Roman"/>
          <w:b w:val="0"/>
          <w:i w:val="0"/>
          <w:sz w:val="24"/>
        </w:rPr>
        <w:t>Against this background, we introduce OpenGeoTrust-PerioSAM, a geometry-aware multi-task deep learning framework that addresses each of these limitations simultaneously. Our contributions are: (i) simultaneous pixel-level segmentation of tooth outlines and crestal bone lines through a shared ResNet-34 encoder and task-specific decoder heads, with joint training demonstrated to reduce the generalisation gap by 80.7% relative to single-task training; (ii) CEJ and root-apex landmark detection via Gaussian heatmap regression, providing the geometric reference points required to compute bone-loss percentage directly from model outputs; (iii) a Tversky-Focal composite loss with target-space rasterisation specifically designed for sparse, thin-line bone segmentation; and (iv) MC Dropout-based predictive entropy (T=20) demonstrated to be well-calibrated (ECE=0.094) and significantly correlated with segmentation error (ρ=0.591, p&lt;0.0001), enabling reliable case-level clinical triage. Evaluated on the DenPAR benchmark dataset of 1,000 annotated IOPA radiographs,</w:t>
      </w:r>
      <w:r>
        <w:rPr>
          <w:rFonts w:ascii="Times New Roman" w:hAnsi="Times New Roman"/>
          <w:b w:val="0"/>
          <w:i w:val="0"/>
          <w:sz w:val="20"/>
          <w:vertAlign w:val="superscript"/>
        </w:rPr>
        <w:t>9</w:t>
      </w:r>
      <w:r>
        <w:rPr>
          <w:rFonts w:ascii="Times New Roman" w:hAnsi="Times New Roman"/>
          <w:b w:val="0"/>
          <w:i w:val="0"/>
          <w:sz w:val="24"/>
        </w:rPr>
        <w:t xml:space="preserve"> OpenGeoTrust-PerioSAM establishes new performance standards for this class of task and provides a clinically interpretable, trustworthy alternative to manual radiographic bone level measurement.</w:t>
      </w:r>
    </w:p>
    <w:p>
      <w:pPr>
        <w:spacing w:before="240" w:after="120" w:line="480" w:lineRule="exact"/>
        <w:jc w:val="left"/>
      </w:pPr>
      <w:r>
        <w:rPr>
          <w:rFonts w:ascii="Times New Roman" w:hAnsi="Times New Roman"/>
          <w:b/>
          <w:i w:val="0"/>
          <w:sz w:val="24"/>
        </w:rPr>
        <w:t>METHODS</w:t>
      </w:r>
    </w:p>
    <w:p>
      <w:pPr>
        <w:spacing w:before="240" w:after="120" w:line="480" w:lineRule="exact"/>
        <w:jc w:val="left"/>
      </w:pPr>
      <w:r>
        <w:rPr>
          <w:rFonts w:ascii="Times New Roman" w:hAnsi="Times New Roman"/>
          <w:b/>
          <w:i w:val="0"/>
          <w:sz w:val="24"/>
        </w:rPr>
        <w:t>Study Design and Data Source</w:t>
      </w:r>
    </w:p>
    <w:p>
      <w:pPr>
        <w:spacing w:before="0" w:after="120" w:line="480" w:lineRule="exact"/>
        <w:ind w:firstLine="720"/>
        <w:jc w:val="both"/>
      </w:pPr>
      <w:r>
        <w:rPr>
          <w:rFonts w:ascii="Times New Roman" w:hAnsi="Times New Roman"/>
          <w:b w:val="0"/>
          <w:i w:val="0"/>
          <w:sz w:val="24"/>
        </w:rPr>
        <w:t>This study used the DenPAR dataset (Zenodo record 16645076),</w:t>
      </w:r>
      <w:r>
        <w:rPr>
          <w:rFonts w:ascii="Times New Roman" w:hAnsi="Times New Roman"/>
          <w:b w:val="0"/>
          <w:i w:val="0"/>
          <w:sz w:val="20"/>
          <w:vertAlign w:val="superscript"/>
        </w:rPr>
        <w:t>9</w:t>
      </w:r>
      <w:r>
        <w:rPr>
          <w:rFonts w:ascii="Times New Roman" w:hAnsi="Times New Roman"/>
          <w:b w:val="0"/>
          <w:i w:val="0"/>
          <w:sz w:val="24"/>
        </w:rPr>
        <w:t xml:space="preserve"> a publicly available benchmark comprising 1,000 intraoral periapical radiographs acquired across multiple clinical centres. Ground-truth annotations include per-image binary tooth masks, crestal bone-level polyline annotations, and CEJ/root-apex landmark coordinates. Images were partitioned into training (n=650), validation (n=150), and test (n=200) subsets using the original dataset split without modification. No patient re-identification was attempted; the study was conducted entirely using de-identified secondary data under the open dataset licence.</w:t>
      </w:r>
    </w:p>
    <w:p>
      <w:pPr>
        <w:spacing w:before="240" w:after="120" w:line="480" w:lineRule="exact"/>
        <w:jc w:val="left"/>
      </w:pPr>
      <w:r>
        <w:rPr>
          <w:rFonts w:ascii="Times New Roman" w:hAnsi="Times New Roman"/>
          <w:b/>
          <w:i w:val="0"/>
          <w:sz w:val="24"/>
        </w:rPr>
        <w:t>Radiographic Preprocessing</w:t>
      </w:r>
    </w:p>
    <w:p>
      <w:pPr>
        <w:spacing w:before="0" w:after="120" w:line="480" w:lineRule="exact"/>
        <w:ind w:firstLine="720"/>
        <w:jc w:val="both"/>
      </w:pPr>
      <w:r>
        <w:rPr>
          <w:rFonts w:ascii="Times New Roman" w:hAnsi="Times New Roman"/>
          <w:b w:val="0"/>
          <w:i w:val="0"/>
          <w:sz w:val="24"/>
        </w:rPr>
        <w:t>All images were resized to 512×512 pixels (bilinear interpolation) and normalised to [0, 1] per-image. Bone-level polyline annotations were rasterised at the target resolution of 512×512 pixels with a fixed line width of 7 pixels — a critical design choice: naive rasterisation at original resolution followed by downsampling yields a mean positive-pixel fraction of 0.08% (SD 0.03%), whereas target-space rasterisation at 7 pixels achieves 0.60% (SD 0.20%), a 7.5-fold increase enabling stable gradient propagation (Figure 1). CEJ and root-apex coordinates were converted to 2-channel Gaussian heatmaps (σ=8 pixels). Full preprocessing details are provided in Supplementary Methods.</w:t>
      </w:r>
    </w:p>
    <w:p>
      <w:pPr>
        <w:spacing w:before="240" w:after="120" w:line="480" w:lineRule="exact"/>
        <w:jc w:val="left"/>
      </w:pPr>
      <w:r>
        <w:rPr>
          <w:rFonts w:ascii="Times New Roman" w:hAnsi="Times New Roman"/>
          <w:b/>
          <w:i w:val="0"/>
          <w:sz w:val="24"/>
        </w:rPr>
        <w:t>Model Architecture</w:t>
      </w:r>
    </w:p>
    <w:p>
      <w:pPr>
        <w:spacing w:before="0" w:after="120" w:line="480" w:lineRule="exact"/>
        <w:ind w:firstLine="720"/>
        <w:jc w:val="both"/>
      </w:pPr>
      <w:r>
        <w:rPr>
          <w:rFonts w:ascii="Times New Roman" w:hAnsi="Times New Roman"/>
          <w:b w:val="0"/>
          <w:i w:val="0"/>
          <w:sz w:val="24"/>
        </w:rPr>
        <w:t>OpenGeoTrust-PerioSAM employs a U-Net encoder-decoder architecture</w:t>
      </w:r>
      <w:r>
        <w:rPr>
          <w:rFonts w:ascii="Times New Roman" w:hAnsi="Times New Roman"/>
          <w:b w:val="0"/>
          <w:i w:val="0"/>
          <w:sz w:val="20"/>
          <w:vertAlign w:val="superscript"/>
        </w:rPr>
        <w:t>10</w:t>
      </w:r>
      <w:r>
        <w:rPr>
          <w:rFonts w:ascii="Times New Roman" w:hAnsi="Times New Roman"/>
          <w:b w:val="0"/>
          <w:i w:val="0"/>
          <w:sz w:val="24"/>
        </w:rPr>
        <w:t xml:space="preserve"> with a ResNet-34 backbone</w:t>
      </w:r>
      <w:r>
        <w:rPr>
          <w:rFonts w:ascii="Times New Roman" w:hAnsi="Times New Roman"/>
          <w:b w:val="0"/>
          <w:i w:val="0"/>
          <w:sz w:val="20"/>
          <w:vertAlign w:val="superscript"/>
        </w:rPr>
        <w:t>11</w:t>
      </w:r>
      <w:r>
        <w:rPr>
          <w:rFonts w:ascii="Times New Roman" w:hAnsi="Times New Roman"/>
          <w:b w:val="0"/>
          <w:i w:val="0"/>
          <w:sz w:val="24"/>
        </w:rPr>
        <w:t xml:space="preserve"> pretrained on ImageNet, adapted for single-channel grayscale input. Three task-specific decoder heads (Figure 1) branch from the shared encoder: (i) a tooth segmentation head producing a two-class (tooth/background) probability map; (ii) a crestal bone-line segmentation head producing a two-class (bone/background) map; and (iii) a keypoint heatmap head producing two-channel CEJ/apex Gaussian heatmaps with soft-argmax landmark extraction. Each head applies transposed convolution upsampling with encoder skip connections. MC Dropout (p=0.30) is applied after each decoder block;</w:t>
      </w:r>
      <w:r>
        <w:rPr>
          <w:rFonts w:ascii="Times New Roman" w:hAnsi="Times New Roman"/>
          <w:b w:val="0"/>
          <w:i w:val="0"/>
          <w:sz w:val="20"/>
          <w:vertAlign w:val="superscript"/>
        </w:rPr>
        <w:t>8,12</w:t>
      </w:r>
      <w:r>
        <w:rPr>
          <w:rFonts w:ascii="Times New Roman" w:hAnsi="Times New Roman"/>
          <w:b w:val="0"/>
          <w:i w:val="0"/>
          <w:sz w:val="24"/>
        </w:rPr>
        <w:t xml:space="preserve"> at inference, T=20 stochastic forward passes generate a spatial predictive entropy map. A post-hoc geometry module computes bone-loss percentage as (CEJ-to-crestal-bone distance) ÷ (CEJ-to-apex distance) × 100, directly aligned with the 2018 staging criteria.</w:t>
      </w:r>
      <w:r>
        <w:rPr>
          <w:rFonts w:ascii="Times New Roman" w:hAnsi="Times New Roman"/>
          <w:b w:val="0"/>
          <w:i w:val="0"/>
          <w:sz w:val="20"/>
          <w:vertAlign w:val="superscript"/>
        </w:rPr>
        <w:t>2,3</w:t>
      </w:r>
      <w:r>
        <w:rPr>
          <w:rFonts w:ascii="Times New Roman" w:hAnsi="Times New Roman"/>
          <w:b w:val="0"/>
          <w:i w:val="0"/>
          <w:sz w:val="24"/>
        </w:rPr>
        <w:t xml:space="preserve"> The model contains approximately 25 million trainable parameters. Full architectural specifications are provided in Supplementary Methods.</w:t>
      </w:r>
    </w:p>
    <w:p>
      <w:pPr>
        <w:spacing w:before="240" w:after="120" w:line="480" w:lineRule="exact"/>
        <w:jc w:val="left"/>
      </w:pPr>
      <w:r>
        <w:rPr>
          <w:rFonts w:ascii="Times New Roman" w:hAnsi="Times New Roman"/>
          <w:b/>
          <w:i w:val="0"/>
          <w:sz w:val="24"/>
        </w:rPr>
        <w:t>Loss Function</w:t>
      </w:r>
    </w:p>
    <w:p>
      <w:pPr>
        <w:spacing w:before="0" w:after="120" w:line="480" w:lineRule="exact"/>
        <w:ind w:firstLine="720"/>
        <w:jc w:val="both"/>
      </w:pPr>
      <w:r>
        <w:rPr>
          <w:rFonts w:ascii="Times New Roman" w:hAnsi="Times New Roman"/>
          <w:b w:val="0"/>
          <w:i w:val="0"/>
          <w:sz w:val="24"/>
        </w:rPr>
        <w:t>The composite multi-task loss was: L</w:t>
      </w:r>
      <w:r>
        <w:rPr>
          <w:rFonts w:ascii="Times New Roman" w:hAnsi="Times New Roman"/>
          <w:b w:val="0"/>
          <w:i w:val="0"/>
          <w:sz w:val="24"/>
        </w:rPr>
        <w:t>total</w:t>
      </w:r>
      <w:r>
        <w:rPr>
          <w:rFonts w:ascii="Times New Roman" w:hAnsi="Times New Roman"/>
          <w:b w:val="0"/>
          <w:i w:val="0"/>
          <w:sz w:val="24"/>
        </w:rPr>
        <w:t xml:space="preserve"> = 1.0·L</w:t>
      </w:r>
      <w:r>
        <w:rPr>
          <w:rFonts w:ascii="Times New Roman" w:hAnsi="Times New Roman"/>
          <w:b w:val="0"/>
          <w:i w:val="0"/>
          <w:sz w:val="24"/>
        </w:rPr>
        <w:t>tooth</w:t>
      </w:r>
      <w:r>
        <w:rPr>
          <w:rFonts w:ascii="Times New Roman" w:hAnsi="Times New Roman"/>
          <w:b w:val="0"/>
          <w:i w:val="0"/>
          <w:sz w:val="24"/>
        </w:rPr>
        <w:t xml:space="preserve"> + 2.0·L</w:t>
      </w:r>
      <w:r>
        <w:rPr>
          <w:rFonts w:ascii="Times New Roman" w:hAnsi="Times New Roman"/>
          <w:b w:val="0"/>
          <w:i w:val="0"/>
          <w:sz w:val="24"/>
        </w:rPr>
        <w:t>bone</w:t>
      </w:r>
      <w:r>
        <w:rPr>
          <w:rFonts w:ascii="Times New Roman" w:hAnsi="Times New Roman"/>
          <w:b w:val="0"/>
          <w:i w:val="0"/>
          <w:sz w:val="24"/>
        </w:rPr>
        <w:t xml:space="preserve"> + 0.5·L</w:t>
      </w:r>
      <w:r>
        <w:rPr>
          <w:rFonts w:ascii="Times New Roman" w:hAnsi="Times New Roman"/>
          <w:b w:val="0"/>
          <w:i w:val="0"/>
          <w:sz w:val="24"/>
        </w:rPr>
        <w:t>kp</w:t>
      </w:r>
      <w:r>
        <w:rPr>
          <w:rFonts w:ascii="Times New Roman" w:hAnsi="Times New Roman"/>
          <w:b w:val="0"/>
          <w:i w:val="0"/>
          <w:sz w:val="24"/>
        </w:rPr>
        <w:t xml:space="preserve"> + 0.1·L</w:t>
      </w:r>
      <w:r>
        <w:rPr>
          <w:rFonts w:ascii="Times New Roman" w:hAnsi="Times New Roman"/>
          <w:b w:val="0"/>
          <w:i w:val="0"/>
          <w:sz w:val="24"/>
        </w:rPr>
        <w:t>geo</w:t>
      </w:r>
      <w:r>
        <w:rPr>
          <w:rFonts w:ascii="Times New Roman" w:hAnsi="Times New Roman"/>
          <w:b w:val="0"/>
          <w:i w:val="0"/>
          <w:sz w:val="24"/>
        </w:rPr>
        <w:t>. L</w:t>
      </w:r>
      <w:r>
        <w:rPr>
          <w:rFonts w:ascii="Times New Roman" w:hAnsi="Times New Roman"/>
          <w:b w:val="0"/>
          <w:i w:val="0"/>
          <w:sz w:val="24"/>
        </w:rPr>
        <w:t>tooth</w:t>
      </w:r>
      <w:r>
        <w:rPr>
          <w:rFonts w:ascii="Times New Roman" w:hAnsi="Times New Roman"/>
          <w:b w:val="0"/>
          <w:i w:val="0"/>
          <w:sz w:val="24"/>
        </w:rPr>
        <w:t xml:space="preserve"> combined cross-entropy and Dice loss. L</w:t>
      </w:r>
      <w:r>
        <w:rPr>
          <w:rFonts w:ascii="Times New Roman" w:hAnsi="Times New Roman"/>
          <w:b w:val="0"/>
          <w:i w:val="0"/>
          <w:sz w:val="24"/>
        </w:rPr>
        <w:t>bone</w:t>
      </w:r>
      <w:r>
        <w:rPr>
          <w:rFonts w:ascii="Times New Roman" w:hAnsi="Times New Roman"/>
          <w:b w:val="0"/>
          <w:i w:val="0"/>
          <w:sz w:val="24"/>
        </w:rPr>
        <w:t xml:space="preserve"> employed a Tversky-Focal composite (0.6·L</w:t>
      </w:r>
      <w:r>
        <w:rPr>
          <w:rFonts w:ascii="Times New Roman" w:hAnsi="Times New Roman"/>
          <w:b w:val="0"/>
          <w:i w:val="0"/>
          <w:sz w:val="24"/>
        </w:rPr>
        <w:t>Tversky</w:t>
      </w:r>
      <w:r>
        <w:rPr>
          <w:rFonts w:ascii="Times New Roman" w:hAnsi="Times New Roman"/>
          <w:b w:val="0"/>
          <w:i w:val="0"/>
          <w:sz w:val="24"/>
        </w:rPr>
        <w:t>[α=0.3, β=0.7] + 0.4·L</w:t>
      </w:r>
      <w:r>
        <w:rPr>
          <w:rFonts w:ascii="Times New Roman" w:hAnsi="Times New Roman"/>
          <w:b w:val="0"/>
          <w:i w:val="0"/>
          <w:sz w:val="24"/>
        </w:rPr>
        <w:t>Focal</w:t>
      </w:r>
      <w:r>
        <w:rPr>
          <w:rFonts w:ascii="Times New Roman" w:hAnsi="Times New Roman"/>
          <w:b w:val="0"/>
          <w:i w:val="0"/>
          <w:sz w:val="24"/>
        </w:rPr>
        <w:t>[γ=2.0, α</w:t>
      </w:r>
      <w:r>
        <w:rPr>
          <w:rFonts w:ascii="Times New Roman" w:hAnsi="Times New Roman"/>
          <w:b w:val="0"/>
          <w:i w:val="0"/>
          <w:sz w:val="24"/>
        </w:rPr>
        <w:t>f</w:t>
      </w:r>
      <w:r>
        <w:rPr>
          <w:rFonts w:ascii="Times New Roman" w:hAnsi="Times New Roman"/>
          <w:b w:val="0"/>
          <w:i w:val="0"/>
          <w:sz w:val="24"/>
        </w:rPr>
        <w:t>=0.75]),</w:t>
      </w:r>
      <w:r>
        <w:rPr>
          <w:rFonts w:ascii="Times New Roman" w:hAnsi="Times New Roman"/>
          <w:b w:val="0"/>
          <w:i w:val="0"/>
          <w:sz w:val="20"/>
          <w:vertAlign w:val="superscript"/>
        </w:rPr>
        <w:t>13,14</w:t>
      </w:r>
      <w:r>
        <w:rPr>
          <w:rFonts w:ascii="Times New Roman" w:hAnsi="Times New Roman"/>
          <w:b w:val="0"/>
          <w:i w:val="0"/>
          <w:sz w:val="24"/>
        </w:rPr>
        <w:t xml:space="preserve"> setting β&gt;α to penalise false-negative bone predictions more heavily than false positives — appropriate for thin, sparse structures where missed detection carries greater clinical consequence than minor over-prediction. Task weight w</w:t>
      </w:r>
      <w:r>
        <w:rPr>
          <w:rFonts w:ascii="Times New Roman" w:hAnsi="Times New Roman"/>
          <w:b w:val="0"/>
          <w:i w:val="0"/>
          <w:sz w:val="24"/>
        </w:rPr>
        <w:t>bone</w:t>
      </w:r>
      <w:r>
        <w:rPr>
          <w:rFonts w:ascii="Times New Roman" w:hAnsi="Times New Roman"/>
          <w:b w:val="0"/>
          <w:i w:val="0"/>
          <w:sz w:val="24"/>
        </w:rPr>
        <w:t>=2.0 was identified as optimal by ablation (Supplementary Figure A7). L</w:t>
      </w:r>
      <w:r>
        <w:rPr>
          <w:rFonts w:ascii="Times New Roman" w:hAnsi="Times New Roman"/>
          <w:b w:val="0"/>
          <w:i w:val="0"/>
          <w:sz w:val="24"/>
        </w:rPr>
        <w:t>kp</w:t>
      </w:r>
      <w:r>
        <w:rPr>
          <w:rFonts w:ascii="Times New Roman" w:hAnsi="Times New Roman"/>
          <w:b w:val="0"/>
          <w:i w:val="0"/>
          <w:sz w:val="24"/>
        </w:rPr>
        <w:t xml:space="preserve"> was MSE over heatmap values; L</w:t>
      </w:r>
      <w:r>
        <w:rPr>
          <w:rFonts w:ascii="Times New Roman" w:hAnsi="Times New Roman"/>
          <w:b w:val="0"/>
          <w:i w:val="0"/>
          <w:sz w:val="24"/>
        </w:rPr>
        <w:t>geo</w:t>
      </w:r>
      <w:r>
        <w:rPr>
          <w:rFonts w:ascii="Times New Roman" w:hAnsi="Times New Roman"/>
          <w:b w:val="0"/>
          <w:i w:val="0"/>
          <w:sz w:val="24"/>
        </w:rPr>
        <w:t xml:space="preserve"> penalised bone-line predictions overlapping with tooth-mask predictions.</w:t>
      </w:r>
    </w:p>
    <w:p>
      <w:pPr>
        <w:spacing w:before="240" w:after="120" w:line="480" w:lineRule="exact"/>
        <w:jc w:val="left"/>
      </w:pPr>
      <w:r>
        <w:rPr>
          <w:rFonts w:ascii="Times New Roman" w:hAnsi="Times New Roman"/>
          <w:b/>
          <w:i w:val="0"/>
          <w:sz w:val="24"/>
        </w:rPr>
        <w:t>Training Protocol</w:t>
      </w:r>
    </w:p>
    <w:p>
      <w:pPr>
        <w:spacing w:before="0" w:after="120" w:line="480" w:lineRule="exact"/>
        <w:ind w:firstLine="720"/>
        <w:jc w:val="both"/>
      </w:pPr>
      <w:r>
        <w:rPr>
          <w:rFonts w:ascii="Times New Roman" w:hAnsi="Times New Roman"/>
          <w:b w:val="0"/>
          <w:i w:val="0"/>
          <w:sz w:val="24"/>
        </w:rPr>
        <w:t>All models were trained with AdamW</w:t>
      </w:r>
      <w:r>
        <w:rPr>
          <w:rFonts w:ascii="Times New Roman" w:hAnsi="Times New Roman"/>
          <w:b w:val="0"/>
          <w:i w:val="0"/>
          <w:sz w:val="20"/>
          <w:vertAlign w:val="superscript"/>
        </w:rPr>
        <w:t>15</w:t>
      </w:r>
      <w:r>
        <w:rPr>
          <w:rFonts w:ascii="Times New Roman" w:hAnsi="Times New Roman"/>
          <w:b w:val="0"/>
          <w:i w:val="0"/>
          <w:sz w:val="24"/>
        </w:rPr>
        <w:t xml:space="preserve"> (initial learning rate 1×10⁻⁴, weight decay 1×10⁻⁴) for up to 150 epochs on an NVIDIA A10G GPU (24 GB) via Modal cloud infrastructure. ReduceLROnPlateau (factor=0.5, patience=10, mode=max) monitored validation bone-line Dice. Early stopping applied with patience=30 and a minimum 30-epoch floor. The best checkpoint was defined by peak validation bone-line Dice. The final multi-task model trained for 39 epochs (~26 GPU-minutes), with the best checkpoint at epoch 24.</w:t>
      </w:r>
    </w:p>
    <w:p>
      <w:pPr>
        <w:spacing w:before="240" w:after="120" w:line="480" w:lineRule="exact"/>
        <w:jc w:val="left"/>
      </w:pPr>
      <w:r>
        <w:rPr>
          <w:rFonts w:ascii="Times New Roman" w:hAnsi="Times New Roman"/>
          <w:b/>
          <w:i w:val="0"/>
          <w:sz w:val="24"/>
        </w:rPr>
        <w:t>Evaluation Metrics</w:t>
      </w:r>
    </w:p>
    <w:p>
      <w:pPr>
        <w:spacing w:before="0" w:after="120" w:line="480" w:lineRule="exact"/>
        <w:ind w:firstLine="720"/>
        <w:jc w:val="both"/>
      </w:pPr>
      <w:r>
        <w:rPr>
          <w:rFonts w:ascii="Times New Roman" w:hAnsi="Times New Roman"/>
          <w:b w:val="0"/>
          <w:i w:val="0"/>
          <w:sz w:val="24"/>
        </w:rPr>
        <w:t>Segmentation: Dice Similarity Coefficient (DSC), Intersection over Union (IoU), precision, recall, 95th-percentile Hausdorff distance (HD95), mean surface distance (MSD). Landmark detection: mean radial error (MRE), normalised mean error (NME), Percentage of Correct Keypoints at 2, 4, 8-pixel tolerances (PCK@2px, PCK@4px, PCK@8px). Calibration: Expected Calibration Error (ECE; 15 bins) and Brier Score. Uncertainty-error association: Spearman rank correlation. Bootstrap 95% confidence intervals (B=2,000 resamples with replacement) computed for all primary metrics. To assess generalisation stability beyond the single fixed split, 5-fold cross-validation was performed across all 1,000 DenPAR images: images were pooled and randomly permuted (seed=42), divided into five 200-image folds, and the model was retrained from random initialisation for each fold using identical hyperparameters. Fold-level metrics and mean ± SD are reported in Supplementary Results SR-9 and Supplementary Figures A8–A9. Statistical analyses used Python 3.10 (SciPy 1.11); α=0.05 significance threshold.</w:t>
      </w:r>
    </w:p>
    <w:p>
      <w:pPr>
        <w:spacing w:before="240" w:after="120" w:line="480" w:lineRule="exact"/>
        <w:jc w:val="left"/>
      </w:pPr>
      <w:r>
        <w:rPr>
          <w:rFonts w:ascii="Times New Roman" w:hAnsi="Times New Roman"/>
          <w:b/>
          <w:i w:val="0"/>
          <w:sz w:val="24"/>
        </w:rPr>
        <w:t>RESULTS</w:t>
      </w:r>
    </w:p>
    <w:p>
      <w:pPr>
        <w:spacing w:before="240" w:after="120" w:line="480" w:lineRule="exact"/>
        <w:jc w:val="left"/>
      </w:pPr>
      <w:r>
        <w:rPr>
          <w:rFonts w:ascii="Times New Roman" w:hAnsi="Times New Roman"/>
          <w:b/>
          <w:i w:val="0"/>
          <w:sz w:val="24"/>
        </w:rPr>
        <w:t>Training Dynamics</w:t>
      </w:r>
    </w:p>
    <w:p>
      <w:pPr>
        <w:spacing w:before="0" w:after="120" w:line="480" w:lineRule="exact"/>
        <w:ind w:firstLine="720"/>
        <w:jc w:val="both"/>
      </w:pPr>
      <w:r>
        <w:rPr>
          <w:rFonts w:ascii="Times New Roman" w:hAnsi="Times New Roman"/>
          <w:b w:val="0"/>
          <w:i w:val="0"/>
          <w:sz w:val="24"/>
        </w:rPr>
        <w:t>The multi-task model converged over 39 epochs (best checkpoint: epoch 24, val_bone_dice=0.578; Figure 5). Tooth segmentation Dice stabilised above 0.946 from epoch 10 onward. Bone-line Dice rose gradually with oscillation in epochs 3–20 (rolling SD &gt;0.05) before stabilising at 0.54–0.58 from epoch 20 onward. Training and validation losses decreased monotonically without divergence. Loss component analysis (Supplementary Figure A2) showed the bone loss term contributing 50–79% of total training signal through mid-training, consistent with the intended emphasis of w_bone=2.0.</w:t>
      </w:r>
    </w:p>
    <w:p>
      <w:pPr>
        <w:spacing w:before="240" w:after="120" w:line="480" w:lineRule="exact"/>
        <w:jc w:val="left"/>
      </w:pPr>
      <w:r>
        <w:rPr>
          <w:rFonts w:ascii="Times New Roman" w:hAnsi="Times New Roman"/>
          <w:b/>
          <w:i w:val="0"/>
          <w:sz w:val="24"/>
        </w:rPr>
        <w:t>Segmentation Performance</w:t>
      </w:r>
    </w:p>
    <w:p>
      <w:pPr>
        <w:spacing w:before="0" w:after="120" w:line="480" w:lineRule="exact"/>
        <w:ind w:firstLine="720"/>
        <w:jc w:val="both"/>
      </w:pPr>
      <w:r>
        <w:rPr>
          <w:rFonts w:ascii="Times New Roman" w:hAnsi="Times New Roman"/>
          <w:b w:val="0"/>
          <w:i w:val="0"/>
          <w:sz w:val="24"/>
        </w:rPr>
        <w:t>On the held-out test set (n=200; Table 1), tooth segmentation achieved DSC 0.957 (95% CI: 0.948–0.958), IoU 0.919, precision 0.964, recall 0.952, HD95 6.05 px, and MSD 0.73 px — indicating near-complete overlap with ground-truth outlines at sub-pixel mean surface deviation.</w:t>
      </w:r>
    </w:p>
    <w:p>
      <w:pPr>
        <w:spacing w:before="0" w:after="120" w:line="480" w:lineRule="exact"/>
        <w:ind w:firstLine="720"/>
        <w:jc w:val="both"/>
      </w:pPr>
      <w:r>
        <w:rPr>
          <w:rFonts w:ascii="Times New Roman" w:hAnsi="Times New Roman"/>
          <w:b w:val="0"/>
          <w:i w:val="0"/>
          <w:sz w:val="24"/>
        </w:rPr>
        <w:t>Crestal bone-line segmentation achieved DSC 0.544 (95% CI: 0.543–0.595), IoU 0.394, precision 0.560, and recall 0.557. Near-symmetric precision and recall confirm that the model does not systematically over- or under-predict bone-line extent, a property attributable to the balanced Tversky parameterisation (α=0.3, β=0.7). HD95 was 73.12 px, reflecting the challenge of thin, discontinuous crestal structures where small localisation errors generate large Hausdorff values. Representative predictions for three test cases are shown in Figure 3.</w:t>
      </w:r>
    </w:p>
    <w:p>
      <w:pPr>
        <w:spacing w:before="240" w:after="120" w:line="480" w:lineRule="exact"/>
        <w:jc w:val="left"/>
      </w:pPr>
      <w:r>
        <w:rPr>
          <w:rFonts w:ascii="Times New Roman" w:hAnsi="Times New Roman"/>
          <w:b/>
          <w:i w:val="0"/>
          <w:sz w:val="24"/>
        </w:rPr>
        <w:t>Keypoint Detection</w:t>
      </w:r>
    </w:p>
    <w:p>
      <w:pPr>
        <w:spacing w:before="0" w:after="120" w:line="480" w:lineRule="exact"/>
        <w:ind w:firstLine="720"/>
        <w:jc w:val="both"/>
      </w:pPr>
      <w:r>
        <w:rPr>
          <w:rFonts w:ascii="Times New Roman" w:hAnsi="Times New Roman"/>
          <w:b w:val="0"/>
          <w:i w:val="0"/>
          <w:sz w:val="24"/>
        </w:rPr>
        <w:t>CEJ and root-apex landmark detection achieved MRE 1.049 px (NME 0.0014), PCK@2px 0.948, and PCK@4px/PCK@8px both 1.000 (Table 1; Figure 4B). At the typical spatial resolution of an IOPA radiograph (~5.5 lp/mm), an MRE of 1.05 px corresponds to approximately 0.09–0.13 mm in physical space — well within the precision of clinical periodontal measurement modalities. Virtually all predicted CEJ and apex landmarks (100.0%) fell within a 4-pixel neighbourhood of the ground truth.</w:t>
      </w:r>
    </w:p>
    <w:p>
      <w:pPr>
        <w:spacing w:before="240" w:after="120" w:line="480" w:lineRule="exact"/>
        <w:jc w:val="left"/>
      </w:pPr>
      <w:r>
        <w:rPr>
          <w:rFonts w:ascii="Times New Roman" w:hAnsi="Times New Roman"/>
          <w:b/>
          <w:i w:val="0"/>
          <w:sz w:val="24"/>
        </w:rPr>
        <w:t>Uncertainty Calibration</w:t>
      </w:r>
    </w:p>
    <w:p>
      <w:pPr>
        <w:spacing w:before="0" w:after="120" w:line="480" w:lineRule="exact"/>
        <w:ind w:firstLine="720"/>
        <w:jc w:val="both"/>
      </w:pPr>
      <w:r>
        <w:rPr>
          <w:rFonts w:ascii="Times New Roman" w:hAnsi="Times New Roman"/>
          <w:b w:val="0"/>
          <w:i w:val="0"/>
          <w:sz w:val="24"/>
        </w:rPr>
        <w:t>MC Dropout inference (T=20) yielded ECE 0.094 (95% CI: 0.090–0.095), below the 0.10 threshold for well-calibrated models,</w:t>
      </w:r>
      <w:r>
        <w:rPr>
          <w:rFonts w:ascii="Times New Roman" w:hAnsi="Times New Roman"/>
          <w:b w:val="0"/>
          <w:i w:val="0"/>
          <w:sz w:val="20"/>
          <w:vertAlign w:val="superscript"/>
        </w:rPr>
        <w:t>16</w:t>
      </w:r>
      <w:r>
        <w:rPr>
          <w:rFonts w:ascii="Times New Roman" w:hAnsi="Times New Roman"/>
          <w:b w:val="0"/>
          <w:i w:val="0"/>
          <w:sz w:val="24"/>
        </w:rPr>
        <w:t xml:space="preserve"> and Brier Score 0.009. Predictive entropy correlated significantly with segmentation error (Spearman ρ=0.591, p&lt;0.0001; Figure 6; Figure 4C), confirming that the model's uncertainty estimates are predictive of its failure modes. Spatial uncertainty maps (Figure 3, column F) show high-entropy regions concentrated at structure boundaries and regions of radiographic ambiguity — precisely where human observers also express diagnostic uncertainty.</w:t>
      </w:r>
    </w:p>
    <w:p>
      <w:pPr>
        <w:spacing w:before="240" w:after="120" w:line="480" w:lineRule="exact"/>
        <w:jc w:val="left"/>
      </w:pPr>
      <w:r>
        <w:rPr>
          <w:rFonts w:ascii="Times New Roman" w:hAnsi="Times New Roman"/>
          <w:b/>
          <w:i w:val="0"/>
          <w:sz w:val="24"/>
        </w:rPr>
        <w:t>Ablation Study</w:t>
      </w:r>
    </w:p>
    <w:p>
      <w:pPr>
        <w:spacing w:before="0" w:after="120" w:line="480" w:lineRule="exact"/>
        <w:ind w:firstLine="720"/>
        <w:jc w:val="both"/>
      </w:pPr>
      <w:r>
        <w:rPr>
          <w:rFonts w:ascii="Times New Roman" w:hAnsi="Times New Roman"/>
          <w:b w:val="0"/>
          <w:i w:val="0"/>
          <w:sz w:val="24"/>
        </w:rPr>
        <w:t>Three configurations were evaluated (Supplementary Table A1; Supplementary Figure A1). Configuration A (baseline: 3-pixel rasterisation, Dice-Focal loss, single-task) achieved validation bone DSC 0.350 with near-zero test DSC due to systematic false-negative collapse. Configuration B (single-task: 7-pixel rasterisation, Tversky-Focal) raised validation DSC to 0.597 (+70.6% over baseline) but produced a large generalisation gap (val 0.597 − test 0.421 = 0.176), indicating overfitting without multi-task regularisation. Configuration C (full multi-task: Tversky-Focal, bone_w=2.0) achieved test DSC 0.544 — a +29.2% improvement over Config B — and reduced the generalisation gap to 0.034, an 80.7% reduction (Supplementary Figure A4).</w:t>
      </w:r>
    </w:p>
    <w:p>
      <w:pPr>
        <w:spacing w:before="240" w:after="120" w:line="480" w:lineRule="exact"/>
        <w:jc w:val="left"/>
      </w:pPr>
      <w:r>
        <w:rPr>
          <w:rFonts w:ascii="Times New Roman" w:hAnsi="Times New Roman"/>
          <w:b/>
          <w:i w:val="0"/>
          <w:sz w:val="24"/>
        </w:rPr>
        <w:t>Sensitivity Analyses</w:t>
      </w:r>
    </w:p>
    <w:p>
      <w:pPr>
        <w:spacing w:before="0" w:after="120" w:line="480" w:lineRule="exact"/>
        <w:ind w:firstLine="720"/>
        <w:jc w:val="both"/>
      </w:pPr>
      <w:r>
        <w:rPr>
          <w:rFonts w:ascii="Times New Roman" w:hAnsi="Times New Roman"/>
          <w:b w:val="0"/>
          <w:i w:val="0"/>
          <w:sz w:val="24"/>
        </w:rPr>
        <w:t>Decision threshold sensitivity (Supplementary Figure A3) confirmed τ=0.5 is near-optimal for both tasks (tooth DSC &gt;0.90 for τ∈[0.35, 0.70]; bone DSC peak at τ∈[0.45, 0.55]). Bone loss weight sensitivity showed a concave response curve with optimum at w_bone=2.0; bone-line mask thickness showed monotonic gain from 3 to 7 pixels with diminishing returns beyond 7 pixels (Supplementary Figure A7). Full sensitivity results are in Supplementary Results.</w:t>
      </w:r>
    </w:p>
    <w:p>
      <w:pPr>
        <w:spacing w:before="240" w:after="120" w:line="480" w:lineRule="exact"/>
        <w:jc w:val="left"/>
      </w:pPr>
      <w:r>
        <w:rPr>
          <w:rFonts w:ascii="Times New Roman" w:hAnsi="Times New Roman"/>
          <w:b/>
          <w:i w:val="0"/>
          <w:sz w:val="24"/>
        </w:rPr>
        <w:t>DISCUSSION</w:t>
      </w:r>
    </w:p>
    <w:p>
      <w:pPr>
        <w:spacing w:before="240" w:after="120" w:line="480" w:lineRule="exact"/>
        <w:jc w:val="left"/>
      </w:pPr>
      <w:r>
        <w:rPr>
          <w:rFonts w:ascii="Times New Roman" w:hAnsi="Times New Roman"/>
          <w:b/>
          <w:i w:val="0"/>
          <w:sz w:val="24"/>
        </w:rPr>
        <w:t>Comparison with Existing Approaches</w:t>
      </w:r>
    </w:p>
    <w:p>
      <w:pPr>
        <w:spacing w:before="0" w:after="120" w:line="480" w:lineRule="exact"/>
        <w:ind w:firstLine="720"/>
        <w:jc w:val="both"/>
      </w:pPr>
      <w:r>
        <w:rPr>
          <w:rFonts w:ascii="Times New Roman" w:hAnsi="Times New Roman"/>
          <w:b w:val="0"/>
          <w:i w:val="0"/>
          <w:sz w:val="24"/>
        </w:rPr>
        <w:t>This study presents the first validated multi-task framework for simultaneous pixel-level crestal bone-line and tooth segmentation, CEJ/apex landmark detection, and calibrated uncertainty estimation from IOPA radiographs, evaluated on a 1,000-image public benchmark.</w:t>
      </w:r>
    </w:p>
    <w:p>
      <w:pPr>
        <w:spacing w:before="0" w:after="120" w:line="480" w:lineRule="exact"/>
        <w:ind w:firstLine="720"/>
        <w:jc w:val="both"/>
      </w:pPr>
      <w:r>
        <w:rPr>
          <w:rFonts w:ascii="Times New Roman" w:hAnsi="Times New Roman"/>
          <w:b w:val="0"/>
          <w:i w:val="0"/>
          <w:sz w:val="24"/>
        </w:rPr>
        <w:t>Prior periodontal AI has been dominated by classification paradigms on panoramic radiographs. Krois et al.</w:t>
      </w:r>
      <w:r>
        <w:rPr>
          <w:rFonts w:ascii="Times New Roman" w:hAnsi="Times New Roman"/>
          <w:b w:val="0"/>
          <w:i w:val="0"/>
          <w:sz w:val="20"/>
          <w:vertAlign w:val="superscript"/>
        </w:rPr>
        <w:t>6</w:t>
      </w:r>
      <w:r>
        <w:rPr>
          <w:rFonts w:ascii="Times New Roman" w:hAnsi="Times New Roman"/>
          <w:b w:val="0"/>
          <w:i w:val="0"/>
          <w:sz w:val="24"/>
        </w:rPr>
        <w:t xml:space="preserve"> achieved accuracy 0.81 for radiographic bone loss detection — an important proof-of-concept for automated screening, but returning a binary label rather than a spatial measurement. Chang et al.</w:t>
      </w:r>
      <w:r>
        <w:rPr>
          <w:rFonts w:ascii="Times New Roman" w:hAnsi="Times New Roman"/>
          <w:b w:val="0"/>
          <w:i w:val="0"/>
          <w:sz w:val="20"/>
          <w:vertAlign w:val="superscript"/>
        </w:rPr>
        <w:t>7</w:t>
      </w:r>
      <w:r>
        <w:rPr>
          <w:rFonts w:ascii="Times New Roman" w:hAnsi="Times New Roman"/>
          <w:b w:val="0"/>
          <w:i w:val="0"/>
          <w:sz w:val="24"/>
        </w:rPr>
        <w:t xml:space="preserve"> advanced this to automatic staging with ICC 0.91 using a hybrid framework on panoramic radiographs. Neither study provided pixel-level bone margin localisation, per-tooth geometric measurements, or uncertainty estimates — capabilities required for integration into the clinical recording workflow. Critically, both studies used panoramic radiographs, which offer inferior spatial resolution and greater geometric distortion compared with IOPAs, the format most commonly acquired for bone level assessment in clinical periodontology. The scoping review by Schwendicke et al.</w:t>
      </w:r>
      <w:r>
        <w:rPr>
          <w:rFonts w:ascii="Times New Roman" w:hAnsi="Times New Roman"/>
          <w:b w:val="0"/>
          <w:i w:val="0"/>
          <w:sz w:val="20"/>
          <w:vertAlign w:val="superscript"/>
        </w:rPr>
        <w:t>4</w:t>
      </w:r>
      <w:r>
        <w:rPr>
          <w:rFonts w:ascii="Times New Roman" w:hAnsi="Times New Roman"/>
          <w:b w:val="0"/>
          <w:i w:val="0"/>
          <w:sz w:val="24"/>
        </w:rPr>
        <w:t xml:space="preserve"> confirmed that periapical radiograph segmentation, particularly of crestal bone structures, remains one of the least studied and most technically challenging tasks in dental AI.</w:t>
      </w:r>
    </w:p>
    <w:p>
      <w:pPr>
        <w:spacing w:before="0" w:after="120" w:line="480" w:lineRule="exact"/>
        <w:ind w:firstLine="720"/>
        <w:jc w:val="both"/>
      </w:pPr>
      <w:r>
        <w:rPr>
          <w:rFonts w:ascii="Times New Roman" w:hAnsi="Times New Roman"/>
          <w:b w:val="0"/>
          <w:i w:val="0"/>
          <w:sz w:val="24"/>
        </w:rPr>
        <w:t>Our crestal bone-line DSC of 0.544 represents, to our knowledge, the first systematic pixel-level crestal bone segmentation result on IOPAs in the peer-reviewed literature. Tooth segmentation DSC of 0.957 — achieved within a multi-task framework — is competitive with or exceeds the 0.88–0.94 range reported across dental CNN segmentation tasks in Schwendicke et al.</w:t>
      </w:r>
      <w:r>
        <w:rPr>
          <w:rFonts w:ascii="Times New Roman" w:hAnsi="Times New Roman"/>
          <w:b w:val="0"/>
          <w:i w:val="0"/>
          <w:sz w:val="20"/>
          <w:vertAlign w:val="superscript"/>
        </w:rPr>
        <w:t>4</w:t>
      </w:r>
      <w:r>
        <w:rPr>
          <w:rFonts w:ascii="Times New Roman" w:hAnsi="Times New Roman"/>
          <w:b w:val="0"/>
          <w:i w:val="0"/>
          <w:sz w:val="24"/>
        </w:rPr>
        <w:t xml:space="preserve"> The MedSAM foundation model,</w:t>
      </w:r>
      <w:r>
        <w:rPr>
          <w:rFonts w:ascii="Times New Roman" w:hAnsi="Times New Roman"/>
          <w:b w:val="0"/>
          <w:i w:val="0"/>
          <w:sz w:val="20"/>
          <w:vertAlign w:val="superscript"/>
        </w:rPr>
        <w:t>17</w:t>
      </w:r>
      <w:r>
        <w:rPr>
          <w:rFonts w:ascii="Times New Roman" w:hAnsi="Times New Roman"/>
          <w:b w:val="0"/>
          <w:i w:val="0"/>
          <w:sz w:val="24"/>
        </w:rPr>
        <w:t xml:space="preserve"> trained on &gt;1.5 million image-mask pairs, demonstrated that foundation-model pre-training outperforms modality-specific specialist models across 86 medical imaging tasks. Replacing the ResNet-34 backbone with a MedSAM ViT encoder represents a clear future direction for improving bone-line recall, particularly in severe attachment loss where the crestal margin is radiographically indistinct.</w:t>
      </w:r>
    </w:p>
    <w:p>
      <w:pPr>
        <w:spacing w:before="240" w:after="120" w:line="480" w:lineRule="exact"/>
        <w:jc w:val="left"/>
      </w:pPr>
      <w:r>
        <w:rPr>
          <w:rFonts w:ascii="Times New Roman" w:hAnsi="Times New Roman"/>
          <w:b/>
          <w:i w:val="0"/>
          <w:sz w:val="24"/>
        </w:rPr>
        <w:t>Clinical Significance</w:t>
      </w:r>
    </w:p>
    <w:p>
      <w:pPr>
        <w:spacing w:before="0" w:after="120" w:line="480" w:lineRule="exact"/>
        <w:ind w:firstLine="720"/>
        <w:jc w:val="both"/>
      </w:pPr>
      <w:r>
        <w:rPr>
          <w:rFonts w:ascii="Times New Roman" w:hAnsi="Times New Roman"/>
          <w:b w:val="0"/>
          <w:i w:val="0"/>
          <w:sz w:val="24"/>
        </w:rPr>
        <w:t>The clinical implications extend across patient care, practice workflow, and population-level surveillance. The 2018 staging framework requires radiographic bone loss as a millimetre value or root-length percentage.</w:t>
      </w:r>
      <w:r>
        <w:rPr>
          <w:rFonts w:ascii="Times New Roman" w:hAnsi="Times New Roman"/>
          <w:b w:val="0"/>
          <w:i w:val="0"/>
          <w:sz w:val="20"/>
          <w:vertAlign w:val="superscript"/>
        </w:rPr>
        <w:t>2,3</w:t>
      </w:r>
      <w:r>
        <w:rPr>
          <w:rFonts w:ascii="Times New Roman" w:hAnsi="Times New Roman"/>
          <w:b w:val="0"/>
          <w:i w:val="0"/>
          <w:sz w:val="24"/>
        </w:rPr>
        <w:t xml:space="preserve"> OpenGeoTrust-PerioSAM's geometry module derives this ratio directly from predicted CEJ/apex coordinates and the bone-line segmentation, providing a clinician-ready bone-loss estimate without manual measurement. Given keypoint MRE of 1.05 px (~0.10 mm) and bone-line segmentation uncertainty of ~2–3 px at the margin, the system's output uncertainty is broadly comparable to published inter-operator variability in manual radiographic bone level measurement, positioning it as a realistic clinical adjunct.</w:t>
      </w:r>
    </w:p>
    <w:p>
      <w:pPr>
        <w:spacing w:before="0" w:after="120" w:line="480" w:lineRule="exact"/>
        <w:ind w:firstLine="720"/>
        <w:jc w:val="both"/>
      </w:pPr>
      <w:r>
        <w:rPr>
          <w:rFonts w:ascii="Times New Roman" w:hAnsi="Times New Roman"/>
          <w:b w:val="0"/>
          <w:i w:val="0"/>
          <w:sz w:val="24"/>
        </w:rPr>
        <w:t>The calibrated uncertainty output enables a human-in-the-loop governance model in which high-entropy cases are automatically routed for clinician review while lower-entropy cases proceed to automated reporting. The significant uncertainty-error correlation (ρ=0.591, p&lt;0.0001) confirms this routing is operationally rational. The 80.7% reduction in generalisation gap from multi-task training has broader methodological implications: it establishes that auxiliary tasks providing shared anatomical context can be as important as the primary loss function for cross-distribution robustness when targeting sparse anatomical structures.</w:t>
      </w:r>
    </w:p>
    <w:p>
      <w:pPr>
        <w:spacing w:before="240" w:after="120" w:line="480" w:lineRule="exact"/>
        <w:jc w:val="left"/>
      </w:pPr>
      <w:r>
        <w:rPr>
          <w:rFonts w:ascii="Times New Roman" w:hAnsi="Times New Roman"/>
          <w:b/>
          <w:i w:val="0"/>
          <w:sz w:val="24"/>
        </w:rPr>
        <w:t>Limitations</w:t>
      </w:r>
    </w:p>
    <w:p>
      <w:pPr>
        <w:spacing w:before="0" w:after="120" w:line="480" w:lineRule="exact"/>
        <w:ind w:firstLine="720"/>
        <w:jc w:val="both"/>
      </w:pPr>
      <w:r>
        <w:rPr>
          <w:rFonts w:ascii="Times New Roman" w:hAnsi="Times New Roman"/>
          <w:b w:val="0"/>
          <w:i w:val="0"/>
          <w:sz w:val="24"/>
        </w:rPr>
        <w:t>First, the DenPAR dataset comprises 1,000 radiographs from a single release; multi-centre prospective validation across heterogeneous imaging equipment is required. Second, single-annotator consensus ground truth may constitute a ceiling on achievable DSC independent of model capacity. Third, the geometry module is sensitive to apex localisation, which may be obscured in severe apical pathology. Fourth, MC Dropout provides an approximation to full Bayesian inference; ensemble methods may improve calibration further. Fifth, this evaluation used static two-dimensional IOPAs; longitudinal bone-level change monitoring requires dedicated prospective study design.</w:t>
      </w:r>
    </w:p>
    <w:p>
      <w:pPr>
        <w:spacing w:before="240" w:after="120" w:line="480" w:lineRule="exact"/>
        <w:jc w:val="left"/>
      </w:pPr>
      <w:r>
        <w:rPr>
          <w:rFonts w:ascii="Times New Roman" w:hAnsi="Times New Roman"/>
          <w:b/>
          <w:i w:val="0"/>
          <w:sz w:val="24"/>
        </w:rPr>
        <w:t>CONCLUSION</w:t>
      </w:r>
    </w:p>
    <w:p>
      <w:pPr>
        <w:spacing w:before="0" w:after="120" w:line="480" w:lineRule="exact"/>
        <w:ind w:firstLine="720"/>
        <w:jc w:val="both"/>
      </w:pPr>
      <w:r>
        <w:rPr>
          <w:rFonts w:ascii="Times New Roman" w:hAnsi="Times New Roman"/>
          <w:b w:val="0"/>
          <w:i w:val="0"/>
          <w:sz w:val="24"/>
        </w:rPr>
        <w:t>OpenGeoTrust-PerioSAM demonstrates that simultaneous pixel-level crestal bone-line and tooth segmentation, CEJ/apex landmark detection, geometry-aware bone-loss measurement, and calibrated uncertainty quantification are achievable from IOPA radiographs within a single multi-task deep learning framework. The composite Tversky-Focal loss with target-space rasterisation provides a principled solution to thin-structure class imbalance, yielding crestal bone DSC of 0.544. Joint multi-task training reduces the single-task generalisation gap by 80.7%, establishing multi-task regularisation as a critical design principle for sparse anatomical target detection. Calibrated MC Dropout uncertainty (ECE 0.094; Spearman ρ=0.591, p&lt;0.0001) enables clinician-in-the-loop triage consistent with responsible clinical AI deployment. By delivering all measurements required for the 2018 periodontitis staging framework</w:t>
      </w:r>
      <w:r>
        <w:rPr>
          <w:rFonts w:ascii="Times New Roman" w:hAnsi="Times New Roman"/>
          <w:b w:val="0"/>
          <w:i w:val="0"/>
          <w:sz w:val="20"/>
          <w:vertAlign w:val="superscript"/>
        </w:rPr>
        <w:t>2,3</w:t>
      </w:r>
      <w:r>
        <w:rPr>
          <w:rFonts w:ascii="Times New Roman" w:hAnsi="Times New Roman"/>
          <w:b w:val="0"/>
          <w:i w:val="0"/>
          <w:sz w:val="24"/>
        </w:rPr>
        <w:t xml:space="preserve"> from a single forward pass, OpenGeoTrust-PerioSAM offers a clinically actionable, reproducible adjunct to radiographic bone level assessment with direct implications for standardising periodontitis staging, improving longitudinal monitoring, and reducing operator-dependent variability in everyday periodontal practice.</w:t>
      </w:r>
    </w:p>
    <w:p>
      <w:pPr>
        <w:spacing w:before="240" w:after="120" w:line="480" w:lineRule="exact"/>
        <w:jc w:val="left"/>
      </w:pPr>
      <w:r>
        <w:rPr>
          <w:rFonts w:ascii="Times New Roman" w:hAnsi="Times New Roman"/>
          <w:b/>
          <w:i w:val="0"/>
          <w:sz w:val="24"/>
        </w:rPr>
        <w:t>DATA AVAILABILITY</w:t>
      </w:r>
    </w:p>
    <w:p>
      <w:pPr>
        <w:spacing w:before="0" w:after="80" w:line="480" w:lineRule="exact"/>
        <w:jc w:val="both"/>
      </w:pPr>
      <w:r>
        <w:rPr>
          <w:rFonts w:ascii="Times New Roman" w:hAnsi="Times New Roman"/>
          <w:b w:val="0"/>
          <w:i w:val="0"/>
          <w:sz w:val="24"/>
        </w:rPr>
        <w:t>The DenPAR dataset used in this study is publicly available on Zenodo (DOI: 10.5281/zenodo.16645076; CC-BY 4.0 licence). All model code, training scripts, evaluation pipelines, and publication figures are openly available in the OpenGeoTrust-PerioSAM repository at https://github.com/Pkr2180/opengeotrust-periosam-denpar. Trained model checkpoints are reproducible by running the provided Modal GPU pipeline against the DenPAR dataset; raw checkpoint files are not deposited owing to file-size constraints but will be shared upon reasonable request to the corresponding author.</w:t>
      </w:r>
    </w:p>
    <w:p>
      <w:pPr>
        <w:spacing w:before="240" w:after="120" w:line="480" w:lineRule="exact"/>
        <w:jc w:val="left"/>
      </w:pPr>
      <w:r>
        <w:rPr>
          <w:rFonts w:ascii="Times New Roman" w:hAnsi="Times New Roman"/>
          <w:b/>
          <w:i w:val="0"/>
          <w:sz w:val="24"/>
        </w:rPr>
        <w:t>CONFLICT OF INTEREST</w:t>
      </w:r>
    </w:p>
    <w:p>
      <w:pPr>
        <w:spacing w:before="0" w:after="80" w:line="480" w:lineRule="exact"/>
        <w:jc w:val="both"/>
      </w:pPr>
      <w:r>
        <w:rPr>
          <w:rFonts w:ascii="Times New Roman" w:hAnsi="Times New Roman"/>
          <w:b w:val="0"/>
          <w:i w:val="0"/>
          <w:sz w:val="24"/>
        </w:rPr>
        <w:t>The authors declare no conflicts of interest relevant to this study.</w:t>
      </w:r>
    </w:p>
    <w:p>
      <w:pPr>
        <w:spacing w:before="240" w:after="120" w:line="480" w:lineRule="exact"/>
        <w:jc w:val="left"/>
      </w:pPr>
      <w:r>
        <w:rPr>
          <w:rFonts w:ascii="Times New Roman" w:hAnsi="Times New Roman"/>
          <w:b/>
          <w:i w:val="0"/>
          <w:sz w:val="24"/>
        </w:rPr>
        <w:t>REFERENCES</w:t>
      </w:r>
    </w:p>
    <w:p>
      <w:pPr>
        <w:spacing w:after="80" w:line="480" w:lineRule="exact"/>
        <w:ind w:left="432" w:hanging="432"/>
        <w:jc w:val="both"/>
      </w:pPr>
      <w:r>
        <w:rPr>
          <w:rFonts w:ascii="Times New Roman" w:hAnsi="Times New Roman"/>
          <w:b/>
          <w:i w:val="0"/>
          <w:sz w:val="24"/>
        </w:rPr>
        <w:t xml:space="preserve">1. </w:t>
      </w:r>
      <w:r>
        <w:rPr>
          <w:rFonts w:ascii="Times New Roman" w:hAnsi="Times New Roman"/>
          <w:b w:val="0"/>
          <w:i w:val="0"/>
          <w:sz w:val="24"/>
        </w:rPr>
        <w:t>Kassebaum NJ, Bernabé E, Dahiya M, Bhandari B, Murray CJ, Marcenes W. Global burden of severe periodontitis in 1990–2010: a systematic review and meta-regression. J Dent Res. 2014;93(11):1045–1053. doi: 10.1177/0022034514552491</w:t>
      </w:r>
    </w:p>
    <w:p>
      <w:pPr>
        <w:spacing w:after="80" w:line="480" w:lineRule="exact"/>
        <w:ind w:left="432" w:hanging="432"/>
        <w:jc w:val="both"/>
      </w:pPr>
      <w:r>
        <w:rPr>
          <w:rFonts w:ascii="Times New Roman" w:hAnsi="Times New Roman"/>
          <w:b/>
          <w:i w:val="0"/>
          <w:sz w:val="24"/>
        </w:rPr>
        <w:t xml:space="preserve">2. </w:t>
      </w:r>
      <w:r>
        <w:rPr>
          <w:rFonts w:ascii="Times New Roman" w:hAnsi="Times New Roman"/>
          <w:b w:val="0"/>
          <w:i w:val="0"/>
          <w:sz w:val="24"/>
        </w:rPr>
        <w:t>Papapanou PN, Sanz M, Buduneli N, Dietrich T, Feres M, Fine DH, et al. Periodontitis: Consensus report of workgroup 2 of the 2017 World Workshop on the Classification of Periodontal and Peri-Implant Diseases and Conditions. J Periodontol. 2018;89(Suppl 1):S173–S182. doi: 10.1002/JPER.17-0721</w:t>
      </w:r>
    </w:p>
    <w:p>
      <w:pPr>
        <w:spacing w:after="80" w:line="480" w:lineRule="exact"/>
        <w:ind w:left="432" w:hanging="432"/>
        <w:jc w:val="both"/>
      </w:pPr>
      <w:r>
        <w:rPr>
          <w:rFonts w:ascii="Times New Roman" w:hAnsi="Times New Roman"/>
          <w:b/>
          <w:i w:val="0"/>
          <w:sz w:val="24"/>
        </w:rPr>
        <w:t xml:space="preserve">3. </w:t>
      </w:r>
      <w:r>
        <w:rPr>
          <w:rFonts w:ascii="Times New Roman" w:hAnsi="Times New Roman"/>
          <w:b w:val="0"/>
          <w:i w:val="0"/>
          <w:sz w:val="24"/>
        </w:rPr>
        <w:t>Tonetti MS, Greenwell H, Kornman KS. Staging and grading of periodontitis: Framework and proposal of a new classification and case definition. J Periodontol. 2018;89(Suppl 1):S159–S172. doi: 10.1002/JPER.18-0006</w:t>
      </w:r>
    </w:p>
    <w:p>
      <w:pPr>
        <w:spacing w:after="80" w:line="480" w:lineRule="exact"/>
        <w:ind w:left="432" w:hanging="432"/>
        <w:jc w:val="both"/>
      </w:pPr>
      <w:r>
        <w:rPr>
          <w:rFonts w:ascii="Times New Roman" w:hAnsi="Times New Roman"/>
          <w:b/>
          <w:i w:val="0"/>
          <w:sz w:val="24"/>
        </w:rPr>
        <w:t xml:space="preserve">4. </w:t>
      </w:r>
      <w:r>
        <w:rPr>
          <w:rFonts w:ascii="Times New Roman" w:hAnsi="Times New Roman"/>
          <w:b w:val="0"/>
          <w:i w:val="0"/>
          <w:sz w:val="24"/>
        </w:rPr>
        <w:t>Schwendicke F, Golla T, Dreher M, Krois J. Convolutional neural networks for dental image diagnostics: A scoping review. J Dent. 2019;91:103226. doi: 10.1016/j.jdent.2019.103226</w:t>
      </w:r>
    </w:p>
    <w:p>
      <w:pPr>
        <w:spacing w:after="80" w:line="480" w:lineRule="exact"/>
        <w:ind w:left="432" w:hanging="432"/>
        <w:jc w:val="both"/>
      </w:pPr>
      <w:r>
        <w:rPr>
          <w:rFonts w:ascii="Times New Roman" w:hAnsi="Times New Roman"/>
          <w:b/>
          <w:i w:val="0"/>
          <w:sz w:val="24"/>
        </w:rPr>
        <w:t xml:space="preserve">5. </w:t>
      </w:r>
      <w:r>
        <w:rPr>
          <w:rFonts w:ascii="Times New Roman" w:hAnsi="Times New Roman"/>
          <w:b w:val="0"/>
          <w:i w:val="0"/>
          <w:sz w:val="24"/>
        </w:rPr>
        <w:t>Caton JG, Armitage G, Berglundh T, Chapple ILC, Jepsen S, Kornman KS, et al. A new classification scheme for periodontal and peri-implant diseases and conditions – Introduction and key changes from the 1999 classification. J Clin Periodontol. 2018;45(Suppl 20):S1–S8. doi: 10.1111/jcpe.12935</w:t>
      </w:r>
    </w:p>
    <w:p>
      <w:pPr>
        <w:spacing w:after="80" w:line="480" w:lineRule="exact"/>
        <w:ind w:left="432" w:hanging="432"/>
        <w:jc w:val="both"/>
      </w:pPr>
      <w:r>
        <w:rPr>
          <w:rFonts w:ascii="Times New Roman" w:hAnsi="Times New Roman"/>
          <w:b/>
          <w:i w:val="0"/>
          <w:sz w:val="24"/>
        </w:rPr>
        <w:t xml:space="preserve">6. </w:t>
      </w:r>
      <w:r>
        <w:rPr>
          <w:rFonts w:ascii="Times New Roman" w:hAnsi="Times New Roman"/>
          <w:b w:val="0"/>
          <w:i w:val="0"/>
          <w:sz w:val="24"/>
        </w:rPr>
        <w:t>Krois J, Ekert T, Meinhold L, Golla T, Kharbot B, Wittemeier A, et al. Deep learning for the radiographic detection of periodontal bone loss. Sci Rep. 2019;9(1):8495. doi: 10.1038/s41598-019-44839-3</w:t>
      </w:r>
    </w:p>
    <w:p>
      <w:pPr>
        <w:spacing w:after="80" w:line="480" w:lineRule="exact"/>
        <w:ind w:left="432" w:hanging="432"/>
        <w:jc w:val="both"/>
      </w:pPr>
      <w:r>
        <w:rPr>
          <w:rFonts w:ascii="Times New Roman" w:hAnsi="Times New Roman"/>
          <w:b/>
          <w:i w:val="0"/>
          <w:sz w:val="24"/>
        </w:rPr>
        <w:t xml:space="preserve">7. </w:t>
      </w:r>
      <w:r>
        <w:rPr>
          <w:rFonts w:ascii="Times New Roman" w:hAnsi="Times New Roman"/>
          <w:b w:val="0"/>
          <w:i w:val="0"/>
          <w:sz w:val="24"/>
        </w:rPr>
        <w:t>Chang HJ, Lee SJ, Yong TH, Shin NY, Jang BG, Kim JE, et al. Deep learning hybrid method to automatically diagnose periodontal bone loss and stage periodontitis. Sci Rep. 2020;10(1):7531. doi: 10.1038/s41598-020-64509-z</w:t>
      </w:r>
    </w:p>
    <w:p>
      <w:pPr>
        <w:spacing w:after="80" w:line="480" w:lineRule="exact"/>
        <w:ind w:left="432" w:hanging="432"/>
        <w:jc w:val="both"/>
      </w:pPr>
      <w:r>
        <w:rPr>
          <w:rFonts w:ascii="Times New Roman" w:hAnsi="Times New Roman"/>
          <w:b/>
          <w:i w:val="0"/>
          <w:sz w:val="24"/>
        </w:rPr>
        <w:t xml:space="preserve">8. </w:t>
      </w:r>
      <w:r>
        <w:rPr>
          <w:rFonts w:ascii="Times New Roman" w:hAnsi="Times New Roman"/>
          <w:b w:val="0"/>
          <w:i w:val="0"/>
          <w:sz w:val="24"/>
        </w:rPr>
        <w:t>Gal Y, Ghahramani Z. Dropout as a Bayesian approximation: Representing model uncertainty in deep learning. In: Proceedings of the 33rd International Conference on Machine Learning. PMLR; 2016. Vol 48. p. 1050–1059.</w:t>
      </w:r>
    </w:p>
    <w:p>
      <w:pPr>
        <w:spacing w:after="80" w:line="480" w:lineRule="exact"/>
        <w:ind w:left="432" w:hanging="432"/>
        <w:jc w:val="both"/>
      </w:pPr>
      <w:r>
        <w:rPr>
          <w:rFonts w:ascii="Times New Roman" w:hAnsi="Times New Roman"/>
          <w:b/>
          <w:i w:val="0"/>
          <w:sz w:val="24"/>
        </w:rPr>
        <w:t xml:space="preserve">9. </w:t>
      </w:r>
      <w:r>
        <w:rPr>
          <w:rFonts w:ascii="Times New Roman" w:hAnsi="Times New Roman"/>
          <w:b w:val="0"/>
          <w:i w:val="0"/>
          <w:sz w:val="24"/>
        </w:rPr>
        <w:t>DenPAR Dataset. Periodontal radiograph dataset (DenPAR) [dataset]. Zenodo; 2024. Available from: https://zenodo.org/record/16645076</w:t>
      </w:r>
    </w:p>
    <w:p>
      <w:pPr>
        <w:spacing w:after="80" w:line="480" w:lineRule="exact"/>
        <w:ind w:left="432" w:hanging="432"/>
        <w:jc w:val="both"/>
      </w:pPr>
      <w:r>
        <w:rPr>
          <w:rFonts w:ascii="Times New Roman" w:hAnsi="Times New Roman"/>
          <w:b/>
          <w:i w:val="0"/>
          <w:sz w:val="24"/>
        </w:rPr>
        <w:t xml:space="preserve">10. </w:t>
      </w:r>
      <w:r>
        <w:rPr>
          <w:rFonts w:ascii="Times New Roman" w:hAnsi="Times New Roman"/>
          <w:b w:val="0"/>
          <w:i w:val="0"/>
          <w:sz w:val="24"/>
        </w:rPr>
        <w:t>Ronneberger O, Fischer P, Brox T. U-Net: Convolutional networks for biomedical image segmentation. In: MICCAI 2015. Lecture Notes in Computer Science, vol 9351. Cham: Springer; 2015. p. 234–241.</w:t>
      </w:r>
    </w:p>
    <w:p>
      <w:pPr>
        <w:spacing w:after="80" w:line="480" w:lineRule="exact"/>
        <w:ind w:left="432" w:hanging="432"/>
        <w:jc w:val="both"/>
      </w:pPr>
      <w:r>
        <w:rPr>
          <w:rFonts w:ascii="Times New Roman" w:hAnsi="Times New Roman"/>
          <w:b/>
          <w:i w:val="0"/>
          <w:sz w:val="24"/>
        </w:rPr>
        <w:t xml:space="preserve">11. </w:t>
      </w:r>
      <w:r>
        <w:rPr>
          <w:rFonts w:ascii="Times New Roman" w:hAnsi="Times New Roman"/>
          <w:b w:val="0"/>
          <w:i w:val="0"/>
          <w:sz w:val="24"/>
        </w:rPr>
        <w:t>He K, Zhang X, Ren S, Sun J. Deep residual learning for image recognition. In: Proceedings of CVPR. Las Vegas: IEEE; 2016. p. 770–778.</w:t>
      </w:r>
    </w:p>
    <w:p>
      <w:pPr>
        <w:spacing w:after="80" w:line="480" w:lineRule="exact"/>
        <w:ind w:left="432" w:hanging="432"/>
        <w:jc w:val="both"/>
      </w:pPr>
      <w:r>
        <w:rPr>
          <w:rFonts w:ascii="Times New Roman" w:hAnsi="Times New Roman"/>
          <w:b/>
          <w:i w:val="0"/>
          <w:sz w:val="24"/>
        </w:rPr>
        <w:t xml:space="preserve">12. </w:t>
      </w:r>
      <w:r>
        <w:rPr>
          <w:rFonts w:ascii="Times New Roman" w:hAnsi="Times New Roman"/>
          <w:b w:val="0"/>
          <w:i w:val="0"/>
          <w:sz w:val="24"/>
        </w:rPr>
        <w:t>Srivastava N, Hinton G, Krizhevsky A, Sutskever I, Salakhutdinov R. Dropout: A simple way to prevent neural networks from overfitting. J Mach Learn Res. 2014;15(1):1929–1958.</w:t>
      </w:r>
    </w:p>
    <w:p>
      <w:pPr>
        <w:spacing w:after="80" w:line="480" w:lineRule="exact"/>
        <w:ind w:left="432" w:hanging="432"/>
        <w:jc w:val="both"/>
      </w:pPr>
      <w:r>
        <w:rPr>
          <w:rFonts w:ascii="Times New Roman" w:hAnsi="Times New Roman"/>
          <w:b/>
          <w:i w:val="0"/>
          <w:sz w:val="24"/>
        </w:rPr>
        <w:t xml:space="preserve">13. </w:t>
      </w:r>
      <w:r>
        <w:rPr>
          <w:rFonts w:ascii="Times New Roman" w:hAnsi="Times New Roman"/>
          <w:b w:val="0"/>
          <w:i w:val="0"/>
          <w:sz w:val="24"/>
        </w:rPr>
        <w:t>Lin TY, Goyal P, Girshick R, He K, Dollár P. Focal loss for dense object detection. In: Proceedings of ICCV. Venice: IEEE; 2017. p. 2980–2988.</w:t>
      </w:r>
    </w:p>
    <w:p>
      <w:pPr>
        <w:spacing w:after="80" w:line="480" w:lineRule="exact"/>
        <w:ind w:left="432" w:hanging="432"/>
        <w:jc w:val="both"/>
      </w:pPr>
      <w:r>
        <w:rPr>
          <w:rFonts w:ascii="Times New Roman" w:hAnsi="Times New Roman"/>
          <w:b/>
          <w:i w:val="0"/>
          <w:sz w:val="24"/>
        </w:rPr>
        <w:t xml:space="preserve">14. </w:t>
      </w:r>
      <w:r>
        <w:rPr>
          <w:rFonts w:ascii="Times New Roman" w:hAnsi="Times New Roman"/>
          <w:b w:val="0"/>
          <w:i w:val="0"/>
          <w:sz w:val="24"/>
        </w:rPr>
        <w:t>Abraham N, Khan NM. A novel focal Tversky loss function with improved attention U-Net for lesion segmentation. In: Proceedings of ISBI 2019. Venice: IEEE; 2019. p. 683–687.</w:t>
      </w:r>
    </w:p>
    <w:p>
      <w:pPr>
        <w:spacing w:after="80" w:line="480" w:lineRule="exact"/>
        <w:ind w:left="432" w:hanging="432"/>
        <w:jc w:val="both"/>
      </w:pPr>
      <w:r>
        <w:rPr>
          <w:rFonts w:ascii="Times New Roman" w:hAnsi="Times New Roman"/>
          <w:b/>
          <w:i w:val="0"/>
          <w:sz w:val="24"/>
        </w:rPr>
        <w:t xml:space="preserve">15. </w:t>
      </w:r>
      <w:r>
        <w:rPr>
          <w:rFonts w:ascii="Times New Roman" w:hAnsi="Times New Roman"/>
          <w:b w:val="0"/>
          <w:i w:val="0"/>
          <w:sz w:val="24"/>
        </w:rPr>
        <w:t>Loshchilov I, Hutter F. Decoupled weight decay regularization. In: Proceedings of ICLR. 2019.</w:t>
      </w:r>
    </w:p>
    <w:p>
      <w:pPr>
        <w:spacing w:after="80" w:line="480" w:lineRule="exact"/>
        <w:ind w:left="432" w:hanging="432"/>
        <w:jc w:val="both"/>
      </w:pPr>
      <w:r>
        <w:rPr>
          <w:rFonts w:ascii="Times New Roman" w:hAnsi="Times New Roman"/>
          <w:b/>
          <w:i w:val="0"/>
          <w:sz w:val="24"/>
        </w:rPr>
        <w:t xml:space="preserve">16. </w:t>
      </w:r>
      <w:r>
        <w:rPr>
          <w:rFonts w:ascii="Times New Roman" w:hAnsi="Times New Roman"/>
          <w:b w:val="0"/>
          <w:i w:val="0"/>
          <w:sz w:val="24"/>
        </w:rPr>
        <w:t>Guo C, Pleiss G, Sun Y, Weinberger KQ. On calibration of modern neural networks. In: Proceedings of the 34th International Conference on Machine Learning. PMLR; 2017. Vol 70. p. 1321–1330.</w:t>
      </w:r>
    </w:p>
    <w:p>
      <w:pPr>
        <w:spacing w:after="80" w:line="480" w:lineRule="exact"/>
        <w:ind w:left="432" w:hanging="432"/>
        <w:jc w:val="both"/>
      </w:pPr>
      <w:r>
        <w:rPr>
          <w:rFonts w:ascii="Times New Roman" w:hAnsi="Times New Roman"/>
          <w:b/>
          <w:i w:val="0"/>
          <w:sz w:val="24"/>
        </w:rPr>
        <w:t xml:space="preserve">17. </w:t>
      </w:r>
      <w:r>
        <w:rPr>
          <w:rFonts w:ascii="Times New Roman" w:hAnsi="Times New Roman"/>
          <w:b w:val="0"/>
          <w:i w:val="0"/>
          <w:sz w:val="24"/>
        </w:rPr>
        <w:t>Ma J, He Y, Li F, Han L, You C, Wang B. Segment anything in medical images. Nat Commun. 2024;15(1):654. doi: 10.1038/s41467-024-44824-z</w:t>
      </w:r>
    </w:p>
    <w:p>
      <w:pPr>
        <w:spacing w:after="80" w:line="480" w:lineRule="exact"/>
        <w:ind w:left="432" w:hanging="432"/>
        <w:jc w:val="both"/>
      </w:pPr>
      <w:r>
        <w:rPr>
          <w:rFonts w:ascii="Times New Roman" w:hAnsi="Times New Roman"/>
          <w:b/>
          <w:i w:val="0"/>
          <w:sz w:val="24"/>
        </w:rPr>
        <w:t xml:space="preserve">18. </w:t>
      </w:r>
      <w:r>
        <w:rPr>
          <w:rFonts w:ascii="Times New Roman" w:hAnsi="Times New Roman"/>
          <w:b w:val="0"/>
          <w:i w:val="0"/>
          <w:sz w:val="24"/>
        </w:rPr>
        <w:t>Isensee F, Jaeger PF, Kohl SAA, Petersen J, Maier-Hein KH. nnU-Net: a self-configuring method for deep learning-based biomedical image segmentation. Nat Methods. 2021;18(2):203–211.</w:t>
      </w:r>
    </w:p>
    <w:p>
      <w:pPr>
        <w:spacing w:after="80" w:line="480" w:lineRule="exact"/>
        <w:ind w:left="432" w:hanging="432"/>
        <w:jc w:val="both"/>
      </w:pPr>
      <w:r>
        <w:rPr>
          <w:rFonts w:ascii="Times New Roman" w:hAnsi="Times New Roman"/>
          <w:b/>
          <w:i w:val="0"/>
          <w:sz w:val="24"/>
        </w:rPr>
        <w:t xml:space="preserve">19. </w:t>
      </w:r>
      <w:r>
        <w:rPr>
          <w:rFonts w:ascii="Times New Roman" w:hAnsi="Times New Roman"/>
          <w:b w:val="0"/>
          <w:i w:val="0"/>
          <w:sz w:val="24"/>
        </w:rPr>
        <w:t>Caruana R. Multitask learning. Mach Learn. 1997;28(1):41–75.</w:t>
      </w:r>
    </w:p>
    <w:p>
      <w:pPr>
        <w:spacing w:after="80" w:line="480" w:lineRule="exact"/>
        <w:ind w:left="432" w:hanging="432"/>
        <w:jc w:val="both"/>
      </w:pPr>
      <w:r>
        <w:rPr>
          <w:rFonts w:ascii="Times New Roman" w:hAnsi="Times New Roman"/>
          <w:b/>
          <w:i w:val="0"/>
          <w:sz w:val="24"/>
        </w:rPr>
        <w:t xml:space="preserve">20. </w:t>
      </w:r>
      <w:r>
        <w:rPr>
          <w:rFonts w:ascii="Times New Roman" w:hAnsi="Times New Roman"/>
          <w:b w:val="0"/>
          <w:i w:val="0"/>
          <w:sz w:val="24"/>
        </w:rPr>
        <w:t>Bland JM, Altman DG. Statistical methods for assessing agreement between two methods of clinical measurement. Lancet. 1986;1(8476):307–310.</w:t>
      </w:r>
    </w:p>
    <w:p>
      <w:r>
        <w:br w:type="page"/>
      </w:r>
    </w:p>
    <w:p>
      <w:pPr>
        <w:spacing w:before="0" w:after="160" w:line="480" w:lineRule="exact"/>
        <w:jc w:val="left"/>
      </w:pPr>
      <w:r>
        <w:rPr>
          <w:rFonts w:ascii="Times New Roman" w:hAnsi="Times New Roman"/>
          <w:b/>
          <w:i w:val="0"/>
          <w:sz w:val="24"/>
        </w:rPr>
        <w:t>TABLE 1. Test Set Performance — OpenGeoTrust-PerioSAM (DenPAR, n=200)</w:t>
      </w:r>
    </w:p>
    <w:p>
      <w:pPr>
        <w:spacing w:before="80" w:after="80" w:line="480" w:lineRule="exact"/>
        <w:jc w:val="both"/>
      </w:pPr>
      <w:r>
        <w:rPr>
          <w:rFonts w:ascii="Times New Roman" w:hAnsi="Times New Roman"/>
          <w:b/>
          <w:i w:val="0"/>
          <w:sz w:val="24"/>
        </w:rPr>
        <w:t>A. Segmentation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22"/>
              </w:rPr>
              <w:t>Task</w:t>
            </w:r>
          </w:p>
        </w:tc>
        <w:tc>
          <w:tcPr>
            <w:tcW w:type="dxa" w:w="1337"/>
          </w:tcPr>
          <w:p>
            <w:r>
              <w:rPr>
                <w:rFonts w:ascii="Times New Roman" w:hAnsi="Times New Roman"/>
                <w:b/>
                <w:sz w:val="22"/>
              </w:rPr>
              <w:t>DSC (95% CI)</w:t>
            </w:r>
          </w:p>
        </w:tc>
        <w:tc>
          <w:tcPr>
            <w:tcW w:type="dxa" w:w="1337"/>
          </w:tcPr>
          <w:p>
            <w:r>
              <w:rPr>
                <w:rFonts w:ascii="Times New Roman" w:hAnsi="Times New Roman"/>
                <w:b/>
                <w:sz w:val="22"/>
              </w:rPr>
              <w:t>IoU</w:t>
            </w:r>
          </w:p>
        </w:tc>
        <w:tc>
          <w:tcPr>
            <w:tcW w:type="dxa" w:w="1337"/>
          </w:tcPr>
          <w:p>
            <w:r>
              <w:rPr>
                <w:rFonts w:ascii="Times New Roman" w:hAnsi="Times New Roman"/>
                <w:b/>
                <w:sz w:val="22"/>
              </w:rPr>
              <w:t>Precision</w:t>
            </w:r>
          </w:p>
        </w:tc>
        <w:tc>
          <w:tcPr>
            <w:tcW w:type="dxa" w:w="1337"/>
          </w:tcPr>
          <w:p>
            <w:r>
              <w:rPr>
                <w:rFonts w:ascii="Times New Roman" w:hAnsi="Times New Roman"/>
                <w:b/>
                <w:sz w:val="22"/>
              </w:rPr>
              <w:t>Recall</w:t>
            </w:r>
          </w:p>
        </w:tc>
        <w:tc>
          <w:tcPr>
            <w:tcW w:type="dxa" w:w="1337"/>
          </w:tcPr>
          <w:p>
            <w:r>
              <w:rPr>
                <w:rFonts w:ascii="Times New Roman" w:hAnsi="Times New Roman"/>
                <w:b/>
                <w:sz w:val="22"/>
              </w:rPr>
              <w:t>HD95 (px)</w:t>
            </w:r>
          </w:p>
        </w:tc>
        <w:tc>
          <w:tcPr>
            <w:tcW w:type="dxa" w:w="1337"/>
          </w:tcPr>
          <w:p>
            <w:r>
              <w:rPr>
                <w:rFonts w:ascii="Times New Roman" w:hAnsi="Times New Roman"/>
                <w:b/>
                <w:sz w:val="22"/>
              </w:rPr>
              <w:t>MSD (px)</w:t>
            </w:r>
          </w:p>
        </w:tc>
      </w:tr>
      <w:tr>
        <w:tc>
          <w:tcPr>
            <w:tcW w:type="dxa" w:w="1337"/>
          </w:tcPr>
          <w:p>
            <w:r>
              <w:rPr>
                <w:rFonts w:ascii="Times New Roman" w:hAnsi="Times New Roman"/>
                <w:sz w:val="22"/>
              </w:rPr>
              <w:t>Tooth segmentation</w:t>
            </w:r>
          </w:p>
        </w:tc>
        <w:tc>
          <w:tcPr>
            <w:tcW w:type="dxa" w:w="1337"/>
          </w:tcPr>
          <w:p>
            <w:r>
              <w:rPr>
                <w:rFonts w:ascii="Times New Roman" w:hAnsi="Times New Roman"/>
                <w:sz w:val="22"/>
              </w:rPr>
              <w:t>0.957 (0.948–0.958)</w:t>
            </w:r>
          </w:p>
        </w:tc>
        <w:tc>
          <w:tcPr>
            <w:tcW w:type="dxa" w:w="1337"/>
          </w:tcPr>
          <w:p>
            <w:r>
              <w:rPr>
                <w:rFonts w:ascii="Times New Roman" w:hAnsi="Times New Roman"/>
                <w:sz w:val="22"/>
              </w:rPr>
              <w:t>0.919</w:t>
            </w:r>
          </w:p>
        </w:tc>
        <w:tc>
          <w:tcPr>
            <w:tcW w:type="dxa" w:w="1337"/>
          </w:tcPr>
          <w:p>
            <w:r>
              <w:rPr>
                <w:rFonts w:ascii="Times New Roman" w:hAnsi="Times New Roman"/>
                <w:sz w:val="22"/>
              </w:rPr>
              <w:t>0.964</w:t>
            </w:r>
          </w:p>
        </w:tc>
        <w:tc>
          <w:tcPr>
            <w:tcW w:type="dxa" w:w="1337"/>
          </w:tcPr>
          <w:p>
            <w:r>
              <w:rPr>
                <w:rFonts w:ascii="Times New Roman" w:hAnsi="Times New Roman"/>
                <w:sz w:val="22"/>
              </w:rPr>
              <w:t>0.952</w:t>
            </w:r>
          </w:p>
        </w:tc>
        <w:tc>
          <w:tcPr>
            <w:tcW w:type="dxa" w:w="1337"/>
          </w:tcPr>
          <w:p>
            <w:r>
              <w:rPr>
                <w:rFonts w:ascii="Times New Roman" w:hAnsi="Times New Roman"/>
                <w:sz w:val="22"/>
              </w:rPr>
              <w:t>6.05</w:t>
            </w:r>
          </w:p>
        </w:tc>
        <w:tc>
          <w:tcPr>
            <w:tcW w:type="dxa" w:w="1337"/>
          </w:tcPr>
          <w:p>
            <w:r>
              <w:rPr>
                <w:rFonts w:ascii="Times New Roman" w:hAnsi="Times New Roman"/>
                <w:sz w:val="22"/>
              </w:rPr>
              <w:t>0.73</w:t>
            </w:r>
          </w:p>
        </w:tc>
      </w:tr>
      <w:tr>
        <w:tc>
          <w:tcPr>
            <w:tcW w:type="dxa" w:w="1337"/>
          </w:tcPr>
          <w:p>
            <w:r>
              <w:rPr>
                <w:rFonts w:ascii="Times New Roman" w:hAnsi="Times New Roman"/>
                <w:sz w:val="22"/>
              </w:rPr>
              <w:t>Bone-line segmentation</w:t>
            </w:r>
          </w:p>
        </w:tc>
        <w:tc>
          <w:tcPr>
            <w:tcW w:type="dxa" w:w="1337"/>
          </w:tcPr>
          <w:p>
            <w:r>
              <w:rPr>
                <w:rFonts w:ascii="Times New Roman" w:hAnsi="Times New Roman"/>
                <w:sz w:val="22"/>
              </w:rPr>
              <w:t>0.544 (0.543–0.595)</w:t>
            </w:r>
          </w:p>
        </w:tc>
        <w:tc>
          <w:tcPr>
            <w:tcW w:type="dxa" w:w="1337"/>
          </w:tcPr>
          <w:p>
            <w:r>
              <w:rPr>
                <w:rFonts w:ascii="Times New Roman" w:hAnsi="Times New Roman"/>
                <w:sz w:val="22"/>
              </w:rPr>
              <w:t>0.394</w:t>
            </w:r>
          </w:p>
        </w:tc>
        <w:tc>
          <w:tcPr>
            <w:tcW w:type="dxa" w:w="1337"/>
          </w:tcPr>
          <w:p>
            <w:r>
              <w:rPr>
                <w:rFonts w:ascii="Times New Roman" w:hAnsi="Times New Roman"/>
                <w:sz w:val="22"/>
              </w:rPr>
              <w:t>0.560</w:t>
            </w:r>
          </w:p>
        </w:tc>
        <w:tc>
          <w:tcPr>
            <w:tcW w:type="dxa" w:w="1337"/>
          </w:tcPr>
          <w:p>
            <w:r>
              <w:rPr>
                <w:rFonts w:ascii="Times New Roman" w:hAnsi="Times New Roman"/>
                <w:sz w:val="22"/>
              </w:rPr>
              <w:t>0.557</w:t>
            </w:r>
          </w:p>
        </w:tc>
        <w:tc>
          <w:tcPr>
            <w:tcW w:type="dxa" w:w="1337"/>
          </w:tcPr>
          <w:p>
            <w:r>
              <w:rPr>
                <w:rFonts w:ascii="Times New Roman" w:hAnsi="Times New Roman"/>
                <w:sz w:val="22"/>
              </w:rPr>
              <w:t>73.12</w:t>
            </w:r>
          </w:p>
        </w:tc>
        <w:tc>
          <w:tcPr>
            <w:tcW w:type="dxa" w:w="1337"/>
          </w:tcPr>
          <w:p>
            <w:r>
              <w:rPr>
                <w:rFonts w:ascii="Times New Roman" w:hAnsi="Times New Roman"/>
                <w:sz w:val="22"/>
              </w:rPr>
              <w:t>12.45</w:t>
            </w:r>
          </w:p>
        </w:tc>
      </w:tr>
    </w:tbl>
    <w:p>
      <w:pPr>
        <w:spacing w:before="200" w:after="80" w:line="480" w:lineRule="exact"/>
        <w:jc w:val="both"/>
      </w:pPr>
      <w:r>
        <w:rPr>
          <w:rFonts w:ascii="Times New Roman" w:hAnsi="Times New Roman"/>
          <w:b/>
          <w:i w:val="0"/>
          <w:sz w:val="24"/>
        </w:rPr>
        <w:t>B. Landmark detection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2"/>
              </w:rPr>
              <w:t>Task</w:t>
            </w:r>
          </w:p>
        </w:tc>
        <w:tc>
          <w:tcPr>
            <w:tcW w:type="dxa" w:w="1560"/>
          </w:tcPr>
          <w:p>
            <w:r>
              <w:rPr>
                <w:rFonts w:ascii="Times New Roman" w:hAnsi="Times New Roman"/>
                <w:b/>
                <w:sz w:val="22"/>
              </w:rPr>
              <w:t>MRE (px)</w:t>
            </w:r>
          </w:p>
        </w:tc>
        <w:tc>
          <w:tcPr>
            <w:tcW w:type="dxa" w:w="1560"/>
          </w:tcPr>
          <w:p>
            <w:r>
              <w:rPr>
                <w:rFonts w:ascii="Times New Roman" w:hAnsi="Times New Roman"/>
                <w:b/>
                <w:sz w:val="22"/>
              </w:rPr>
              <w:t>NME</w:t>
            </w:r>
          </w:p>
        </w:tc>
        <w:tc>
          <w:tcPr>
            <w:tcW w:type="dxa" w:w="1560"/>
          </w:tcPr>
          <w:p>
            <w:r>
              <w:rPr>
                <w:rFonts w:ascii="Times New Roman" w:hAnsi="Times New Roman"/>
                <w:b/>
                <w:sz w:val="22"/>
              </w:rPr>
              <w:t>PCK@2px</w:t>
            </w:r>
          </w:p>
        </w:tc>
        <w:tc>
          <w:tcPr>
            <w:tcW w:type="dxa" w:w="1560"/>
          </w:tcPr>
          <w:p>
            <w:r>
              <w:rPr>
                <w:rFonts w:ascii="Times New Roman" w:hAnsi="Times New Roman"/>
                <w:b/>
                <w:sz w:val="22"/>
              </w:rPr>
              <w:t>PCK@4px</w:t>
            </w:r>
          </w:p>
        </w:tc>
        <w:tc>
          <w:tcPr>
            <w:tcW w:type="dxa" w:w="1560"/>
          </w:tcPr>
          <w:p>
            <w:r>
              <w:rPr>
                <w:rFonts w:ascii="Times New Roman" w:hAnsi="Times New Roman"/>
                <w:b/>
                <w:sz w:val="22"/>
              </w:rPr>
              <w:t>PCK@8px</w:t>
            </w:r>
          </w:p>
        </w:tc>
      </w:tr>
      <w:tr>
        <w:tc>
          <w:tcPr>
            <w:tcW w:type="dxa" w:w="1560"/>
          </w:tcPr>
          <w:p>
            <w:r>
              <w:rPr>
                <w:rFonts w:ascii="Times New Roman" w:hAnsi="Times New Roman"/>
                <w:sz w:val="22"/>
              </w:rPr>
              <w:t>CEJ + root-apex</w:t>
            </w:r>
          </w:p>
        </w:tc>
        <w:tc>
          <w:tcPr>
            <w:tcW w:type="dxa" w:w="1560"/>
          </w:tcPr>
          <w:p>
            <w:r>
              <w:rPr>
                <w:rFonts w:ascii="Times New Roman" w:hAnsi="Times New Roman"/>
                <w:sz w:val="22"/>
              </w:rPr>
              <w:t>1.049</w:t>
            </w:r>
          </w:p>
        </w:tc>
        <w:tc>
          <w:tcPr>
            <w:tcW w:type="dxa" w:w="1560"/>
          </w:tcPr>
          <w:p>
            <w:r>
              <w:rPr>
                <w:rFonts w:ascii="Times New Roman" w:hAnsi="Times New Roman"/>
                <w:sz w:val="22"/>
              </w:rPr>
              <w:t>0.0014</w:t>
            </w:r>
          </w:p>
        </w:tc>
        <w:tc>
          <w:tcPr>
            <w:tcW w:type="dxa" w:w="1560"/>
          </w:tcPr>
          <w:p>
            <w:r>
              <w:rPr>
                <w:rFonts w:ascii="Times New Roman" w:hAnsi="Times New Roman"/>
                <w:sz w:val="22"/>
              </w:rPr>
              <w:t>0.948</w:t>
            </w:r>
          </w:p>
        </w:tc>
        <w:tc>
          <w:tcPr>
            <w:tcW w:type="dxa" w:w="1560"/>
          </w:tcPr>
          <w:p>
            <w:r>
              <w:rPr>
                <w:rFonts w:ascii="Times New Roman" w:hAnsi="Times New Roman"/>
                <w:sz w:val="22"/>
              </w:rPr>
              <w:t>1.000</w:t>
            </w:r>
          </w:p>
        </w:tc>
        <w:tc>
          <w:tcPr>
            <w:tcW w:type="dxa" w:w="1560"/>
          </w:tcPr>
          <w:p>
            <w:r>
              <w:rPr>
                <w:rFonts w:ascii="Times New Roman" w:hAnsi="Times New Roman"/>
                <w:sz w:val="22"/>
              </w:rPr>
              <w:t>1.000</w:t>
            </w:r>
          </w:p>
        </w:tc>
      </w:tr>
    </w:tbl>
    <w:p>
      <w:pPr>
        <w:spacing w:before="200" w:after="80" w:line="480" w:lineRule="exact"/>
        <w:jc w:val="both"/>
      </w:pPr>
      <w:r>
        <w:rPr>
          <w:rFonts w:ascii="Times New Roman" w:hAnsi="Times New Roman"/>
          <w:b/>
          <w:i w:val="0"/>
          <w:sz w:val="24"/>
        </w:rPr>
        <w:t>C. Uncertainty calibration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Task</w:t>
            </w:r>
          </w:p>
        </w:tc>
        <w:tc>
          <w:tcPr>
            <w:tcW w:type="dxa" w:w="2340"/>
          </w:tcPr>
          <w:p>
            <w:r>
              <w:rPr>
                <w:rFonts w:ascii="Times New Roman" w:hAnsi="Times New Roman"/>
                <w:b/>
                <w:sz w:val="22"/>
              </w:rPr>
              <w:t>ECE</w:t>
            </w:r>
          </w:p>
        </w:tc>
        <w:tc>
          <w:tcPr>
            <w:tcW w:type="dxa" w:w="2340"/>
          </w:tcPr>
          <w:p>
            <w:r>
              <w:rPr>
                <w:rFonts w:ascii="Times New Roman" w:hAnsi="Times New Roman"/>
                <w:b/>
                <w:sz w:val="22"/>
              </w:rPr>
              <w:t>Brier Score</w:t>
            </w:r>
          </w:p>
        </w:tc>
        <w:tc>
          <w:tcPr>
            <w:tcW w:type="dxa" w:w="2340"/>
          </w:tcPr>
          <w:p>
            <w:r>
              <w:rPr>
                <w:rFonts w:ascii="Times New Roman" w:hAnsi="Times New Roman"/>
                <w:b/>
                <w:sz w:val="22"/>
              </w:rPr>
              <w:t>Spearman ρ (p-value)</w:t>
            </w:r>
          </w:p>
        </w:tc>
      </w:tr>
      <w:tr>
        <w:tc>
          <w:tcPr>
            <w:tcW w:type="dxa" w:w="2340"/>
          </w:tcPr>
          <w:p>
            <w:r>
              <w:rPr>
                <w:rFonts w:ascii="Times New Roman" w:hAnsi="Times New Roman"/>
                <w:sz w:val="22"/>
              </w:rPr>
              <w:t>MC Dropout (T=20)</w:t>
            </w:r>
          </w:p>
        </w:tc>
        <w:tc>
          <w:tcPr>
            <w:tcW w:type="dxa" w:w="2340"/>
          </w:tcPr>
          <w:p>
            <w:r>
              <w:rPr>
                <w:rFonts w:ascii="Times New Roman" w:hAnsi="Times New Roman"/>
                <w:sz w:val="22"/>
              </w:rPr>
              <w:t>0.094 (0.090–0.095)</w:t>
            </w:r>
          </w:p>
        </w:tc>
        <w:tc>
          <w:tcPr>
            <w:tcW w:type="dxa" w:w="2340"/>
          </w:tcPr>
          <w:p>
            <w:r>
              <w:rPr>
                <w:rFonts w:ascii="Times New Roman" w:hAnsi="Times New Roman"/>
                <w:sz w:val="22"/>
              </w:rPr>
              <w:t>0.009 (0.008–0.010)</w:t>
            </w:r>
          </w:p>
        </w:tc>
        <w:tc>
          <w:tcPr>
            <w:tcW w:type="dxa" w:w="2340"/>
          </w:tcPr>
          <w:p>
            <w:r>
              <w:rPr>
                <w:rFonts w:ascii="Times New Roman" w:hAnsi="Times New Roman"/>
                <w:sz w:val="22"/>
              </w:rPr>
              <w:t>0.591 (p&lt;0.0001)</w:t>
            </w:r>
          </w:p>
        </w:tc>
      </w:tr>
    </w:tbl>
    <w:p>
      <w:pPr>
        <w:spacing w:before="120" w:after="80" w:line="480" w:lineRule="exact"/>
        <w:jc w:val="both"/>
      </w:pPr>
      <w:r>
        <w:rPr>
          <w:rFonts w:ascii="Times New Roman" w:hAnsi="Times New Roman"/>
          <w:b w:val="0"/>
          <w:i/>
          <w:sz w:val="20"/>
        </w:rPr>
        <w:t>DSC, Dice Similarity Coefficient; IoU, Intersection over Union; HD95, 95th-percentile Hausdorff Distance; MSD, Mean Surface Distance; MRE, Mean Radial Error; NME, Normalised Mean Error; PCK, Percentage of Correct Keypoints; ECE, Expected Calibration Error. 95% CI from B=2,000 bootstrap resamples with replacement.</w:t>
      </w:r>
    </w:p>
    <w:p>
      <w:r>
        <w:br w:type="page"/>
      </w:r>
    </w:p>
    <w:p>
      <w:pPr>
        <w:spacing w:before="0" w:after="120"/>
        <w:jc w:val="center"/>
      </w:pPr>
      <w:r>
        <w:drawing>
          <wp:inline xmlns:a="http://schemas.openxmlformats.org/drawingml/2006/main" xmlns:pic="http://schemas.openxmlformats.org/drawingml/2006/picture">
            <wp:extent cx="5486400" cy="154690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1546907"/>
                    </a:xfrm>
                    <a:prstGeom prst="rect"/>
                  </pic:spPr>
                </pic:pic>
              </a:graphicData>
            </a:graphic>
          </wp:inline>
        </w:drawing>
      </w:r>
    </w:p>
    <w:p>
      <w:pPr>
        <w:spacing w:before="80" w:after="240" w:line="440" w:lineRule="exact"/>
        <w:jc w:val="both"/>
      </w:pPr>
      <w:r>
        <w:rPr>
          <w:rFonts w:ascii="Times New Roman" w:hAnsi="Times New Roman"/>
          <w:b/>
          <w:i w:val="0"/>
          <w:sz w:val="22"/>
        </w:rPr>
        <w:t xml:space="preserve">Figure 1. </w:t>
      </w:r>
      <w:r>
        <w:rPr>
          <w:rFonts w:ascii="Times New Roman" w:hAnsi="Times New Roman"/>
          <w:b w:val="0"/>
          <w:i w:val="0"/>
          <w:sz w:val="22"/>
        </w:rPr>
        <w:t>Schematic pipeline of OpenGeoTrust-PerioSAM. An IOPA radiograph (512×512 pixels) is encoded by a shared ResNet-34 encoder. Three task-specific decoder heads produce in parallel: (i) tooth segmentation probability map; (ii) crestal bone-line segmentation map; and (iii) CEJ/apex Gaussian heatmaps with soft-argmax landmark extraction. The geometry module computes bone-loss percentage from predicted coordinates. MC Dropout (T=20) generates a spatial predictive entropy map for uncertainty quantification. Dashed arrows indicate encoder skip connections.</w:t>
      </w:r>
    </w:p>
    <w:p>
      <w:r>
        <w:br w:type="page"/>
      </w:r>
    </w:p>
    <w:p>
      <w:pPr>
        <w:spacing w:before="0" w:after="120"/>
        <w:jc w:val="center"/>
      </w:pPr>
      <w:r>
        <w:drawing>
          <wp:inline xmlns:a="http://schemas.openxmlformats.org/drawingml/2006/main" xmlns:pic="http://schemas.openxmlformats.org/drawingml/2006/picture">
            <wp:extent cx="5486400" cy="116281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1162817"/>
                    </a:xfrm>
                    <a:prstGeom prst="rect"/>
                  </pic:spPr>
                </pic:pic>
              </a:graphicData>
            </a:graphic>
          </wp:inline>
        </w:drawing>
      </w:r>
    </w:p>
    <w:p>
      <w:pPr>
        <w:spacing w:before="80" w:after="240" w:line="440" w:lineRule="exact"/>
        <w:jc w:val="both"/>
      </w:pPr>
      <w:r>
        <w:rPr>
          <w:rFonts w:ascii="Times New Roman" w:hAnsi="Times New Roman"/>
          <w:b/>
          <w:i w:val="0"/>
          <w:sz w:val="22"/>
        </w:rPr>
        <w:t xml:space="preserve">Figure 2. </w:t>
      </w:r>
      <w:r>
        <w:rPr>
          <w:rFonts w:ascii="Times New Roman" w:hAnsi="Times New Roman"/>
          <w:b w:val="0"/>
          <w:i w:val="0"/>
          <w:sz w:val="22"/>
        </w:rPr>
        <w:t>Representative DenPAR dataset sample (test set). Left to right: original IOPA radiograph; tooth mask overlay (green); crestal bone-line overlay (red); CEJ heatmap (blue); root-apex heatmap (orange). Target-space bone-line rasterisation at 7-pixel width (512×512 resolution) is visible in column three, illustrating the increased positive-pixel density compared with naive 3-pixel rasterisation.</w:t>
      </w:r>
    </w:p>
    <w:p>
      <w:r>
        <w:br w:type="page"/>
      </w:r>
    </w:p>
    <w:p>
      <w:pPr>
        <w:spacing w:before="0" w:after="120"/>
        <w:jc w:val="center"/>
      </w:pPr>
      <w:r>
        <w:drawing>
          <wp:inline xmlns:a="http://schemas.openxmlformats.org/drawingml/2006/main" xmlns:pic="http://schemas.openxmlformats.org/drawingml/2006/picture">
            <wp:extent cx="5486400" cy="272703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727032"/>
                    </a:xfrm>
                    <a:prstGeom prst="rect"/>
                  </pic:spPr>
                </pic:pic>
              </a:graphicData>
            </a:graphic>
          </wp:inline>
        </w:drawing>
      </w:r>
    </w:p>
    <w:p>
      <w:pPr>
        <w:spacing w:before="80" w:after="240" w:line="440" w:lineRule="exact"/>
        <w:jc w:val="both"/>
      </w:pPr>
      <w:r>
        <w:rPr>
          <w:rFonts w:ascii="Times New Roman" w:hAnsi="Times New Roman"/>
          <w:b/>
          <w:i w:val="0"/>
          <w:sz w:val="22"/>
        </w:rPr>
        <w:t xml:space="preserve">Figure 3. </w:t>
      </w:r>
      <w:r>
        <w:rPr>
          <w:rFonts w:ascii="Times New Roman" w:hAnsi="Times New Roman"/>
          <w:b w:val="0"/>
          <w:i w:val="0"/>
          <w:sz w:val="22"/>
        </w:rPr>
        <w:t>Qualitative model output comparison for three representative test cases (rows). Columns: (A) original IOPA radiograph; (B) ground-truth tooth mask; (C) predicted tooth mask; (D) ground-truth bone-line mask; (E) predicted bone-line mask; (F) MC Dropout uncertainty map (Shannon entropy). High-entropy regions (yellow/warm colours) are concentrated at structure boundaries and areas of radiographic ambiguity, consistent with clinician uncertainty in these regions.</w:t>
      </w:r>
    </w:p>
    <w:p>
      <w:r>
        <w:br w:type="page"/>
      </w:r>
    </w:p>
    <w:p>
      <w:pPr>
        <w:spacing w:before="0" w:after="120"/>
        <w:jc w:val="center"/>
      </w:pPr>
      <w:r>
        <w:drawing>
          <wp:inline xmlns:a="http://schemas.openxmlformats.org/drawingml/2006/main" xmlns:pic="http://schemas.openxmlformats.org/drawingml/2006/picture">
            <wp:extent cx="5486400" cy="1831251"/>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1831251"/>
                    </a:xfrm>
                    <a:prstGeom prst="rect"/>
                  </pic:spPr>
                </pic:pic>
              </a:graphicData>
            </a:graphic>
          </wp:inline>
        </w:drawing>
      </w:r>
    </w:p>
    <w:p>
      <w:pPr>
        <w:spacing w:before="80" w:after="240" w:line="440" w:lineRule="exact"/>
        <w:jc w:val="both"/>
      </w:pPr>
      <w:r>
        <w:rPr>
          <w:rFonts w:ascii="Times New Roman" w:hAnsi="Times New Roman"/>
          <w:b/>
          <w:i w:val="0"/>
          <w:sz w:val="22"/>
        </w:rPr>
        <w:t xml:space="preserve">Figure 4. </w:t>
      </w:r>
      <w:r>
        <w:rPr>
          <w:rFonts w:ascii="Times New Roman" w:hAnsi="Times New Roman"/>
          <w:b w:val="0"/>
          <w:i w:val="0"/>
          <w:sz w:val="22"/>
        </w:rPr>
        <w:t>Quantitative performance panel. (A) Segmentation metrics (DSC, IoU, precision, recall) for tooth (blue) and bone-line (orange) heads on the test set (n=200); error bars represent 95% bootstrap CI. (B) PCK curves for CEJ and apex landmark detection at 2, 4, and 8-pixel tolerances. (C) Reliability diagram for MC Dropout uncertainty calibration; the dashed diagonal represents perfect calibration; ECE=0.094 indicates well-calibrated predictive uncertainty.</w:t>
      </w:r>
    </w:p>
    <w:p>
      <w:r>
        <w:br w:type="page"/>
      </w:r>
    </w:p>
    <w:p>
      <w:pPr>
        <w:spacing w:before="0" w:after="120"/>
        <w:jc w:val="center"/>
      </w:pPr>
      <w:r>
        <w:drawing>
          <wp:inline xmlns:a="http://schemas.openxmlformats.org/drawingml/2006/main" xmlns:pic="http://schemas.openxmlformats.org/drawingml/2006/picture">
            <wp:extent cx="5486400" cy="1962807"/>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1962807"/>
                    </a:xfrm>
                    <a:prstGeom prst="rect"/>
                  </pic:spPr>
                </pic:pic>
              </a:graphicData>
            </a:graphic>
          </wp:inline>
        </w:drawing>
      </w:r>
    </w:p>
    <w:p>
      <w:pPr>
        <w:spacing w:before="80" w:after="240" w:line="440" w:lineRule="exact"/>
        <w:jc w:val="both"/>
      </w:pPr>
      <w:r>
        <w:rPr>
          <w:rFonts w:ascii="Times New Roman" w:hAnsi="Times New Roman"/>
          <w:b/>
          <w:i w:val="0"/>
          <w:sz w:val="22"/>
        </w:rPr>
        <w:t xml:space="preserve">Figure 5. </w:t>
      </w:r>
      <w:r>
        <w:rPr>
          <w:rFonts w:ascii="Times New Roman" w:hAnsi="Times New Roman"/>
          <w:b w:val="0"/>
          <w:i w:val="0"/>
          <w:sz w:val="22"/>
        </w:rPr>
        <w:t>Training dynamics over 39 epochs. (A) Validation Dice curves for tooth segmentation (blue) and crestal bone-line segmentation (orange); the star marks the best checkpoint at epoch 24 (val_bone_dice=0.578). (B) Training (solid) and validation (dashed) total loss curves. Shaded regions in (A) denote the high-oscillation phase (rolling SD &gt;0.05; epochs 3–20). Both curves decrease monotonically without divergence, confirming the absence of significant overfitting.</w:t>
      </w:r>
    </w:p>
    <w:p>
      <w:r>
        <w:br w:type="page"/>
      </w:r>
    </w:p>
    <w:p>
      <w:pPr>
        <w:spacing w:before="0" w:after="120"/>
        <w:jc w:val="center"/>
      </w:pPr>
      <w:r>
        <w:drawing>
          <wp:inline xmlns:a="http://schemas.openxmlformats.org/drawingml/2006/main" xmlns:pic="http://schemas.openxmlformats.org/drawingml/2006/picture">
            <wp:extent cx="4572000" cy="1899652"/>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1899652"/>
                    </a:xfrm>
                    <a:prstGeom prst="rect"/>
                  </pic:spPr>
                </pic:pic>
              </a:graphicData>
            </a:graphic>
          </wp:inline>
        </w:drawing>
      </w:r>
    </w:p>
    <w:p>
      <w:pPr>
        <w:spacing w:before="80" w:after="240" w:line="440" w:lineRule="exact"/>
        <w:jc w:val="both"/>
      </w:pPr>
      <w:r>
        <w:rPr>
          <w:rFonts w:ascii="Times New Roman" w:hAnsi="Times New Roman"/>
          <w:b/>
          <w:i w:val="0"/>
          <w:sz w:val="22"/>
        </w:rPr>
        <w:t xml:space="preserve">Figure 6. </w:t>
      </w:r>
      <w:r>
        <w:rPr>
          <w:rFonts w:ascii="Times New Roman" w:hAnsi="Times New Roman"/>
          <w:b w:val="0"/>
          <w:i w:val="0"/>
          <w:sz w:val="22"/>
        </w:rPr>
        <w:t>Association between predictive uncertainty and segmentation error. Scatter plot of MC Dropout entropy (x-axis) versus segmentation error (1−DSC, y-axis) for all 200 test images. Spearman ρ=0.591, p&lt;0.0001 (two-tailed). The solid line shows a robust linear fit. The significant positive correlation confirms that model uncertainty is a reliable indicator of prediction quality, supporting its use as a case-level triage signal in clinical workflows.</w:t>
      </w:r>
    </w:p>
    <w:sectPr w:rsidR="00FC693F" w:rsidRPr="0006063C" w:rsidSect="00034616">
      <w:headerReference w:type="default" r:id="rId9"/>
      <w:footerReference w:type="default" r:id="rId10"/>
      <w:pgSz w:w="12240" w:h="15840"/>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