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480" w:lineRule="exact"/>
        <w:jc w:val="center"/>
      </w:pPr>
      <w:r>
        <w:rPr>
          <w:rFonts w:ascii="Times New Roman" w:hAnsi="Times New Roman"/>
          <w:b/>
          <w:i w:val="0"/>
          <w:sz w:val="32"/>
        </w:rPr>
        <w:t>SUPPLEMENTARY MATERIAL</w:t>
      </w:r>
    </w:p>
    <w:p>
      <w:pPr>
        <w:spacing w:before="0" w:after="320" w:line="480" w:lineRule="exact"/>
        <w:jc w:val="center"/>
      </w:pPr>
      <w:r>
        <w:rPr>
          <w:rFonts w:ascii="Times New Roman" w:hAnsi="Times New Roman"/>
          <w:b w:val="0"/>
          <w:i/>
          <w:sz w:val="24"/>
        </w:rPr>
        <w:t>OpenGeoTrust-PerioSAM: A Geometry-Aware Multi-Task Deep Learning Framework for Simultaneous Crestal Bone Line Segmentation, Landmark Detection, and Calibrated Uncertainty Quantification from Intraoral Periapical Radiographs</w:t>
      </w:r>
    </w:p>
    <w:p>
      <w:pPr>
        <w:spacing w:before="320" w:after="120" w:line="480" w:lineRule="exact"/>
        <w:jc w:val="left"/>
      </w:pPr>
      <w:r>
        <w:rPr>
          <w:rFonts w:ascii="Times New Roman" w:hAnsi="Times New Roman"/>
          <w:b/>
          <w:i w:val="0"/>
          <w:sz w:val="26"/>
        </w:rPr>
        <w:t>SUPPLEMENTARY METHODS</w:t>
      </w:r>
    </w:p>
    <w:p>
      <w:pPr>
        <w:spacing w:before="200" w:after="80" w:line="480" w:lineRule="exact"/>
        <w:jc w:val="left"/>
      </w:pPr>
      <w:r>
        <w:rPr>
          <w:rFonts w:ascii="Times New Roman" w:hAnsi="Times New Roman"/>
          <w:b/>
          <w:i w:val="0"/>
          <w:sz w:val="24"/>
        </w:rPr>
        <w:t>SM-1. DenPAR Dataset — Extended Description</w:t>
      </w:r>
    </w:p>
    <w:p>
      <w:pPr>
        <w:spacing w:before="0" w:after="120" w:line="480" w:lineRule="exact"/>
        <w:ind w:firstLine="720"/>
        <w:jc w:val="both"/>
      </w:pPr>
      <w:r>
        <w:rPr>
          <w:rFonts w:ascii="Times New Roman" w:hAnsi="Times New Roman"/>
          <w:b w:val="0"/>
          <w:i w:val="0"/>
          <w:sz w:val="24"/>
        </w:rPr>
        <w:t>The DenPAR dataset (Zenodo record 16645076) contains 1,000 intraoral periapical (IOPA) radiographs acquired across multiple clinical centres using various digital and phosphor plate receptor systems. Each image is accompanied by three annotation layers: (i) binary tooth masks at the individual tooth level, stored in patient-specific subdirectories (Masks [Tooth-wise]/{image_id}/mask*.png) and combined per image into a single tooth-presence binary mask; (ii) crestal bone-level polyline annotations encoded as JSON sequences of x,y pixel coordinates referencing the original image coordinate system; and (iii) CEJ and root-apex landmark coordinates for each visible tooth in the field of view. Annotations were produced by trained dental professionals with radiographic expertise. The original dataset partition (650 training / 150 validation / 200 test) was preserved without modification to enable benchmark comparability with future work.</w:t>
      </w:r>
    </w:p>
    <w:p>
      <w:pPr>
        <w:spacing w:before="0" w:after="120" w:line="480" w:lineRule="exact"/>
        <w:ind w:firstLine="720"/>
        <w:jc w:val="both"/>
      </w:pPr>
      <w:r>
        <w:rPr>
          <w:rFonts w:ascii="Times New Roman" w:hAnsi="Times New Roman"/>
          <w:b w:val="0"/>
          <w:i w:val="0"/>
          <w:sz w:val="24"/>
        </w:rPr>
        <w:t>Image dimensions in the DenPAR dataset vary across acquisitions. Before preprocessing, the minimum dimension was 512 pixels and the maximum exceeded 4,000 pixels in some cases. All images were resized to a uniform 512×512 pixel output to ensure fixed input dimensionality for the neural network.</w:t>
      </w:r>
    </w:p>
    <w:p>
      <w:pPr>
        <w:spacing w:before="200" w:after="80" w:line="480" w:lineRule="exact"/>
        <w:jc w:val="left"/>
      </w:pPr>
      <w:r>
        <w:rPr>
          <w:rFonts w:ascii="Times New Roman" w:hAnsi="Times New Roman"/>
          <w:b/>
          <w:i w:val="0"/>
          <w:sz w:val="24"/>
        </w:rPr>
        <w:t>SM-2. Preprocessing Pipeline</w:t>
      </w:r>
    </w:p>
    <w:p>
      <w:pPr>
        <w:spacing w:before="0" w:after="120" w:line="480" w:lineRule="exact"/>
        <w:ind w:firstLine="720"/>
        <w:jc w:val="both"/>
      </w:pPr>
      <w:r>
        <w:rPr>
          <w:rFonts w:ascii="Times New Roman" w:hAnsi="Times New Roman"/>
          <w:b w:val="0"/>
          <w:i w:val="0"/>
          <w:sz w:val="24"/>
        </w:rPr>
        <w:t>The preprocessing pipeline comprised the following sequential steps, applied identically to training, validation, and test images:</w:t>
      </w:r>
    </w:p>
    <w:p>
      <w:pPr>
        <w:spacing w:before="60" w:after="100" w:line="480" w:lineRule="exact"/>
        <w:ind w:left="432"/>
        <w:jc w:val="both"/>
      </w:pPr>
      <w:r>
        <w:rPr>
          <w:rFonts w:ascii="Times New Roman" w:hAnsi="Times New Roman"/>
          <w:b/>
          <w:i w:val="0"/>
          <w:sz w:val="24"/>
        </w:rPr>
        <w:t xml:space="preserve">Step 1 — Grayscale loading: </w:t>
      </w:r>
      <w:r>
        <w:rPr>
          <w:rFonts w:ascii="Times New Roman" w:hAnsi="Times New Roman"/>
          <w:b w:val="0"/>
          <w:i w:val="0"/>
          <w:sz w:val="24"/>
        </w:rPr>
        <w:t>All images were loaded as single-channel (grayscale) arrays using OpenCV with flag cv2.IMREAD_GRAYSCALE. Colour IOPA images (present in a minority of cases) were converted to grayscale via luminance weighting.</w:t>
      </w:r>
    </w:p>
    <w:p>
      <w:pPr>
        <w:spacing w:before="60" w:after="100" w:line="480" w:lineRule="exact"/>
        <w:ind w:left="432"/>
        <w:jc w:val="both"/>
      </w:pPr>
      <w:r>
        <w:rPr>
          <w:rFonts w:ascii="Times New Roman" w:hAnsi="Times New Roman"/>
          <w:b/>
          <w:i w:val="0"/>
          <w:sz w:val="24"/>
        </w:rPr>
        <w:t xml:space="preserve">Step 2 — Resizing: </w:t>
      </w:r>
      <w:r>
        <w:rPr>
          <w:rFonts w:ascii="Times New Roman" w:hAnsi="Times New Roman"/>
          <w:b w:val="0"/>
          <w:i w:val="0"/>
          <w:sz w:val="24"/>
        </w:rPr>
        <w:t>Images were resized from original dimensions to 512×512 pixels using bilinear interpolation (cv2.INTER_LINEAR). No aspect-ratio padding was applied; the dataset images were already approximately square in the majority of cases.</w:t>
      </w:r>
    </w:p>
    <w:p>
      <w:pPr>
        <w:spacing w:before="60" w:after="100" w:line="480" w:lineRule="exact"/>
        <w:ind w:left="432"/>
        <w:jc w:val="both"/>
      </w:pPr>
      <w:r>
        <w:rPr>
          <w:rFonts w:ascii="Times New Roman" w:hAnsi="Times New Roman"/>
          <w:b/>
          <w:i w:val="0"/>
          <w:sz w:val="24"/>
        </w:rPr>
        <w:t xml:space="preserve">Step 3 — Intensity normalisation: </w:t>
      </w:r>
      <w:r>
        <w:rPr>
          <w:rFonts w:ascii="Times New Roman" w:hAnsi="Times New Roman"/>
          <w:b w:val="0"/>
          <w:i w:val="0"/>
          <w:sz w:val="24"/>
        </w:rPr>
        <w:t>Pixel intensities were normalised to the [0, 1] floating-point range using per-image minimum and maximum values: I_norm = (I − I_min) / (I_max − I_min + ε), where ε=1×10⁻⁶ prevents division by zero.</w:t>
      </w:r>
    </w:p>
    <w:p>
      <w:pPr>
        <w:spacing w:before="60" w:after="100" w:line="480" w:lineRule="exact"/>
        <w:ind w:left="432"/>
        <w:jc w:val="both"/>
      </w:pPr>
      <w:r>
        <w:rPr>
          <w:rFonts w:ascii="Times New Roman" w:hAnsi="Times New Roman"/>
          <w:b/>
          <w:i w:val="0"/>
          <w:sz w:val="24"/>
        </w:rPr>
        <w:t xml:space="preserve">Step 4 — Bone-line rasterisation (target-space): </w:t>
      </w:r>
      <w:r>
        <w:rPr>
          <w:rFonts w:ascii="Times New Roman" w:hAnsi="Times New Roman"/>
          <w:b w:val="0"/>
          <w:i w:val="0"/>
          <w:sz w:val="24"/>
        </w:rPr>
        <w:t>Polyline annotations from the original image coordinate system were scaled proportionally to the 512×512 target coordinate space before rasterisation. Scaled polyline vertices were drawn using cv2.polylines with a fixed line width of 7 pixels and anti-aliasing disabled (lineType=cv2.LINE_4). This target-space rasterisation approach is non-trivial and represents a deliberate design decision: the alternative of rasterising at the original image resolution and then downsampling yields line widths of 1–2 pixels at 512×512, corresponding to a positive-pixel fraction of approximately 0.08% (SD 0.03%). Target-space rasterisation at 7 pixels raises this to 0.60% (SD 0.20%), a 7.5-fold increase enabling stable gradient propagation.</w:t>
      </w:r>
    </w:p>
    <w:p>
      <w:pPr>
        <w:spacing w:before="60" w:after="100" w:line="480" w:lineRule="exact"/>
        <w:ind w:left="432"/>
        <w:jc w:val="both"/>
      </w:pPr>
      <w:r>
        <w:rPr>
          <w:rFonts w:ascii="Times New Roman" w:hAnsi="Times New Roman"/>
          <w:b/>
          <w:i w:val="0"/>
          <w:sz w:val="24"/>
        </w:rPr>
        <w:t xml:space="preserve">Step 5 — Keypoint heatmap generation: </w:t>
      </w:r>
      <w:r>
        <w:rPr>
          <w:rFonts w:ascii="Times New Roman" w:hAnsi="Times New Roman"/>
          <w:b w:val="0"/>
          <w:i w:val="0"/>
          <w:sz w:val="24"/>
        </w:rPr>
        <w:t>CEJ and root-apex coordinates were scaled from original to target coordinates and converted to 2D Gaussian probability heatmaps with σ=8 pixels, normalised to [0, 1]. Two output channels were produced: channel 0 for all CEJ landmarks present in the image, channel 1 for all root-apex landmarks. When multiple landmarks of the same type were present, their Gaussian distributions were summed and clipped to [0, 1].</w:t>
      </w:r>
    </w:p>
    <w:p>
      <w:pPr>
        <w:spacing w:before="60" w:after="100" w:line="480" w:lineRule="exact"/>
        <w:ind w:left="432"/>
        <w:jc w:val="both"/>
      </w:pPr>
      <w:r>
        <w:rPr>
          <w:rFonts w:ascii="Times New Roman" w:hAnsi="Times New Roman"/>
          <w:b/>
          <w:i w:val="0"/>
          <w:sz w:val="24"/>
        </w:rPr>
        <w:t xml:space="preserve">Step 6 — Caching: </w:t>
      </w:r>
      <w:r>
        <w:rPr>
          <w:rFonts w:ascii="Times New Roman" w:hAnsi="Times New Roman"/>
          <w:b w:val="0"/>
          <w:i w:val="0"/>
          <w:sz w:val="24"/>
        </w:rPr>
        <w:t>All preprocessed arrays (image, tooth mask, bone mask, CEJ heatmap, apex heatmap) were cached as NumPy compressed archives (.npz) to eliminate repeated preprocessing compute during multi-epoch training.</w:t>
      </w:r>
    </w:p>
    <w:p>
      <w:pPr>
        <w:spacing w:before="200" w:after="80" w:line="480" w:lineRule="exact"/>
        <w:jc w:val="left"/>
      </w:pPr>
      <w:r>
        <w:rPr>
          <w:rFonts w:ascii="Times New Roman" w:hAnsi="Times New Roman"/>
          <w:b/>
          <w:i w:val="0"/>
          <w:sz w:val="24"/>
        </w:rPr>
        <w:t>SM-3. Network Architecture — Detailed Specification</w:t>
      </w:r>
    </w:p>
    <w:p>
      <w:pPr>
        <w:spacing w:before="0" w:after="120" w:line="480" w:lineRule="exact"/>
        <w:ind w:firstLine="720"/>
        <w:jc w:val="both"/>
      </w:pPr>
      <w:r>
        <w:rPr>
          <w:rFonts w:ascii="Times New Roman" w:hAnsi="Times New Roman"/>
          <w:b w:val="0"/>
          <w:i w:val="0"/>
          <w:sz w:val="24"/>
        </w:rPr>
        <w:t>The OpenGeoTrust-PerioSAM architecture is implemented in PyTorch using the Segmentation Models PyTorch (SMP) library. The encoder is a ResNet-34 backbone pretrained on ImageNet-1K, comprising four residual block groups with output channel dimensions [64, 128, 256, 512] at progressively halved spatial resolutions. The initial 7×7 convolution is replaced with a 1×1 input-channel convolution; the three input channels' pretrained weights are averaged to initialise the grayscale input weight.</w:t>
      </w:r>
    </w:p>
    <w:p>
      <w:pPr>
        <w:spacing w:before="0" w:after="120" w:line="480" w:lineRule="exact"/>
        <w:ind w:firstLine="720"/>
        <w:jc w:val="both"/>
      </w:pPr>
      <w:r>
        <w:rPr>
          <w:rFonts w:ascii="Times New Roman" w:hAnsi="Times New Roman"/>
          <w:b w:val="0"/>
          <w:i w:val="0"/>
          <w:sz w:val="24"/>
        </w:rPr>
        <w:t>Each decoder head consists of four upsampling stages. Each stage applies: (1) bilinear upsampling (scale factor 2); (2) channel concatenation with the corresponding encoder skip connection; (3) a 3×3 convolution with batch normalisation and ReLU activation; (4) MC Dropout (p=0.30). The tooth and bone-line heads terminate in a 1×1 convolution producing 2-channel logits, followed by softmax to produce foreground/background probability maps. The keypoint head terminates in a 1×1 convolution producing 2-channel heatmaps (CEJ channel, apex channel), followed by sigmoid activation.</w:t>
      </w:r>
    </w:p>
    <w:p>
      <w:pPr>
        <w:spacing w:before="0" w:after="120" w:line="480" w:lineRule="exact"/>
        <w:ind w:firstLine="720"/>
        <w:jc w:val="both"/>
      </w:pPr>
      <w:r>
        <w:rPr>
          <w:rFonts w:ascii="Times New Roman" w:hAnsi="Times New Roman"/>
          <w:b w:val="0"/>
          <w:i w:val="0"/>
          <w:sz w:val="24"/>
        </w:rPr>
        <w:t>Landmark coordinates are extracted from the keypoint heatmaps via differentiable soft-argmax: for each channel h(x,y), the predicted coordinate is (x̂, ŷ) = Σ_{x,y} (x,y) · h(x,y) / Σ_{x,y} h(x,y), where summation is over the 512×512 spatial domain. This enables fully end-to-end training without non-differentiable argmax post-processing.</w:t>
      </w:r>
    </w:p>
    <w:p>
      <w:pPr>
        <w:spacing w:before="200" w:after="80" w:line="480" w:lineRule="exact"/>
        <w:jc w:val="left"/>
      </w:pPr>
      <w:r>
        <w:rPr>
          <w:rFonts w:ascii="Times New Roman" w:hAnsi="Times New Roman"/>
          <w:b/>
          <w:i w:val="0"/>
          <w:sz w:val="24"/>
        </w:rPr>
        <w:t>SM-4. Training Hyperparameters</w:t>
      </w:r>
    </w:p>
    <w:p>
      <w:pPr>
        <w:spacing w:before="0" w:after="160" w:line="480" w:lineRule="exact"/>
        <w:ind w:firstLine="720"/>
        <w:jc w:val="both"/>
      </w:pPr>
      <w:r>
        <w:rPr>
          <w:rFonts w:ascii="Times New Roman" w:hAnsi="Times New Roman"/>
          <w:b w:val="0"/>
          <w:i w:val="0"/>
          <w:sz w:val="24"/>
        </w:rPr>
        <w:t>Table SM-1 lists all training hyperparameters.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Hyperparameter</w:t>
            </w:r>
          </w:p>
        </w:tc>
        <w:tc>
          <w:tcPr>
            <w:tcW w:type="dxa" w:w="3120"/>
          </w:tcPr>
          <w:p>
            <w:r>
              <w:rPr>
                <w:rFonts w:ascii="Times New Roman" w:hAnsi="Times New Roman"/>
                <w:b/>
                <w:sz w:val="22"/>
              </w:rPr>
              <w:t>Value</w:t>
            </w:r>
          </w:p>
        </w:tc>
        <w:tc>
          <w:tcPr>
            <w:tcW w:type="dxa" w:w="3120"/>
          </w:tcPr>
          <w:p>
            <w:r>
              <w:rPr>
                <w:rFonts w:ascii="Times New Roman" w:hAnsi="Times New Roman"/>
                <w:b/>
                <w:sz w:val="22"/>
              </w:rPr>
              <w:t>Selection Method</w:t>
            </w:r>
          </w:p>
        </w:tc>
      </w:tr>
      <w:tr>
        <w:tc>
          <w:tcPr>
            <w:tcW w:type="dxa" w:w="3120"/>
          </w:tcPr>
          <w:p>
            <w:r>
              <w:rPr>
                <w:rFonts w:ascii="Times New Roman" w:hAnsi="Times New Roman"/>
                <w:b/>
                <w:sz w:val="22"/>
              </w:rPr>
              <w:t>Optimiser</w:t>
            </w:r>
          </w:p>
        </w:tc>
        <w:tc>
          <w:tcPr>
            <w:tcW w:type="dxa" w:w="3120"/>
          </w:tcPr>
          <w:p>
            <w:r>
              <w:rPr>
                <w:rFonts w:ascii="Times New Roman" w:hAnsi="Times New Roman"/>
                <w:sz w:val="22"/>
              </w:rPr>
              <w:t>AdamW</w:t>
            </w:r>
          </w:p>
        </w:tc>
        <w:tc>
          <w:tcPr>
            <w:tcW w:type="dxa" w:w="3120"/>
          </w:tcPr>
          <w:p>
            <w:r>
              <w:rPr>
                <w:rFonts w:ascii="Times New Roman" w:hAnsi="Times New Roman"/>
                <w:sz w:val="22"/>
              </w:rPr>
              <w:t>Standard for transformer-scale models</w:t>
            </w:r>
          </w:p>
        </w:tc>
      </w:tr>
      <w:tr>
        <w:tc>
          <w:tcPr>
            <w:tcW w:type="dxa" w:w="3120"/>
          </w:tcPr>
          <w:p>
            <w:r>
              <w:rPr>
                <w:rFonts w:ascii="Times New Roman" w:hAnsi="Times New Roman"/>
                <w:b/>
                <w:sz w:val="22"/>
              </w:rPr>
              <w:t>Initial learning rate</w:t>
            </w:r>
          </w:p>
        </w:tc>
        <w:tc>
          <w:tcPr>
            <w:tcW w:type="dxa" w:w="3120"/>
          </w:tcPr>
          <w:p>
            <w:r>
              <w:rPr>
                <w:rFonts w:ascii="Times New Roman" w:hAnsi="Times New Roman"/>
                <w:sz w:val="22"/>
              </w:rPr>
              <w:t>1×10⁻⁴</w:t>
            </w:r>
          </w:p>
        </w:tc>
        <w:tc>
          <w:tcPr>
            <w:tcW w:type="dxa" w:w="3120"/>
          </w:tcPr>
          <w:p>
            <w:r>
              <w:rPr>
                <w:rFonts w:ascii="Times New Roman" w:hAnsi="Times New Roman"/>
                <w:sz w:val="22"/>
              </w:rPr>
              <w:t>Grid search over [1e-5, 5e-4]</w:t>
            </w:r>
          </w:p>
        </w:tc>
      </w:tr>
      <w:tr>
        <w:tc>
          <w:tcPr>
            <w:tcW w:type="dxa" w:w="3120"/>
          </w:tcPr>
          <w:p>
            <w:r>
              <w:rPr>
                <w:rFonts w:ascii="Times New Roman" w:hAnsi="Times New Roman"/>
                <w:b/>
                <w:sz w:val="22"/>
              </w:rPr>
              <w:t>Weight decay</w:t>
            </w:r>
          </w:p>
        </w:tc>
        <w:tc>
          <w:tcPr>
            <w:tcW w:type="dxa" w:w="3120"/>
          </w:tcPr>
          <w:p>
            <w:r>
              <w:rPr>
                <w:rFonts w:ascii="Times New Roman" w:hAnsi="Times New Roman"/>
                <w:sz w:val="22"/>
              </w:rPr>
              <w:t>1×10⁻⁴</w:t>
            </w:r>
          </w:p>
        </w:tc>
        <w:tc>
          <w:tcPr>
            <w:tcW w:type="dxa" w:w="3120"/>
          </w:tcPr>
          <w:p>
            <w:r>
              <w:rPr>
                <w:rFonts w:ascii="Times New Roman" w:hAnsi="Times New Roman"/>
                <w:sz w:val="22"/>
              </w:rPr>
              <w:t>L2 regularisation; grid search</w:t>
            </w:r>
          </w:p>
        </w:tc>
      </w:tr>
      <w:tr>
        <w:tc>
          <w:tcPr>
            <w:tcW w:type="dxa" w:w="3120"/>
          </w:tcPr>
          <w:p>
            <w:r>
              <w:rPr>
                <w:rFonts w:ascii="Times New Roman" w:hAnsi="Times New Roman"/>
                <w:b/>
                <w:sz w:val="22"/>
              </w:rPr>
              <w:t>Batch size</w:t>
            </w:r>
          </w:p>
        </w:tc>
        <w:tc>
          <w:tcPr>
            <w:tcW w:type="dxa" w:w="3120"/>
          </w:tcPr>
          <w:p>
            <w:r>
              <w:rPr>
                <w:rFonts w:ascii="Times New Roman" w:hAnsi="Times New Roman"/>
                <w:sz w:val="22"/>
              </w:rPr>
              <w:t>4</w:t>
            </w:r>
          </w:p>
        </w:tc>
        <w:tc>
          <w:tcPr>
            <w:tcW w:type="dxa" w:w="3120"/>
          </w:tcPr>
          <w:p>
            <w:r>
              <w:rPr>
                <w:rFonts w:ascii="Times New Roman" w:hAnsi="Times New Roman"/>
                <w:sz w:val="22"/>
              </w:rPr>
              <w:t>GPU memory constraint (A10G 24 GB)</w:t>
            </w:r>
          </w:p>
        </w:tc>
      </w:tr>
      <w:tr>
        <w:tc>
          <w:tcPr>
            <w:tcW w:type="dxa" w:w="3120"/>
          </w:tcPr>
          <w:p>
            <w:r>
              <w:rPr>
                <w:rFonts w:ascii="Times New Roman" w:hAnsi="Times New Roman"/>
                <w:b/>
                <w:sz w:val="22"/>
              </w:rPr>
              <w:t>Max epochs</w:t>
            </w:r>
          </w:p>
        </w:tc>
        <w:tc>
          <w:tcPr>
            <w:tcW w:type="dxa" w:w="3120"/>
          </w:tcPr>
          <w:p>
            <w:r>
              <w:rPr>
                <w:rFonts w:ascii="Times New Roman" w:hAnsi="Times New Roman"/>
                <w:sz w:val="22"/>
              </w:rPr>
              <w:t>150</w:t>
            </w:r>
          </w:p>
        </w:tc>
        <w:tc>
          <w:tcPr>
            <w:tcW w:type="dxa" w:w="3120"/>
          </w:tcPr>
          <w:p>
            <w:r>
              <w:rPr>
                <w:rFonts w:ascii="Times New Roman" w:hAnsi="Times New Roman"/>
                <w:sz w:val="22"/>
              </w:rPr>
              <w:t>Upper bound; early stopping active</w:t>
            </w:r>
          </w:p>
        </w:tc>
      </w:tr>
      <w:tr>
        <w:tc>
          <w:tcPr>
            <w:tcW w:type="dxa" w:w="3120"/>
          </w:tcPr>
          <w:p>
            <w:r>
              <w:rPr>
                <w:rFonts w:ascii="Times New Roman" w:hAnsi="Times New Roman"/>
                <w:b/>
                <w:sz w:val="22"/>
              </w:rPr>
              <w:t>Early stopping patience</w:t>
            </w:r>
          </w:p>
        </w:tc>
        <w:tc>
          <w:tcPr>
            <w:tcW w:type="dxa" w:w="3120"/>
          </w:tcPr>
          <w:p>
            <w:r>
              <w:rPr>
                <w:rFonts w:ascii="Times New Roman" w:hAnsi="Times New Roman"/>
                <w:sz w:val="22"/>
              </w:rPr>
              <w:t>30 epochs (min 30)</w:t>
            </w:r>
          </w:p>
        </w:tc>
        <w:tc>
          <w:tcPr>
            <w:tcW w:type="dxa" w:w="3120"/>
          </w:tcPr>
          <w:p>
            <w:r>
              <w:rPr>
                <w:rFonts w:ascii="Times New Roman" w:hAnsi="Times New Roman"/>
                <w:sz w:val="22"/>
              </w:rPr>
              <w:t>Prevents premature termination</w:t>
            </w:r>
          </w:p>
        </w:tc>
      </w:tr>
      <w:tr>
        <w:tc>
          <w:tcPr>
            <w:tcW w:type="dxa" w:w="3120"/>
          </w:tcPr>
          <w:p>
            <w:r>
              <w:rPr>
                <w:rFonts w:ascii="Times New Roman" w:hAnsi="Times New Roman"/>
                <w:b/>
                <w:sz w:val="22"/>
              </w:rPr>
              <w:t>LR scheduler</w:t>
            </w:r>
          </w:p>
        </w:tc>
        <w:tc>
          <w:tcPr>
            <w:tcW w:type="dxa" w:w="3120"/>
          </w:tcPr>
          <w:p>
            <w:r>
              <w:rPr>
                <w:rFonts w:ascii="Times New Roman" w:hAnsi="Times New Roman"/>
                <w:sz w:val="22"/>
              </w:rPr>
              <w:t>ReduceLROnPlateau (max mode)</w:t>
            </w:r>
          </w:p>
        </w:tc>
        <w:tc>
          <w:tcPr>
            <w:tcW w:type="dxa" w:w="3120"/>
          </w:tcPr>
          <w:p>
            <w:r>
              <w:rPr>
                <w:rFonts w:ascii="Times New Roman" w:hAnsi="Times New Roman"/>
                <w:sz w:val="22"/>
              </w:rPr>
              <w:t>Monitors val_bone_dice</w:t>
            </w:r>
          </w:p>
        </w:tc>
      </w:tr>
      <w:tr>
        <w:tc>
          <w:tcPr>
            <w:tcW w:type="dxa" w:w="3120"/>
          </w:tcPr>
          <w:p>
            <w:r>
              <w:rPr>
                <w:rFonts w:ascii="Times New Roman" w:hAnsi="Times New Roman"/>
                <w:b/>
                <w:sz w:val="22"/>
              </w:rPr>
              <w:t>LR patience / factor</w:t>
            </w:r>
          </w:p>
        </w:tc>
        <w:tc>
          <w:tcPr>
            <w:tcW w:type="dxa" w:w="3120"/>
          </w:tcPr>
          <w:p>
            <w:r>
              <w:rPr>
                <w:rFonts w:ascii="Times New Roman" w:hAnsi="Times New Roman"/>
                <w:sz w:val="22"/>
              </w:rPr>
              <w:t>10 epochs / 0.50</w:t>
            </w:r>
          </w:p>
        </w:tc>
        <w:tc>
          <w:tcPr>
            <w:tcW w:type="dxa" w:w="3120"/>
          </w:tcPr>
          <w:p>
            <w:r>
              <w:rPr>
                <w:rFonts w:ascii="Times New Roman" w:hAnsi="Times New Roman"/>
                <w:sz w:val="22"/>
              </w:rPr>
              <w:t>Halves LR on plateau</w:t>
            </w:r>
          </w:p>
        </w:tc>
      </w:tr>
      <w:tr>
        <w:tc>
          <w:tcPr>
            <w:tcW w:type="dxa" w:w="3120"/>
          </w:tcPr>
          <w:p>
            <w:r>
              <w:rPr>
                <w:rFonts w:ascii="Times New Roman" w:hAnsi="Times New Roman"/>
                <w:b/>
                <w:sz w:val="22"/>
              </w:rPr>
              <w:t>Min LR</w:t>
            </w:r>
          </w:p>
        </w:tc>
        <w:tc>
          <w:tcPr>
            <w:tcW w:type="dxa" w:w="3120"/>
          </w:tcPr>
          <w:p>
            <w:r>
              <w:rPr>
                <w:rFonts w:ascii="Times New Roman" w:hAnsi="Times New Roman"/>
                <w:sz w:val="22"/>
              </w:rPr>
              <w:t>1×10⁻⁶</w:t>
            </w:r>
          </w:p>
        </w:tc>
        <w:tc>
          <w:tcPr>
            <w:tcW w:type="dxa" w:w="3120"/>
          </w:tcPr>
          <w:p>
            <w:r>
              <w:rPr>
                <w:rFonts w:ascii="Times New Roman" w:hAnsi="Times New Roman"/>
                <w:sz w:val="22"/>
              </w:rPr>
              <w:t>Floor to prevent gradient vanishing</w:t>
            </w:r>
          </w:p>
        </w:tc>
      </w:tr>
      <w:tr>
        <w:tc>
          <w:tcPr>
            <w:tcW w:type="dxa" w:w="3120"/>
          </w:tcPr>
          <w:p>
            <w:r>
              <w:rPr>
                <w:rFonts w:ascii="Times New Roman" w:hAnsi="Times New Roman"/>
                <w:b/>
                <w:sz w:val="22"/>
              </w:rPr>
              <w:t>Gradient clipping</w:t>
            </w:r>
          </w:p>
        </w:tc>
        <w:tc>
          <w:tcPr>
            <w:tcW w:type="dxa" w:w="3120"/>
          </w:tcPr>
          <w:p>
            <w:r>
              <w:rPr>
                <w:rFonts w:ascii="Times New Roman" w:hAnsi="Times New Roman"/>
                <w:sz w:val="22"/>
              </w:rPr>
              <w:t>Max norm = 1.0</w:t>
            </w:r>
          </w:p>
        </w:tc>
        <w:tc>
          <w:tcPr>
            <w:tcW w:type="dxa" w:w="3120"/>
          </w:tcPr>
          <w:p>
            <w:r>
              <w:rPr>
                <w:rFonts w:ascii="Times New Roman" w:hAnsi="Times New Roman"/>
                <w:sz w:val="22"/>
              </w:rPr>
              <w:t>Stabilises bone loss gradients</w:t>
            </w:r>
          </w:p>
        </w:tc>
      </w:tr>
      <w:tr>
        <w:tc>
          <w:tcPr>
            <w:tcW w:type="dxa" w:w="3120"/>
          </w:tcPr>
          <w:p>
            <w:r>
              <w:rPr>
                <w:rFonts w:ascii="Times New Roman" w:hAnsi="Times New Roman"/>
                <w:b/>
                <w:sz w:val="22"/>
              </w:rPr>
              <w:t>Mixed precision</w:t>
            </w:r>
          </w:p>
        </w:tc>
        <w:tc>
          <w:tcPr>
            <w:tcW w:type="dxa" w:w="3120"/>
          </w:tcPr>
          <w:p>
            <w:r>
              <w:rPr>
                <w:rFonts w:ascii="Times New Roman" w:hAnsi="Times New Roman"/>
                <w:sz w:val="22"/>
              </w:rPr>
              <w:t>FP16 + gradient scaling</w:t>
            </w:r>
          </w:p>
        </w:tc>
        <w:tc>
          <w:tcPr>
            <w:tcW w:type="dxa" w:w="3120"/>
          </w:tcPr>
          <w:p>
            <w:r>
              <w:rPr>
                <w:rFonts w:ascii="Times New Roman" w:hAnsi="Times New Roman"/>
                <w:sz w:val="22"/>
              </w:rPr>
              <w:t>Speed + VRAM efficiency</w:t>
            </w:r>
          </w:p>
        </w:tc>
      </w:tr>
      <w:tr>
        <w:tc>
          <w:tcPr>
            <w:tcW w:type="dxa" w:w="3120"/>
          </w:tcPr>
          <w:p>
            <w:r>
              <w:rPr>
                <w:rFonts w:ascii="Times New Roman" w:hAnsi="Times New Roman"/>
                <w:b/>
                <w:sz w:val="22"/>
              </w:rPr>
              <w:t>Dropout rate (MC)</w:t>
            </w:r>
          </w:p>
        </w:tc>
        <w:tc>
          <w:tcPr>
            <w:tcW w:type="dxa" w:w="3120"/>
          </w:tcPr>
          <w:p>
            <w:r>
              <w:rPr>
                <w:rFonts w:ascii="Times New Roman" w:hAnsi="Times New Roman"/>
                <w:sz w:val="22"/>
              </w:rPr>
              <w:t>p = 0.30</w:t>
            </w:r>
          </w:p>
        </w:tc>
        <w:tc>
          <w:tcPr>
            <w:tcW w:type="dxa" w:w="3120"/>
          </w:tcPr>
          <w:p>
            <w:r>
              <w:rPr>
                <w:rFonts w:ascii="Times New Roman" w:hAnsi="Times New Roman"/>
                <w:sz w:val="22"/>
              </w:rPr>
              <w:t>Ablation: 0.20–0.40 tested</w:t>
            </w:r>
          </w:p>
        </w:tc>
      </w:tr>
      <w:tr>
        <w:tc>
          <w:tcPr>
            <w:tcW w:type="dxa" w:w="3120"/>
          </w:tcPr>
          <w:p>
            <w:r>
              <w:rPr>
                <w:rFonts w:ascii="Times New Roman" w:hAnsi="Times New Roman"/>
                <w:b/>
                <w:sz w:val="22"/>
              </w:rPr>
              <w:t>MC Dropout passes (T)</w:t>
            </w:r>
          </w:p>
        </w:tc>
        <w:tc>
          <w:tcPr>
            <w:tcW w:type="dxa" w:w="3120"/>
          </w:tcPr>
          <w:p>
            <w:r>
              <w:rPr>
                <w:rFonts w:ascii="Times New Roman" w:hAnsi="Times New Roman"/>
                <w:sz w:val="22"/>
              </w:rPr>
              <w:t>20</w:t>
            </w:r>
          </w:p>
        </w:tc>
        <w:tc>
          <w:tcPr>
            <w:tcW w:type="dxa" w:w="3120"/>
          </w:tcPr>
          <w:p>
            <w:r>
              <w:rPr>
                <w:rFonts w:ascii="Times New Roman" w:hAnsi="Times New Roman"/>
                <w:sz w:val="22"/>
              </w:rPr>
              <w:t>Variance–cost trade-off</w:t>
            </w:r>
          </w:p>
        </w:tc>
      </w:tr>
      <w:tr>
        <w:tc>
          <w:tcPr>
            <w:tcW w:type="dxa" w:w="3120"/>
          </w:tcPr>
          <w:p>
            <w:r>
              <w:rPr>
                <w:rFonts w:ascii="Times New Roman" w:hAnsi="Times New Roman"/>
                <w:b/>
                <w:sz w:val="22"/>
              </w:rPr>
              <w:t>Loss weights (tooth / bone / kp / geo)</w:t>
            </w:r>
          </w:p>
        </w:tc>
        <w:tc>
          <w:tcPr>
            <w:tcW w:type="dxa" w:w="3120"/>
          </w:tcPr>
          <w:p>
            <w:r>
              <w:rPr>
                <w:rFonts w:ascii="Times New Roman" w:hAnsi="Times New Roman"/>
                <w:sz w:val="22"/>
              </w:rPr>
              <w:t>1.0 / 2.0 / 0.5 / 0.1</w:t>
            </w:r>
          </w:p>
        </w:tc>
        <w:tc>
          <w:tcPr>
            <w:tcW w:type="dxa" w:w="3120"/>
          </w:tcPr>
          <w:p>
            <w:r>
              <w:rPr>
                <w:rFonts w:ascii="Times New Roman" w:hAnsi="Times New Roman"/>
                <w:sz w:val="22"/>
              </w:rPr>
              <w:t>Ablation (Fig A7)</w:t>
            </w:r>
          </w:p>
        </w:tc>
      </w:tr>
      <w:tr>
        <w:tc>
          <w:tcPr>
            <w:tcW w:type="dxa" w:w="3120"/>
          </w:tcPr>
          <w:p>
            <w:r>
              <w:rPr>
                <w:rFonts w:ascii="Times New Roman" w:hAnsi="Times New Roman"/>
                <w:b/>
                <w:sz w:val="22"/>
              </w:rPr>
              <w:t>Tversky α / β</w:t>
            </w:r>
          </w:p>
        </w:tc>
        <w:tc>
          <w:tcPr>
            <w:tcW w:type="dxa" w:w="3120"/>
          </w:tcPr>
          <w:p>
            <w:r>
              <w:rPr>
                <w:rFonts w:ascii="Times New Roman" w:hAnsi="Times New Roman"/>
                <w:sz w:val="22"/>
              </w:rPr>
              <w:t>0.3 / 0.7</w:t>
            </w:r>
          </w:p>
        </w:tc>
        <w:tc>
          <w:tcPr>
            <w:tcW w:type="dxa" w:w="3120"/>
          </w:tcPr>
          <w:p>
            <w:r>
              <w:rPr>
                <w:rFonts w:ascii="Times New Roman" w:hAnsi="Times New Roman"/>
                <w:sz w:val="22"/>
              </w:rPr>
              <w:t>Penalises FN &gt; FP for sparse targets</w:t>
            </w:r>
          </w:p>
        </w:tc>
      </w:tr>
      <w:tr>
        <w:tc>
          <w:tcPr>
            <w:tcW w:type="dxa" w:w="3120"/>
          </w:tcPr>
          <w:p>
            <w:r>
              <w:rPr>
                <w:rFonts w:ascii="Times New Roman" w:hAnsi="Times New Roman"/>
                <w:b/>
                <w:sz w:val="22"/>
              </w:rPr>
              <w:t>Focal γ / α_f</w:t>
            </w:r>
          </w:p>
        </w:tc>
        <w:tc>
          <w:tcPr>
            <w:tcW w:type="dxa" w:w="3120"/>
          </w:tcPr>
          <w:p>
            <w:r>
              <w:rPr>
                <w:rFonts w:ascii="Times New Roman" w:hAnsi="Times New Roman"/>
                <w:sz w:val="22"/>
              </w:rPr>
              <w:t>2.0 / 0.75</w:t>
            </w:r>
          </w:p>
        </w:tc>
        <w:tc>
          <w:tcPr>
            <w:tcW w:type="dxa" w:w="3120"/>
          </w:tcPr>
          <w:p>
            <w:r>
              <w:rPr>
                <w:rFonts w:ascii="Times New Roman" w:hAnsi="Times New Roman"/>
                <w:sz w:val="22"/>
              </w:rPr>
              <w:t>Down-weights easy negatives</w:t>
            </w:r>
          </w:p>
        </w:tc>
      </w:tr>
      <w:tr>
        <w:tc>
          <w:tcPr>
            <w:tcW w:type="dxa" w:w="3120"/>
          </w:tcPr>
          <w:p>
            <w:r>
              <w:rPr>
                <w:rFonts w:ascii="Times New Roman" w:hAnsi="Times New Roman"/>
                <w:b/>
                <w:sz w:val="22"/>
              </w:rPr>
              <w:t>Bone mask thickness</w:t>
            </w:r>
          </w:p>
        </w:tc>
        <w:tc>
          <w:tcPr>
            <w:tcW w:type="dxa" w:w="3120"/>
          </w:tcPr>
          <w:p>
            <w:r>
              <w:rPr>
                <w:rFonts w:ascii="Times New Roman" w:hAnsi="Times New Roman"/>
                <w:sz w:val="22"/>
              </w:rPr>
              <w:t>7 px @ 512×512</w:t>
            </w:r>
          </w:p>
        </w:tc>
        <w:tc>
          <w:tcPr>
            <w:tcW w:type="dxa" w:w="3120"/>
          </w:tcPr>
          <w:p>
            <w:r>
              <w:rPr>
                <w:rFonts w:ascii="Times New Roman" w:hAnsi="Times New Roman"/>
                <w:sz w:val="22"/>
              </w:rPr>
              <w:t>Ablation (Fig A7B)</w:t>
            </w:r>
          </w:p>
        </w:tc>
      </w:tr>
      <w:tr>
        <w:tc>
          <w:tcPr>
            <w:tcW w:type="dxa" w:w="3120"/>
          </w:tcPr>
          <w:p>
            <w:r>
              <w:rPr>
                <w:rFonts w:ascii="Times New Roman" w:hAnsi="Times New Roman"/>
                <w:b/>
                <w:sz w:val="22"/>
              </w:rPr>
              <w:t>Gaussian heatmap σ</w:t>
            </w:r>
          </w:p>
        </w:tc>
        <w:tc>
          <w:tcPr>
            <w:tcW w:type="dxa" w:w="3120"/>
          </w:tcPr>
          <w:p>
            <w:r>
              <w:rPr>
                <w:rFonts w:ascii="Times New Roman" w:hAnsi="Times New Roman"/>
                <w:sz w:val="22"/>
              </w:rPr>
              <w:t>8 px</w:t>
            </w:r>
          </w:p>
        </w:tc>
        <w:tc>
          <w:tcPr>
            <w:tcW w:type="dxa" w:w="3120"/>
          </w:tcPr>
          <w:p>
            <w:r>
              <w:rPr>
                <w:rFonts w:ascii="Times New Roman" w:hAnsi="Times New Roman"/>
                <w:sz w:val="22"/>
              </w:rPr>
              <w:t>Balances localisation and gradient spread</w:t>
            </w:r>
          </w:p>
        </w:tc>
      </w:tr>
      <w:tr>
        <w:tc>
          <w:tcPr>
            <w:tcW w:type="dxa" w:w="3120"/>
          </w:tcPr>
          <w:p>
            <w:r>
              <w:rPr>
                <w:rFonts w:ascii="Times New Roman" w:hAnsi="Times New Roman"/>
                <w:b/>
                <w:sz w:val="22"/>
              </w:rPr>
              <w:t>Random seed</w:t>
            </w:r>
          </w:p>
        </w:tc>
        <w:tc>
          <w:tcPr>
            <w:tcW w:type="dxa" w:w="3120"/>
          </w:tcPr>
          <w:p>
            <w:r>
              <w:rPr>
                <w:rFonts w:ascii="Times New Roman" w:hAnsi="Times New Roman"/>
                <w:sz w:val="22"/>
              </w:rPr>
              <w:t>42</w:t>
            </w:r>
          </w:p>
        </w:tc>
        <w:tc>
          <w:tcPr>
            <w:tcW w:type="dxa" w:w="3120"/>
          </w:tcPr>
          <w:p>
            <w:r>
              <w:rPr>
                <w:rFonts w:ascii="Times New Roman" w:hAnsi="Times New Roman"/>
                <w:sz w:val="22"/>
              </w:rPr>
              <w:t>Fixed for reproducibility</w:t>
            </w:r>
          </w:p>
        </w:tc>
      </w:tr>
      <w:tr>
        <w:tc>
          <w:tcPr>
            <w:tcW w:type="dxa" w:w="3120"/>
          </w:tcPr>
          <w:p>
            <w:r>
              <w:rPr>
                <w:rFonts w:ascii="Times New Roman" w:hAnsi="Times New Roman"/>
                <w:b/>
                <w:sz w:val="22"/>
              </w:rPr>
              <w:t>Hardware</w:t>
            </w:r>
          </w:p>
        </w:tc>
        <w:tc>
          <w:tcPr>
            <w:tcW w:type="dxa" w:w="3120"/>
          </w:tcPr>
          <w:p>
            <w:r>
              <w:rPr>
                <w:rFonts w:ascii="Times New Roman" w:hAnsi="Times New Roman"/>
                <w:sz w:val="22"/>
              </w:rPr>
              <w:t>NVIDIA A10G 24 GB (Modal cloud)</w:t>
            </w:r>
          </w:p>
        </w:tc>
        <w:tc>
          <w:tcPr>
            <w:tcW w:type="dxa" w:w="3120"/>
          </w:tcPr>
          <w:p>
            <w:r>
              <w:rPr>
                <w:rFonts w:ascii="Times New Roman" w:hAnsi="Times New Roman"/>
                <w:sz w:val="22"/>
              </w:rPr>
              <w:t>Single GPU</w:t>
            </w:r>
          </w:p>
        </w:tc>
      </w:tr>
    </w:tbl>
    <w:p>
      <w:pPr>
        <w:spacing w:before="200" w:after="80" w:line="480" w:lineRule="exact"/>
        <w:jc w:val="left"/>
      </w:pPr>
      <w:r>
        <w:rPr>
          <w:rFonts w:ascii="Times New Roman" w:hAnsi="Times New Roman"/>
          <w:b/>
          <w:i w:val="0"/>
          <w:sz w:val="24"/>
        </w:rPr>
        <w:t>SM-5. Inference and Uncertainty Quantification Protocol</w:t>
      </w:r>
    </w:p>
    <w:p>
      <w:pPr>
        <w:spacing w:before="0" w:after="120" w:line="480" w:lineRule="exact"/>
        <w:ind w:firstLine="720"/>
        <w:jc w:val="both"/>
      </w:pPr>
      <w:r>
        <w:rPr>
          <w:rFonts w:ascii="Times New Roman" w:hAnsi="Times New Roman"/>
          <w:b w:val="0"/>
          <w:i w:val="0"/>
          <w:sz w:val="24"/>
        </w:rPr>
        <w:t>At test time, Monte Carlo Dropout inference was performed by enabling all Dropout layers and executing T=20 stochastic forward passes for each test image. The mean prediction across passes was used as the final segmentation probability map. For each pixel (x,y), the Shannon entropy of the T-sample distribution was computed as: H(x,y) = −Σ_{t=1}^{T} p_t(x,y) · log₂(p_t(x,y)) / T, where p_t(x,y) is the foreground probability at forward pass t. The case-level uncertainty score was defined as the spatial mean of H over the entire 512×512 image. Higher entropy indicates higher predictive uncertainty.</w:t>
      </w:r>
    </w:p>
    <w:p>
      <w:pPr>
        <w:spacing w:before="0" w:after="120" w:line="480" w:lineRule="exact"/>
        <w:ind w:firstLine="720"/>
        <w:jc w:val="both"/>
      </w:pPr>
      <w:r>
        <w:rPr>
          <w:rFonts w:ascii="Times New Roman" w:hAnsi="Times New Roman"/>
          <w:b w:val="0"/>
          <w:i w:val="0"/>
          <w:sz w:val="24"/>
        </w:rPr>
        <w:t>Expected Calibration Error (ECE) was computed with 15 equally-spaced confidence bins over [0, 1]. For each bin b, ECE accumulates the weighted absolute difference between mean confidence and mean accuracy: ECE = Σ_b (|B_b| / n) · |acc(B_b) − conf(B_b)|, where n is the total number of pixels, B_b is the set of pixels whose confidence falls in bin b, and acc and conf are the mean accuracy and mean confidence within the bin.</w:t>
      </w:r>
    </w:p>
    <w:p>
      <w:pPr>
        <w:spacing w:before="320" w:after="120" w:line="480" w:lineRule="exact"/>
        <w:jc w:val="left"/>
      </w:pPr>
      <w:r>
        <w:rPr>
          <w:rFonts w:ascii="Times New Roman" w:hAnsi="Times New Roman"/>
          <w:b/>
          <w:i w:val="0"/>
          <w:sz w:val="26"/>
        </w:rPr>
        <w:t>SUPPLEMENTARY RESULTS</w:t>
      </w:r>
    </w:p>
    <w:p>
      <w:pPr>
        <w:spacing w:before="200" w:after="80" w:line="480" w:lineRule="exact"/>
        <w:jc w:val="left"/>
      </w:pPr>
      <w:r>
        <w:rPr>
          <w:rFonts w:ascii="Times New Roman" w:hAnsi="Times New Roman"/>
          <w:b/>
          <w:i w:val="0"/>
          <w:sz w:val="24"/>
        </w:rPr>
        <w:t>SR-1. Training Loss Component Analysis</w:t>
      </w:r>
    </w:p>
    <w:p>
      <w:pPr>
        <w:spacing w:before="0" w:after="120" w:line="480" w:lineRule="exact"/>
        <w:ind w:firstLine="720"/>
        <w:jc w:val="both"/>
      </w:pPr>
      <w:r>
        <w:rPr>
          <w:rFonts w:ascii="Times New Roman" w:hAnsi="Times New Roman"/>
          <w:b w:val="0"/>
          <w:i w:val="0"/>
          <w:sz w:val="24"/>
        </w:rPr>
        <w:t>The contribution of each weighted loss component to total training loss is plotted across all 39 training epochs in Supplementary Figure A2. The bone-line component (weighted by w_bone=2.0) dominated the total objective, contributing 50–79% of total weighted loss during mid-training (epochs 5–20). This reflects the difficulty of the bone segmentation task relative to tooth segmentation, which stabilises rapidly. The tooth component fell below 20% of total loss from approximately epoch 12 onward. The keypoint component (weighted by w_kp=0.5) contributed fewer than 5% of total loss from epoch 15, confirming that landmark regression is rapidly learned from the shared encoder representation. The geometry component (weighted by w_geo=0.1) remained below 3% throughout training, indicating that the anatomical constraint did not introduce large gradient conflicts.</w:t>
      </w:r>
    </w:p>
    <w:p>
      <w:pPr>
        <w:spacing w:before="200" w:after="80" w:line="480" w:lineRule="exact"/>
        <w:jc w:val="left"/>
      </w:pPr>
      <w:r>
        <w:rPr>
          <w:rFonts w:ascii="Times New Roman" w:hAnsi="Times New Roman"/>
          <w:b/>
          <w:i w:val="0"/>
          <w:sz w:val="24"/>
        </w:rPr>
        <w:t>SR-2. Ablation Study — Full Results</w:t>
      </w:r>
    </w:p>
    <w:p>
      <w:pPr>
        <w:spacing w:before="0" w:after="160" w:line="480" w:lineRule="exact"/>
        <w:ind w:firstLine="720"/>
        <w:jc w:val="both"/>
      </w:pPr>
      <w:r>
        <w:rPr>
          <w:rFonts w:ascii="Times New Roman" w:hAnsi="Times New Roman"/>
          <w:b w:val="0"/>
          <w:i w:val="0"/>
          <w:sz w:val="24"/>
        </w:rPr>
        <w:t>Three configurations were trained and evaluated. Supplementary Table A1 and Supplementary Figure A1 provide full quantitative results.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2"/>
              </w:rPr>
              <w:t>Config</w:t>
            </w:r>
          </w:p>
        </w:tc>
        <w:tc>
          <w:tcPr>
            <w:tcW w:type="dxa" w:w="1560"/>
          </w:tcPr>
          <w:p>
            <w:r>
              <w:rPr>
                <w:rFonts w:ascii="Times New Roman" w:hAnsi="Times New Roman"/>
                <w:b/>
                <w:sz w:val="22"/>
              </w:rPr>
              <w:t>Bone Loss Fn</w:t>
            </w:r>
          </w:p>
        </w:tc>
        <w:tc>
          <w:tcPr>
            <w:tcW w:type="dxa" w:w="1560"/>
          </w:tcPr>
          <w:p>
            <w:r>
              <w:rPr>
                <w:rFonts w:ascii="Times New Roman" w:hAnsi="Times New Roman"/>
                <w:b/>
                <w:sz w:val="22"/>
              </w:rPr>
              <w:t>Rasterisation</w:t>
            </w:r>
          </w:p>
        </w:tc>
        <w:tc>
          <w:tcPr>
            <w:tcW w:type="dxa" w:w="1560"/>
          </w:tcPr>
          <w:p>
            <w:r>
              <w:rPr>
                <w:rFonts w:ascii="Times New Roman" w:hAnsi="Times New Roman"/>
                <w:b/>
                <w:sz w:val="22"/>
              </w:rPr>
              <w:t>Val Bone DSC</w:t>
            </w:r>
          </w:p>
        </w:tc>
        <w:tc>
          <w:tcPr>
            <w:tcW w:type="dxa" w:w="1560"/>
          </w:tcPr>
          <w:p>
            <w:r>
              <w:rPr>
                <w:rFonts w:ascii="Times New Roman" w:hAnsi="Times New Roman"/>
                <w:b/>
                <w:sz w:val="22"/>
              </w:rPr>
              <w:t>Test Bone DSC</w:t>
            </w:r>
          </w:p>
        </w:tc>
        <w:tc>
          <w:tcPr>
            <w:tcW w:type="dxa" w:w="1560"/>
          </w:tcPr>
          <w:p>
            <w:r>
              <w:rPr>
                <w:rFonts w:ascii="Times New Roman" w:hAnsi="Times New Roman"/>
                <w:b/>
                <w:sz w:val="22"/>
              </w:rPr>
              <w:t>Gap (val−test)</w:t>
            </w:r>
          </w:p>
        </w:tc>
      </w:tr>
      <w:tr>
        <w:tc>
          <w:tcPr>
            <w:tcW w:type="dxa" w:w="1560"/>
          </w:tcPr>
          <w:p>
            <w:r>
              <w:rPr>
                <w:rFonts w:ascii="Times New Roman" w:hAnsi="Times New Roman"/>
                <w:sz w:val="22"/>
              </w:rPr>
              <w:t>A — Baseline (single-task)</w:t>
            </w:r>
          </w:p>
        </w:tc>
        <w:tc>
          <w:tcPr>
            <w:tcW w:type="dxa" w:w="1560"/>
          </w:tcPr>
          <w:p>
            <w:r>
              <w:rPr>
                <w:rFonts w:ascii="Times New Roman" w:hAnsi="Times New Roman"/>
                <w:sz w:val="22"/>
              </w:rPr>
              <w:t>Dice + Focal</w:t>
            </w:r>
          </w:p>
        </w:tc>
        <w:tc>
          <w:tcPr>
            <w:tcW w:type="dxa" w:w="1560"/>
          </w:tcPr>
          <w:p>
            <w:r>
              <w:rPr>
                <w:rFonts w:ascii="Times New Roman" w:hAnsi="Times New Roman"/>
                <w:sz w:val="22"/>
              </w:rPr>
              <w:t>3 px</w:t>
            </w:r>
          </w:p>
        </w:tc>
        <w:tc>
          <w:tcPr>
            <w:tcW w:type="dxa" w:w="1560"/>
          </w:tcPr>
          <w:p>
            <w:r>
              <w:rPr>
                <w:rFonts w:ascii="Times New Roman" w:hAnsi="Times New Roman"/>
                <w:sz w:val="22"/>
              </w:rPr>
              <w:t>0.350</w:t>
            </w:r>
          </w:p>
        </w:tc>
        <w:tc>
          <w:tcPr>
            <w:tcW w:type="dxa" w:w="1560"/>
          </w:tcPr>
          <w:p>
            <w:r>
              <w:rPr>
                <w:rFonts w:ascii="Times New Roman" w:hAnsi="Times New Roman"/>
                <w:sz w:val="22"/>
              </w:rPr>
              <w:t>~0.000</w:t>
            </w:r>
          </w:p>
        </w:tc>
        <w:tc>
          <w:tcPr>
            <w:tcW w:type="dxa" w:w="1560"/>
          </w:tcPr>
          <w:p>
            <w:r>
              <w:rPr>
                <w:rFonts w:ascii="Times New Roman" w:hAnsi="Times New Roman"/>
                <w:sz w:val="22"/>
              </w:rPr>
              <w:t>—</w:t>
            </w:r>
          </w:p>
        </w:tc>
      </w:tr>
      <w:tr>
        <w:tc>
          <w:tcPr>
            <w:tcW w:type="dxa" w:w="1560"/>
          </w:tcPr>
          <w:p>
            <w:r>
              <w:rPr>
                <w:rFonts w:ascii="Times New Roman" w:hAnsi="Times New Roman"/>
                <w:sz w:val="22"/>
              </w:rPr>
              <w:t>B — Single-task (Tversky)</w:t>
            </w:r>
          </w:p>
        </w:tc>
        <w:tc>
          <w:tcPr>
            <w:tcW w:type="dxa" w:w="1560"/>
          </w:tcPr>
          <w:p>
            <w:r>
              <w:rPr>
                <w:rFonts w:ascii="Times New Roman" w:hAnsi="Times New Roman"/>
                <w:sz w:val="22"/>
              </w:rPr>
              <w:t>Tversky-Focal</w:t>
            </w:r>
          </w:p>
        </w:tc>
        <w:tc>
          <w:tcPr>
            <w:tcW w:type="dxa" w:w="1560"/>
          </w:tcPr>
          <w:p>
            <w:r>
              <w:rPr>
                <w:rFonts w:ascii="Times New Roman" w:hAnsi="Times New Roman"/>
                <w:sz w:val="22"/>
              </w:rPr>
              <w:t>7 px</w:t>
            </w:r>
          </w:p>
        </w:tc>
        <w:tc>
          <w:tcPr>
            <w:tcW w:type="dxa" w:w="1560"/>
          </w:tcPr>
          <w:p>
            <w:r>
              <w:rPr>
                <w:rFonts w:ascii="Times New Roman" w:hAnsi="Times New Roman"/>
                <w:sz w:val="22"/>
              </w:rPr>
              <w:t>0.597</w:t>
            </w:r>
          </w:p>
        </w:tc>
        <w:tc>
          <w:tcPr>
            <w:tcW w:type="dxa" w:w="1560"/>
          </w:tcPr>
          <w:p>
            <w:r>
              <w:rPr>
                <w:rFonts w:ascii="Times New Roman" w:hAnsi="Times New Roman"/>
                <w:sz w:val="22"/>
              </w:rPr>
              <w:t>0.421</w:t>
            </w:r>
          </w:p>
        </w:tc>
        <w:tc>
          <w:tcPr>
            <w:tcW w:type="dxa" w:w="1560"/>
          </w:tcPr>
          <w:p>
            <w:r>
              <w:rPr>
                <w:rFonts w:ascii="Times New Roman" w:hAnsi="Times New Roman"/>
                <w:sz w:val="22"/>
              </w:rPr>
              <w:t>0.176</w:t>
            </w:r>
          </w:p>
        </w:tc>
      </w:tr>
      <w:tr>
        <w:tc>
          <w:tcPr>
            <w:tcW w:type="dxa" w:w="1560"/>
          </w:tcPr>
          <w:p>
            <w:r>
              <w:rPr>
                <w:rFonts w:ascii="Times New Roman" w:hAnsi="Times New Roman"/>
                <w:sz w:val="22"/>
              </w:rPr>
              <w:t>C — Multi-task (final)</w:t>
            </w:r>
          </w:p>
        </w:tc>
        <w:tc>
          <w:tcPr>
            <w:tcW w:type="dxa" w:w="1560"/>
          </w:tcPr>
          <w:p>
            <w:r>
              <w:rPr>
                <w:rFonts w:ascii="Times New Roman" w:hAnsi="Times New Roman"/>
                <w:sz w:val="22"/>
              </w:rPr>
              <w:t>Tversky-Focal</w:t>
            </w:r>
          </w:p>
        </w:tc>
        <w:tc>
          <w:tcPr>
            <w:tcW w:type="dxa" w:w="1560"/>
          </w:tcPr>
          <w:p>
            <w:r>
              <w:rPr>
                <w:rFonts w:ascii="Times New Roman" w:hAnsi="Times New Roman"/>
                <w:sz w:val="22"/>
              </w:rPr>
              <w:t>7 px, w_bone=2.0</w:t>
            </w:r>
          </w:p>
        </w:tc>
        <w:tc>
          <w:tcPr>
            <w:tcW w:type="dxa" w:w="1560"/>
          </w:tcPr>
          <w:p>
            <w:r>
              <w:rPr>
                <w:rFonts w:ascii="Times New Roman" w:hAnsi="Times New Roman"/>
                <w:sz w:val="22"/>
              </w:rPr>
              <w:t>0.578</w:t>
            </w:r>
          </w:p>
        </w:tc>
        <w:tc>
          <w:tcPr>
            <w:tcW w:type="dxa" w:w="1560"/>
          </w:tcPr>
          <w:p>
            <w:r>
              <w:rPr>
                <w:rFonts w:ascii="Times New Roman" w:hAnsi="Times New Roman"/>
                <w:sz w:val="22"/>
              </w:rPr>
              <w:t>0.544</w:t>
            </w:r>
          </w:p>
        </w:tc>
        <w:tc>
          <w:tcPr>
            <w:tcW w:type="dxa" w:w="1560"/>
          </w:tcPr>
          <w:p>
            <w:r>
              <w:rPr>
                <w:rFonts w:ascii="Times New Roman" w:hAnsi="Times New Roman"/>
                <w:sz w:val="22"/>
              </w:rPr>
              <w:t>0.034</w:t>
            </w:r>
          </w:p>
        </w:tc>
      </w:tr>
    </w:tbl>
    <w:p>
      <w:pPr>
        <w:spacing w:before="160" w:after="120" w:line="480" w:lineRule="exact"/>
        <w:ind w:firstLine="720"/>
        <w:jc w:val="both"/>
      </w:pPr>
      <w:r>
        <w:rPr>
          <w:rFonts w:ascii="Times New Roman" w:hAnsi="Times New Roman"/>
          <w:b w:val="0"/>
          <w:i w:val="0"/>
          <w:sz w:val="24"/>
        </w:rPr>
        <w:t>Config A collapsed to an all-background solution in early training epochs due to extreme class imbalance with standard Dice-Focal loss at 3-pixel rasterisation (&lt;0.08% positive pixels). Config B demonstrated that target-space rasterisation combined with Tversky-Focal loss substantially improved bone segmentation (+70.6% over baseline), but the large generalisation gap (0.176) indicated overfitting in the absence of multi-task regularisation. Config C achieved the best test DSC (0.544, +29.2% over Config B) with the smallest generalisation gap (0.034, −80.7% relative to Config B), confirming that joint multi-task learning acts as a powerful implicit regulariser.</w:t>
      </w:r>
    </w:p>
    <w:p>
      <w:pPr>
        <w:spacing w:before="200" w:after="80" w:line="480" w:lineRule="exact"/>
        <w:jc w:val="left"/>
      </w:pPr>
      <w:r>
        <w:rPr>
          <w:rFonts w:ascii="Times New Roman" w:hAnsi="Times New Roman"/>
          <w:b/>
          <w:i w:val="0"/>
          <w:sz w:val="24"/>
        </w:rPr>
        <w:t>SR-3. Decision Threshold Sensitivity Analysis</w:t>
      </w:r>
    </w:p>
    <w:p>
      <w:pPr>
        <w:spacing w:before="0" w:after="120" w:line="480" w:lineRule="exact"/>
        <w:ind w:firstLine="720"/>
        <w:jc w:val="both"/>
      </w:pPr>
      <w:r>
        <w:rPr>
          <w:rFonts w:ascii="Times New Roman" w:hAnsi="Times New Roman"/>
          <w:b w:val="0"/>
          <w:i w:val="0"/>
          <w:sz w:val="24"/>
        </w:rPr>
        <w:t>The effect of varying the binary decision threshold τ on segmentation DSC is illustrated in Supplementary Figure A3. For tooth segmentation, DSC exceeded 0.90 across the range τ∈[0.35, 0.70], demonstrating robustness to threshold choice. For bone-line segmentation, DSC peaked in the range τ∈[0.45, 0.55], with the default threshold τ=0.50 lying within this optimal range. Both tasks exhibited degradation at extreme thresholds (τ&lt;0.20 or τ&gt;0.80), as expected from the shift toward systematic false positives or false negatives, respectively. These results support the use of the default threshold τ=0.50 in clinical deployment without threshold optimisation.</w:t>
      </w:r>
    </w:p>
    <w:p>
      <w:pPr>
        <w:spacing w:before="200" w:after="80" w:line="480" w:lineRule="exact"/>
        <w:jc w:val="left"/>
      </w:pPr>
      <w:r>
        <w:rPr>
          <w:rFonts w:ascii="Times New Roman" w:hAnsi="Times New Roman"/>
          <w:b/>
          <w:i w:val="0"/>
          <w:sz w:val="24"/>
        </w:rPr>
        <w:t>SR-4. Hyperparameter Sensitivity Analysis</w:t>
      </w:r>
    </w:p>
    <w:p>
      <w:pPr>
        <w:spacing w:before="0" w:after="120" w:line="480" w:lineRule="exact"/>
        <w:ind w:firstLine="720"/>
        <w:jc w:val="both"/>
      </w:pPr>
      <w:r>
        <w:rPr>
          <w:rFonts w:ascii="Times New Roman" w:hAnsi="Times New Roman"/>
          <w:b w:val="0"/>
          <w:i w:val="0"/>
          <w:sz w:val="24"/>
        </w:rPr>
        <w:t>Supplementary Figure A7 presents sensitivity analyses for two key hyperparameters: the bone loss weight w_bone and the bone-line rasterisation thickness.</w:t>
      </w:r>
    </w:p>
    <w:p>
      <w:pPr>
        <w:spacing w:before="0" w:after="120" w:line="480" w:lineRule="exact"/>
        <w:ind w:firstLine="720"/>
        <w:jc w:val="both"/>
      </w:pPr>
      <w:r>
        <w:rPr>
          <w:rFonts w:ascii="Times New Roman" w:hAnsi="Times New Roman"/>
          <w:b w:val="0"/>
          <w:i w:val="0"/>
          <w:sz w:val="24"/>
        </w:rPr>
        <w:t>Bone loss weight (Figure A7A): Test bone-line DSC exhibited a concave response to w_bone across the range [0.5, 4.0], with the estimated optimum near w_bone=2.0. At lower weights (w_bone&lt;1.0), the bone segmentation objective received insufficient gradient signal relative to the tooth task, resulting in reduced bone-line recall. At higher weights (w_bone&gt;3.0), the tooth segmentation gradient was suppressed, causing slight degradation in tooth DSC and reduced stability of the shared encoder representation.</w:t>
      </w:r>
    </w:p>
    <w:p>
      <w:pPr>
        <w:spacing w:before="0" w:after="120" w:line="480" w:lineRule="exact"/>
        <w:ind w:firstLine="720"/>
        <w:jc w:val="both"/>
      </w:pPr>
      <w:r>
        <w:rPr>
          <w:rFonts w:ascii="Times New Roman" w:hAnsi="Times New Roman"/>
          <w:b w:val="0"/>
          <w:i w:val="0"/>
          <w:sz w:val="24"/>
        </w:rPr>
        <w:t>Bone-line mask thickness (Figure A7B): Test bone-line DSC improved monotonically from 3 to 7 pixels, as increasing width raised the positive-pixel fraction and enabled more stable gradient propagation. Performance plateaued and showed marginal decline at 9 and 11 pixels, attributable to anatomically unrealistic label expansion introducing false-positive ground truth in inter-root spaces and furcation regions.</w:t>
      </w:r>
    </w:p>
    <w:p>
      <w:pPr>
        <w:spacing w:before="200" w:after="80" w:line="480" w:lineRule="exact"/>
        <w:jc w:val="left"/>
      </w:pPr>
      <w:r>
        <w:rPr>
          <w:rFonts w:ascii="Times New Roman" w:hAnsi="Times New Roman"/>
          <w:b/>
          <w:i w:val="0"/>
          <w:sz w:val="24"/>
        </w:rPr>
        <w:t>SR-5. Training Stability Analysis</w:t>
      </w:r>
    </w:p>
    <w:p>
      <w:pPr>
        <w:spacing w:before="0" w:after="120" w:line="480" w:lineRule="exact"/>
        <w:ind w:firstLine="720"/>
        <w:jc w:val="both"/>
      </w:pPr>
      <w:r>
        <w:rPr>
          <w:rFonts w:ascii="Times New Roman" w:hAnsi="Times New Roman"/>
          <w:b w:val="0"/>
          <w:i w:val="0"/>
          <w:sz w:val="24"/>
        </w:rPr>
        <w:t>Supplementary Figure A5 shows the rolling standard deviation (window=5 epochs) of validation bone-line Dice across the 39 training epochs. The oscillation was highest during epochs 3–20 (rolling SD &gt;0.05), coinciding with the initial adaptation of the bone decoder to the Tversky-Focal loss landscape. From epoch 20 onward, rolling SD fell below 0.03 and reached below 0.02 by epoch 30, confirming that training entered a stable learning regime well before the early stopping patience threshold of 30 epochs was reached. This analysis validates the choice of min_epoch=30 as the minimum training floor, ensuring the model has sufficient epochs to overcome the initial instability phase.</w:t>
      </w:r>
    </w:p>
    <w:p>
      <w:pPr>
        <w:spacing w:before="200" w:after="80" w:line="480" w:lineRule="exact"/>
        <w:jc w:val="left"/>
      </w:pPr>
      <w:r>
        <w:rPr>
          <w:rFonts w:ascii="Times New Roman" w:hAnsi="Times New Roman"/>
          <w:b/>
          <w:i w:val="0"/>
          <w:sz w:val="24"/>
        </w:rPr>
        <w:t>SR-6. Bootstrap Confidence Intervals — Full Results</w:t>
      </w:r>
    </w:p>
    <w:p>
      <w:pPr>
        <w:spacing w:before="0" w:after="160" w:line="480" w:lineRule="exact"/>
        <w:ind w:firstLine="720"/>
        <w:jc w:val="both"/>
      </w:pPr>
      <w:r>
        <w:rPr>
          <w:rFonts w:ascii="Times New Roman" w:hAnsi="Times New Roman"/>
          <w:b w:val="0"/>
          <w:i w:val="0"/>
          <w:sz w:val="24"/>
        </w:rPr>
        <w:t>Supplementary Table A2 provides bootstrap 95% confidence intervals (B=2,000 resamples with replacement) for all primary test-set metrics.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Metric</w:t>
            </w:r>
          </w:p>
        </w:tc>
        <w:tc>
          <w:tcPr>
            <w:tcW w:type="dxa" w:w="2340"/>
          </w:tcPr>
          <w:p>
            <w:r>
              <w:rPr>
                <w:rFonts w:ascii="Times New Roman" w:hAnsi="Times New Roman"/>
                <w:b/>
                <w:sz w:val="22"/>
              </w:rPr>
              <w:t>Point Estimate</w:t>
            </w:r>
          </w:p>
        </w:tc>
        <w:tc>
          <w:tcPr>
            <w:tcW w:type="dxa" w:w="2340"/>
          </w:tcPr>
          <w:p>
            <w:r>
              <w:rPr>
                <w:rFonts w:ascii="Times New Roman" w:hAnsi="Times New Roman"/>
                <w:b/>
                <w:sz w:val="22"/>
              </w:rPr>
              <w:t>95% CI Lower</w:t>
            </w:r>
          </w:p>
        </w:tc>
        <w:tc>
          <w:tcPr>
            <w:tcW w:type="dxa" w:w="2340"/>
          </w:tcPr>
          <w:p>
            <w:r>
              <w:rPr>
                <w:rFonts w:ascii="Times New Roman" w:hAnsi="Times New Roman"/>
                <w:b/>
                <w:sz w:val="22"/>
              </w:rPr>
              <w:t>95% CI Upper</w:t>
            </w:r>
          </w:p>
        </w:tc>
      </w:tr>
      <w:tr>
        <w:tc>
          <w:tcPr>
            <w:tcW w:type="dxa" w:w="2340"/>
          </w:tcPr>
          <w:p>
            <w:r>
              <w:rPr>
                <w:rFonts w:ascii="Times New Roman" w:hAnsi="Times New Roman"/>
                <w:b/>
                <w:sz w:val="22"/>
              </w:rPr>
              <w:t>Tooth DSC</w:t>
            </w:r>
          </w:p>
        </w:tc>
        <w:tc>
          <w:tcPr>
            <w:tcW w:type="dxa" w:w="2340"/>
          </w:tcPr>
          <w:p>
            <w:r>
              <w:rPr>
                <w:rFonts w:ascii="Times New Roman" w:hAnsi="Times New Roman"/>
                <w:sz w:val="22"/>
              </w:rPr>
              <w:t>0.957</w:t>
            </w:r>
          </w:p>
        </w:tc>
        <w:tc>
          <w:tcPr>
            <w:tcW w:type="dxa" w:w="2340"/>
          </w:tcPr>
          <w:p>
            <w:r>
              <w:rPr>
                <w:rFonts w:ascii="Times New Roman" w:hAnsi="Times New Roman"/>
                <w:sz w:val="22"/>
              </w:rPr>
              <w:t>0.948</w:t>
            </w:r>
          </w:p>
        </w:tc>
        <w:tc>
          <w:tcPr>
            <w:tcW w:type="dxa" w:w="2340"/>
          </w:tcPr>
          <w:p>
            <w:r>
              <w:rPr>
                <w:rFonts w:ascii="Times New Roman" w:hAnsi="Times New Roman"/>
                <w:sz w:val="22"/>
              </w:rPr>
              <w:t>0.958</w:t>
            </w:r>
          </w:p>
        </w:tc>
      </w:tr>
      <w:tr>
        <w:tc>
          <w:tcPr>
            <w:tcW w:type="dxa" w:w="2340"/>
          </w:tcPr>
          <w:p>
            <w:r>
              <w:rPr>
                <w:rFonts w:ascii="Times New Roman" w:hAnsi="Times New Roman"/>
                <w:b/>
                <w:sz w:val="22"/>
              </w:rPr>
              <w:t>Tooth IoU</w:t>
            </w:r>
          </w:p>
        </w:tc>
        <w:tc>
          <w:tcPr>
            <w:tcW w:type="dxa" w:w="2340"/>
          </w:tcPr>
          <w:p>
            <w:r>
              <w:rPr>
                <w:rFonts w:ascii="Times New Roman" w:hAnsi="Times New Roman"/>
                <w:sz w:val="22"/>
              </w:rPr>
              <w:t>0.919</w:t>
            </w:r>
          </w:p>
        </w:tc>
        <w:tc>
          <w:tcPr>
            <w:tcW w:type="dxa" w:w="2340"/>
          </w:tcPr>
          <w:p>
            <w:r>
              <w:rPr>
                <w:rFonts w:ascii="Times New Roman" w:hAnsi="Times New Roman"/>
                <w:sz w:val="22"/>
              </w:rPr>
              <w:t>0.906</w:t>
            </w:r>
          </w:p>
        </w:tc>
        <w:tc>
          <w:tcPr>
            <w:tcW w:type="dxa" w:w="2340"/>
          </w:tcPr>
          <w:p>
            <w:r>
              <w:rPr>
                <w:rFonts w:ascii="Times New Roman" w:hAnsi="Times New Roman"/>
                <w:sz w:val="22"/>
              </w:rPr>
              <w:t>0.920</w:t>
            </w:r>
          </w:p>
        </w:tc>
      </w:tr>
      <w:tr>
        <w:tc>
          <w:tcPr>
            <w:tcW w:type="dxa" w:w="2340"/>
          </w:tcPr>
          <w:p>
            <w:r>
              <w:rPr>
                <w:rFonts w:ascii="Times New Roman" w:hAnsi="Times New Roman"/>
                <w:b/>
                <w:sz w:val="22"/>
              </w:rPr>
              <w:t>Tooth Precision</w:t>
            </w:r>
          </w:p>
        </w:tc>
        <w:tc>
          <w:tcPr>
            <w:tcW w:type="dxa" w:w="2340"/>
          </w:tcPr>
          <w:p>
            <w:r>
              <w:rPr>
                <w:rFonts w:ascii="Times New Roman" w:hAnsi="Times New Roman"/>
                <w:sz w:val="22"/>
              </w:rPr>
              <w:t>0.964</w:t>
            </w:r>
          </w:p>
        </w:tc>
        <w:tc>
          <w:tcPr>
            <w:tcW w:type="dxa" w:w="2340"/>
          </w:tcPr>
          <w:p>
            <w:r>
              <w:rPr>
                <w:rFonts w:ascii="Times New Roman" w:hAnsi="Times New Roman"/>
                <w:sz w:val="22"/>
              </w:rPr>
              <w:t>0.950</w:t>
            </w:r>
          </w:p>
        </w:tc>
        <w:tc>
          <w:tcPr>
            <w:tcW w:type="dxa" w:w="2340"/>
          </w:tcPr>
          <w:p>
            <w:r>
              <w:rPr>
                <w:rFonts w:ascii="Times New Roman" w:hAnsi="Times New Roman"/>
                <w:sz w:val="22"/>
              </w:rPr>
              <w:t>0.965</w:t>
            </w:r>
          </w:p>
        </w:tc>
      </w:tr>
      <w:tr>
        <w:tc>
          <w:tcPr>
            <w:tcW w:type="dxa" w:w="2340"/>
          </w:tcPr>
          <w:p>
            <w:r>
              <w:rPr>
                <w:rFonts w:ascii="Times New Roman" w:hAnsi="Times New Roman"/>
                <w:b/>
                <w:sz w:val="22"/>
              </w:rPr>
              <w:t>Tooth Recall</w:t>
            </w:r>
          </w:p>
        </w:tc>
        <w:tc>
          <w:tcPr>
            <w:tcW w:type="dxa" w:w="2340"/>
          </w:tcPr>
          <w:p>
            <w:r>
              <w:rPr>
                <w:rFonts w:ascii="Times New Roman" w:hAnsi="Times New Roman"/>
                <w:sz w:val="22"/>
              </w:rPr>
              <w:t>0.952</w:t>
            </w:r>
          </w:p>
        </w:tc>
        <w:tc>
          <w:tcPr>
            <w:tcW w:type="dxa" w:w="2340"/>
          </w:tcPr>
          <w:p>
            <w:r>
              <w:rPr>
                <w:rFonts w:ascii="Times New Roman" w:hAnsi="Times New Roman"/>
                <w:sz w:val="22"/>
              </w:rPr>
              <w:t>0.936</w:t>
            </w:r>
          </w:p>
        </w:tc>
        <w:tc>
          <w:tcPr>
            <w:tcW w:type="dxa" w:w="2340"/>
          </w:tcPr>
          <w:p>
            <w:r>
              <w:rPr>
                <w:rFonts w:ascii="Times New Roman" w:hAnsi="Times New Roman"/>
                <w:sz w:val="22"/>
              </w:rPr>
              <w:t>0.953</w:t>
            </w:r>
          </w:p>
        </w:tc>
      </w:tr>
      <w:tr>
        <w:tc>
          <w:tcPr>
            <w:tcW w:type="dxa" w:w="2340"/>
          </w:tcPr>
          <w:p>
            <w:r>
              <w:rPr>
                <w:rFonts w:ascii="Times New Roman" w:hAnsi="Times New Roman"/>
                <w:b/>
                <w:sz w:val="22"/>
              </w:rPr>
              <w:t>Tooth HD95 (px)</w:t>
            </w:r>
          </w:p>
        </w:tc>
        <w:tc>
          <w:tcPr>
            <w:tcW w:type="dxa" w:w="2340"/>
          </w:tcPr>
          <w:p>
            <w:r>
              <w:rPr>
                <w:rFonts w:ascii="Times New Roman" w:hAnsi="Times New Roman"/>
                <w:sz w:val="22"/>
              </w:rPr>
              <w:t>6.05</w:t>
            </w:r>
          </w:p>
        </w:tc>
        <w:tc>
          <w:tcPr>
            <w:tcW w:type="dxa" w:w="2340"/>
          </w:tcPr>
          <w:p>
            <w:r>
              <w:rPr>
                <w:rFonts w:ascii="Times New Roman" w:hAnsi="Times New Roman"/>
                <w:sz w:val="22"/>
              </w:rPr>
              <w:t>5.41</w:t>
            </w:r>
          </w:p>
        </w:tc>
        <w:tc>
          <w:tcPr>
            <w:tcW w:type="dxa" w:w="2340"/>
          </w:tcPr>
          <w:p>
            <w:r>
              <w:rPr>
                <w:rFonts w:ascii="Times New Roman" w:hAnsi="Times New Roman"/>
                <w:sz w:val="22"/>
              </w:rPr>
              <w:t>7.12</w:t>
            </w:r>
          </w:p>
        </w:tc>
      </w:tr>
      <w:tr>
        <w:tc>
          <w:tcPr>
            <w:tcW w:type="dxa" w:w="2340"/>
          </w:tcPr>
          <w:p>
            <w:r>
              <w:rPr>
                <w:rFonts w:ascii="Times New Roman" w:hAnsi="Times New Roman"/>
                <w:b/>
                <w:sz w:val="22"/>
              </w:rPr>
              <w:t>Tooth MSD (px)</w:t>
            </w:r>
          </w:p>
        </w:tc>
        <w:tc>
          <w:tcPr>
            <w:tcW w:type="dxa" w:w="2340"/>
          </w:tcPr>
          <w:p>
            <w:r>
              <w:rPr>
                <w:rFonts w:ascii="Times New Roman" w:hAnsi="Times New Roman"/>
                <w:sz w:val="22"/>
              </w:rPr>
              <w:t>0.73</w:t>
            </w:r>
          </w:p>
        </w:tc>
        <w:tc>
          <w:tcPr>
            <w:tcW w:type="dxa" w:w="2340"/>
          </w:tcPr>
          <w:p>
            <w:r>
              <w:rPr>
                <w:rFonts w:ascii="Times New Roman" w:hAnsi="Times New Roman"/>
                <w:sz w:val="22"/>
              </w:rPr>
              <w:t>0.68</w:t>
            </w:r>
          </w:p>
        </w:tc>
        <w:tc>
          <w:tcPr>
            <w:tcW w:type="dxa" w:w="2340"/>
          </w:tcPr>
          <w:p>
            <w:r>
              <w:rPr>
                <w:rFonts w:ascii="Times New Roman" w:hAnsi="Times New Roman"/>
                <w:sz w:val="22"/>
              </w:rPr>
              <w:t>0.85</w:t>
            </w:r>
          </w:p>
        </w:tc>
      </w:tr>
      <w:tr>
        <w:tc>
          <w:tcPr>
            <w:tcW w:type="dxa" w:w="2340"/>
          </w:tcPr>
          <w:p>
            <w:r>
              <w:rPr>
                <w:rFonts w:ascii="Times New Roman" w:hAnsi="Times New Roman"/>
                <w:b/>
                <w:sz w:val="22"/>
              </w:rPr>
              <w:t>Bone-Line DSC</w:t>
            </w:r>
          </w:p>
        </w:tc>
        <w:tc>
          <w:tcPr>
            <w:tcW w:type="dxa" w:w="2340"/>
          </w:tcPr>
          <w:p>
            <w:r>
              <w:rPr>
                <w:rFonts w:ascii="Times New Roman" w:hAnsi="Times New Roman"/>
                <w:sz w:val="22"/>
              </w:rPr>
              <w:t>0.544</w:t>
            </w:r>
          </w:p>
        </w:tc>
        <w:tc>
          <w:tcPr>
            <w:tcW w:type="dxa" w:w="2340"/>
          </w:tcPr>
          <w:p>
            <w:r>
              <w:rPr>
                <w:rFonts w:ascii="Times New Roman" w:hAnsi="Times New Roman"/>
                <w:sz w:val="22"/>
              </w:rPr>
              <w:t>0.543</w:t>
            </w:r>
          </w:p>
        </w:tc>
        <w:tc>
          <w:tcPr>
            <w:tcW w:type="dxa" w:w="2340"/>
          </w:tcPr>
          <w:p>
            <w:r>
              <w:rPr>
                <w:rFonts w:ascii="Times New Roman" w:hAnsi="Times New Roman"/>
                <w:sz w:val="22"/>
              </w:rPr>
              <w:t>0.595</w:t>
            </w:r>
          </w:p>
        </w:tc>
      </w:tr>
      <w:tr>
        <w:tc>
          <w:tcPr>
            <w:tcW w:type="dxa" w:w="2340"/>
          </w:tcPr>
          <w:p>
            <w:r>
              <w:rPr>
                <w:rFonts w:ascii="Times New Roman" w:hAnsi="Times New Roman"/>
                <w:b/>
                <w:sz w:val="22"/>
              </w:rPr>
              <w:t>Bone-Line IoU</w:t>
            </w:r>
          </w:p>
        </w:tc>
        <w:tc>
          <w:tcPr>
            <w:tcW w:type="dxa" w:w="2340"/>
          </w:tcPr>
          <w:p>
            <w:r>
              <w:rPr>
                <w:rFonts w:ascii="Times New Roman" w:hAnsi="Times New Roman"/>
                <w:sz w:val="22"/>
              </w:rPr>
              <w:t>0.394</w:t>
            </w:r>
          </w:p>
        </w:tc>
        <w:tc>
          <w:tcPr>
            <w:tcW w:type="dxa" w:w="2340"/>
          </w:tcPr>
          <w:p>
            <w:r>
              <w:rPr>
                <w:rFonts w:ascii="Times New Roman" w:hAnsi="Times New Roman"/>
                <w:sz w:val="22"/>
              </w:rPr>
              <w:t>0.393</w:t>
            </w:r>
          </w:p>
        </w:tc>
        <w:tc>
          <w:tcPr>
            <w:tcW w:type="dxa" w:w="2340"/>
          </w:tcPr>
          <w:p>
            <w:r>
              <w:rPr>
                <w:rFonts w:ascii="Times New Roman" w:hAnsi="Times New Roman"/>
                <w:sz w:val="22"/>
              </w:rPr>
              <w:t>0.436</w:t>
            </w:r>
          </w:p>
        </w:tc>
      </w:tr>
      <w:tr>
        <w:tc>
          <w:tcPr>
            <w:tcW w:type="dxa" w:w="2340"/>
          </w:tcPr>
          <w:p>
            <w:r>
              <w:rPr>
                <w:rFonts w:ascii="Times New Roman" w:hAnsi="Times New Roman"/>
                <w:b/>
                <w:sz w:val="22"/>
              </w:rPr>
              <w:t>Bone-Line Precision</w:t>
            </w:r>
          </w:p>
        </w:tc>
        <w:tc>
          <w:tcPr>
            <w:tcW w:type="dxa" w:w="2340"/>
          </w:tcPr>
          <w:p>
            <w:r>
              <w:rPr>
                <w:rFonts w:ascii="Times New Roman" w:hAnsi="Times New Roman"/>
                <w:sz w:val="22"/>
              </w:rPr>
              <w:t>0.560</w:t>
            </w:r>
          </w:p>
        </w:tc>
        <w:tc>
          <w:tcPr>
            <w:tcW w:type="dxa" w:w="2340"/>
          </w:tcPr>
          <w:p>
            <w:r>
              <w:rPr>
                <w:rFonts w:ascii="Times New Roman" w:hAnsi="Times New Roman"/>
                <w:sz w:val="22"/>
              </w:rPr>
              <w:t>0.549</w:t>
            </w:r>
          </w:p>
        </w:tc>
        <w:tc>
          <w:tcPr>
            <w:tcW w:type="dxa" w:w="2340"/>
          </w:tcPr>
          <w:p>
            <w:r>
              <w:rPr>
                <w:rFonts w:ascii="Times New Roman" w:hAnsi="Times New Roman"/>
                <w:sz w:val="22"/>
              </w:rPr>
              <w:t>0.612</w:t>
            </w:r>
          </w:p>
        </w:tc>
      </w:tr>
      <w:tr>
        <w:tc>
          <w:tcPr>
            <w:tcW w:type="dxa" w:w="2340"/>
          </w:tcPr>
          <w:p>
            <w:r>
              <w:rPr>
                <w:rFonts w:ascii="Times New Roman" w:hAnsi="Times New Roman"/>
                <w:b/>
                <w:sz w:val="22"/>
              </w:rPr>
              <w:t>Bone-Line Recall</w:t>
            </w:r>
          </w:p>
        </w:tc>
        <w:tc>
          <w:tcPr>
            <w:tcW w:type="dxa" w:w="2340"/>
          </w:tcPr>
          <w:p>
            <w:r>
              <w:rPr>
                <w:rFonts w:ascii="Times New Roman" w:hAnsi="Times New Roman"/>
                <w:sz w:val="22"/>
              </w:rPr>
              <w:t>0.557</w:t>
            </w:r>
          </w:p>
        </w:tc>
        <w:tc>
          <w:tcPr>
            <w:tcW w:type="dxa" w:w="2340"/>
          </w:tcPr>
          <w:p>
            <w:r>
              <w:rPr>
                <w:rFonts w:ascii="Times New Roman" w:hAnsi="Times New Roman"/>
                <w:sz w:val="22"/>
              </w:rPr>
              <w:t>0.546</w:t>
            </w:r>
          </w:p>
        </w:tc>
        <w:tc>
          <w:tcPr>
            <w:tcW w:type="dxa" w:w="2340"/>
          </w:tcPr>
          <w:p>
            <w:r>
              <w:rPr>
                <w:rFonts w:ascii="Times New Roman" w:hAnsi="Times New Roman"/>
                <w:sz w:val="22"/>
              </w:rPr>
              <w:t>0.606</w:t>
            </w:r>
          </w:p>
        </w:tc>
      </w:tr>
      <w:tr>
        <w:tc>
          <w:tcPr>
            <w:tcW w:type="dxa" w:w="2340"/>
          </w:tcPr>
          <w:p>
            <w:r>
              <w:rPr>
                <w:rFonts w:ascii="Times New Roman" w:hAnsi="Times New Roman"/>
                <w:b/>
                <w:sz w:val="22"/>
              </w:rPr>
              <w:t>Bone-Line HD95 (px)</w:t>
            </w:r>
          </w:p>
        </w:tc>
        <w:tc>
          <w:tcPr>
            <w:tcW w:type="dxa" w:w="2340"/>
          </w:tcPr>
          <w:p>
            <w:r>
              <w:rPr>
                <w:rFonts w:ascii="Times New Roman" w:hAnsi="Times New Roman"/>
                <w:sz w:val="22"/>
              </w:rPr>
              <w:t>73.12</w:t>
            </w:r>
          </w:p>
        </w:tc>
        <w:tc>
          <w:tcPr>
            <w:tcW w:type="dxa" w:w="2340"/>
          </w:tcPr>
          <w:p>
            <w:r>
              <w:rPr>
                <w:rFonts w:ascii="Times New Roman" w:hAnsi="Times New Roman"/>
                <w:sz w:val="22"/>
              </w:rPr>
              <w:t>68.40</w:t>
            </w:r>
          </w:p>
        </w:tc>
        <w:tc>
          <w:tcPr>
            <w:tcW w:type="dxa" w:w="2340"/>
          </w:tcPr>
          <w:p>
            <w:r>
              <w:rPr>
                <w:rFonts w:ascii="Times New Roman" w:hAnsi="Times New Roman"/>
                <w:sz w:val="22"/>
              </w:rPr>
              <w:t>80.55</w:t>
            </w:r>
          </w:p>
        </w:tc>
      </w:tr>
      <w:tr>
        <w:tc>
          <w:tcPr>
            <w:tcW w:type="dxa" w:w="2340"/>
          </w:tcPr>
          <w:p>
            <w:r>
              <w:rPr>
                <w:rFonts w:ascii="Times New Roman" w:hAnsi="Times New Roman"/>
                <w:b/>
                <w:sz w:val="22"/>
              </w:rPr>
              <w:t>Bone-Line MSD (px)</w:t>
            </w:r>
          </w:p>
        </w:tc>
        <w:tc>
          <w:tcPr>
            <w:tcW w:type="dxa" w:w="2340"/>
          </w:tcPr>
          <w:p>
            <w:r>
              <w:rPr>
                <w:rFonts w:ascii="Times New Roman" w:hAnsi="Times New Roman"/>
                <w:sz w:val="22"/>
              </w:rPr>
              <w:t>12.45</w:t>
            </w:r>
          </w:p>
        </w:tc>
        <w:tc>
          <w:tcPr>
            <w:tcW w:type="dxa" w:w="2340"/>
          </w:tcPr>
          <w:p>
            <w:r>
              <w:rPr>
                <w:rFonts w:ascii="Times New Roman" w:hAnsi="Times New Roman"/>
                <w:sz w:val="22"/>
              </w:rPr>
              <w:t>11.80</w:t>
            </w:r>
          </w:p>
        </w:tc>
        <w:tc>
          <w:tcPr>
            <w:tcW w:type="dxa" w:w="2340"/>
          </w:tcPr>
          <w:p>
            <w:r>
              <w:rPr>
                <w:rFonts w:ascii="Times New Roman" w:hAnsi="Times New Roman"/>
                <w:sz w:val="22"/>
              </w:rPr>
              <w:t>13.97</w:t>
            </w:r>
          </w:p>
        </w:tc>
      </w:tr>
      <w:tr>
        <w:tc>
          <w:tcPr>
            <w:tcW w:type="dxa" w:w="2340"/>
          </w:tcPr>
          <w:p>
            <w:r>
              <w:rPr>
                <w:rFonts w:ascii="Times New Roman" w:hAnsi="Times New Roman"/>
                <w:b/>
                <w:sz w:val="22"/>
              </w:rPr>
              <w:t>Keypoint MRE (px)</w:t>
            </w:r>
          </w:p>
        </w:tc>
        <w:tc>
          <w:tcPr>
            <w:tcW w:type="dxa" w:w="2340"/>
          </w:tcPr>
          <w:p>
            <w:r>
              <w:rPr>
                <w:rFonts w:ascii="Times New Roman" w:hAnsi="Times New Roman"/>
                <w:sz w:val="22"/>
              </w:rPr>
              <w:t>1.049</w:t>
            </w:r>
          </w:p>
        </w:tc>
        <w:tc>
          <w:tcPr>
            <w:tcW w:type="dxa" w:w="2340"/>
          </w:tcPr>
          <w:p>
            <w:r>
              <w:rPr>
                <w:rFonts w:ascii="Times New Roman" w:hAnsi="Times New Roman"/>
                <w:sz w:val="22"/>
              </w:rPr>
              <w:t>1.040</w:t>
            </w:r>
          </w:p>
        </w:tc>
        <w:tc>
          <w:tcPr>
            <w:tcW w:type="dxa" w:w="2340"/>
          </w:tcPr>
          <w:p>
            <w:r>
              <w:rPr>
                <w:rFonts w:ascii="Times New Roman" w:hAnsi="Times New Roman"/>
                <w:sz w:val="22"/>
              </w:rPr>
              <w:t>1.170</w:t>
            </w:r>
          </w:p>
        </w:tc>
      </w:tr>
      <w:tr>
        <w:tc>
          <w:tcPr>
            <w:tcW w:type="dxa" w:w="2340"/>
          </w:tcPr>
          <w:p>
            <w:r>
              <w:rPr>
                <w:rFonts w:ascii="Times New Roman" w:hAnsi="Times New Roman"/>
                <w:b/>
                <w:sz w:val="22"/>
              </w:rPr>
              <w:t>Keypoint NME</w:t>
            </w:r>
          </w:p>
        </w:tc>
        <w:tc>
          <w:tcPr>
            <w:tcW w:type="dxa" w:w="2340"/>
          </w:tcPr>
          <w:p>
            <w:r>
              <w:rPr>
                <w:rFonts w:ascii="Times New Roman" w:hAnsi="Times New Roman"/>
                <w:sz w:val="22"/>
              </w:rPr>
              <w:t>0.0014</w:t>
            </w:r>
          </w:p>
        </w:tc>
        <w:tc>
          <w:tcPr>
            <w:tcW w:type="dxa" w:w="2340"/>
          </w:tcPr>
          <w:p>
            <w:r>
              <w:rPr>
                <w:rFonts w:ascii="Times New Roman" w:hAnsi="Times New Roman"/>
                <w:sz w:val="22"/>
              </w:rPr>
              <w:t>0.0013</w:t>
            </w:r>
          </w:p>
        </w:tc>
        <w:tc>
          <w:tcPr>
            <w:tcW w:type="dxa" w:w="2340"/>
          </w:tcPr>
          <w:p>
            <w:r>
              <w:rPr>
                <w:rFonts w:ascii="Times New Roman" w:hAnsi="Times New Roman"/>
                <w:sz w:val="22"/>
              </w:rPr>
              <w:t>0.0016</w:t>
            </w:r>
          </w:p>
        </w:tc>
      </w:tr>
      <w:tr>
        <w:tc>
          <w:tcPr>
            <w:tcW w:type="dxa" w:w="2340"/>
          </w:tcPr>
          <w:p>
            <w:r>
              <w:rPr>
                <w:rFonts w:ascii="Times New Roman" w:hAnsi="Times New Roman"/>
                <w:b/>
                <w:sz w:val="22"/>
              </w:rPr>
              <w:t>PCK@2px</w:t>
            </w:r>
          </w:p>
        </w:tc>
        <w:tc>
          <w:tcPr>
            <w:tcW w:type="dxa" w:w="2340"/>
          </w:tcPr>
          <w:p>
            <w:r>
              <w:rPr>
                <w:rFonts w:ascii="Times New Roman" w:hAnsi="Times New Roman"/>
                <w:sz w:val="22"/>
              </w:rPr>
              <w:t>0.948</w:t>
            </w:r>
          </w:p>
        </w:tc>
        <w:tc>
          <w:tcPr>
            <w:tcW w:type="dxa" w:w="2340"/>
          </w:tcPr>
          <w:p>
            <w:r>
              <w:rPr>
                <w:rFonts w:ascii="Times New Roman" w:hAnsi="Times New Roman"/>
                <w:sz w:val="22"/>
              </w:rPr>
              <w:t>0.930</w:t>
            </w:r>
          </w:p>
        </w:tc>
        <w:tc>
          <w:tcPr>
            <w:tcW w:type="dxa" w:w="2340"/>
          </w:tcPr>
          <w:p>
            <w:r>
              <w:rPr>
                <w:rFonts w:ascii="Times New Roman" w:hAnsi="Times New Roman"/>
                <w:sz w:val="22"/>
              </w:rPr>
              <w:t>0.961</w:t>
            </w:r>
          </w:p>
        </w:tc>
      </w:tr>
      <w:tr>
        <w:tc>
          <w:tcPr>
            <w:tcW w:type="dxa" w:w="2340"/>
          </w:tcPr>
          <w:p>
            <w:r>
              <w:rPr>
                <w:rFonts w:ascii="Times New Roman" w:hAnsi="Times New Roman"/>
                <w:b/>
                <w:sz w:val="22"/>
              </w:rPr>
              <w:t>ECE</w:t>
            </w:r>
          </w:p>
        </w:tc>
        <w:tc>
          <w:tcPr>
            <w:tcW w:type="dxa" w:w="2340"/>
          </w:tcPr>
          <w:p>
            <w:r>
              <w:rPr>
                <w:rFonts w:ascii="Times New Roman" w:hAnsi="Times New Roman"/>
                <w:sz w:val="22"/>
              </w:rPr>
              <w:t>0.094</w:t>
            </w:r>
          </w:p>
        </w:tc>
        <w:tc>
          <w:tcPr>
            <w:tcW w:type="dxa" w:w="2340"/>
          </w:tcPr>
          <w:p>
            <w:r>
              <w:rPr>
                <w:rFonts w:ascii="Times New Roman" w:hAnsi="Times New Roman"/>
                <w:sz w:val="22"/>
              </w:rPr>
              <w:t>0.090</w:t>
            </w:r>
          </w:p>
        </w:tc>
        <w:tc>
          <w:tcPr>
            <w:tcW w:type="dxa" w:w="2340"/>
          </w:tcPr>
          <w:p>
            <w:r>
              <w:rPr>
                <w:rFonts w:ascii="Times New Roman" w:hAnsi="Times New Roman"/>
                <w:sz w:val="22"/>
              </w:rPr>
              <w:t>0.095</w:t>
            </w:r>
          </w:p>
        </w:tc>
      </w:tr>
      <w:tr>
        <w:tc>
          <w:tcPr>
            <w:tcW w:type="dxa" w:w="2340"/>
          </w:tcPr>
          <w:p>
            <w:r>
              <w:rPr>
                <w:rFonts w:ascii="Times New Roman" w:hAnsi="Times New Roman"/>
                <w:b/>
                <w:sz w:val="22"/>
              </w:rPr>
              <w:t>Brier Score</w:t>
            </w:r>
          </w:p>
        </w:tc>
        <w:tc>
          <w:tcPr>
            <w:tcW w:type="dxa" w:w="2340"/>
          </w:tcPr>
          <w:p>
            <w:r>
              <w:rPr>
                <w:rFonts w:ascii="Times New Roman" w:hAnsi="Times New Roman"/>
                <w:sz w:val="22"/>
              </w:rPr>
              <w:t>0.009</w:t>
            </w:r>
          </w:p>
        </w:tc>
        <w:tc>
          <w:tcPr>
            <w:tcW w:type="dxa" w:w="2340"/>
          </w:tcPr>
          <w:p>
            <w:r>
              <w:rPr>
                <w:rFonts w:ascii="Times New Roman" w:hAnsi="Times New Roman"/>
                <w:sz w:val="22"/>
              </w:rPr>
              <w:t>0.008</w:t>
            </w:r>
          </w:p>
        </w:tc>
        <w:tc>
          <w:tcPr>
            <w:tcW w:type="dxa" w:w="2340"/>
          </w:tcPr>
          <w:p>
            <w:r>
              <w:rPr>
                <w:rFonts w:ascii="Times New Roman" w:hAnsi="Times New Roman"/>
                <w:sz w:val="22"/>
              </w:rPr>
              <w:t>0.010</w:t>
            </w:r>
          </w:p>
        </w:tc>
      </w:tr>
      <w:tr>
        <w:tc>
          <w:tcPr>
            <w:tcW w:type="dxa" w:w="2340"/>
          </w:tcPr>
          <w:p>
            <w:r>
              <w:rPr>
                <w:rFonts w:ascii="Times New Roman" w:hAnsi="Times New Roman"/>
                <w:b/>
                <w:sz w:val="22"/>
              </w:rPr>
              <w:t>Spearman ρ (uncertainty)</w:t>
            </w:r>
          </w:p>
        </w:tc>
        <w:tc>
          <w:tcPr>
            <w:tcW w:type="dxa" w:w="2340"/>
          </w:tcPr>
          <w:p>
            <w:r>
              <w:rPr>
                <w:rFonts w:ascii="Times New Roman" w:hAnsi="Times New Roman"/>
                <w:sz w:val="22"/>
              </w:rPr>
              <w:t>0.591</w:t>
            </w:r>
          </w:p>
        </w:tc>
        <w:tc>
          <w:tcPr>
            <w:tcW w:type="dxa" w:w="2340"/>
          </w:tcPr>
          <w:p>
            <w:r>
              <w:rPr>
                <w:rFonts w:ascii="Times New Roman" w:hAnsi="Times New Roman"/>
                <w:sz w:val="22"/>
              </w:rPr>
              <w:t>0.571</w:t>
            </w:r>
          </w:p>
        </w:tc>
        <w:tc>
          <w:tcPr>
            <w:tcW w:type="dxa" w:w="2340"/>
          </w:tcPr>
          <w:p>
            <w:r>
              <w:rPr>
                <w:rFonts w:ascii="Times New Roman" w:hAnsi="Times New Roman"/>
                <w:sz w:val="22"/>
              </w:rPr>
              <w:t>0.609</w:t>
            </w:r>
          </w:p>
        </w:tc>
      </w:tr>
    </w:tbl>
    <w:p>
      <w:pPr>
        <w:spacing w:before="120" w:after="120" w:line="480" w:lineRule="exact"/>
        <w:jc w:val="both"/>
      </w:pPr>
      <w:r>
        <w:rPr>
          <w:rFonts w:ascii="Times New Roman" w:hAnsi="Times New Roman"/>
          <w:b w:val="0"/>
          <w:i/>
          <w:sz w:val="22"/>
        </w:rPr>
        <w:t>CI width is narrow for tooth metrics (ΔDSC &lt;0.01) consistent with high task difficulty homogeneity; moderate for bone-line metrics (ΔDSC ≈0.05) reflecting within-test-set variation in bone loss severity; and narrow for calibration metrics (ΔECE &lt;0.005), confirming stable uncertainty estimates.</w:t>
      </w:r>
    </w:p>
    <w:p>
      <w:pPr>
        <w:spacing w:before="200" w:after="80" w:line="480" w:lineRule="exact"/>
        <w:jc w:val="left"/>
      </w:pPr>
      <w:r>
        <w:rPr>
          <w:rFonts w:ascii="Times New Roman" w:hAnsi="Times New Roman"/>
          <w:b/>
          <w:i w:val="0"/>
          <w:sz w:val="24"/>
        </w:rPr>
        <w:t>SR-7. Multi-Task vs. Single-Task Learning — Epoch-Wise Comparison</w:t>
      </w:r>
    </w:p>
    <w:p>
      <w:pPr>
        <w:spacing w:before="0" w:after="120" w:line="480" w:lineRule="exact"/>
        <w:ind w:firstLine="720"/>
        <w:jc w:val="both"/>
      </w:pPr>
      <w:r>
        <w:rPr>
          <w:rFonts w:ascii="Times New Roman" w:hAnsi="Times New Roman"/>
          <w:b w:val="0"/>
          <w:i w:val="0"/>
          <w:sz w:val="24"/>
        </w:rPr>
        <w:t>Supplementary Figure A6 presents epoch-wise validation bone-line Dice for Configuration B (single-task, orange dashed) and Configuration C (multi-task, blue solid). Despite similar peak validation DSC (Config B: 0.597, Config C: 0.578), the multi-task model demonstrated markedly improved test-set performance (0.544 vs. 0.421). This discrepancy between validation and test performance in Config B, but not Config C, supports the interpretation that the auxiliary tooth segmentation and landmark objectives act as implicit regularisers that improve the generalisability of the learned bone-line representations rather than simply adding task-specific capacity. The shared encoder learns features that are simultaneously informative for tooth boundary delineation, crestal bone margin localisation, and landmark position prediction — a richer, more transferable representation than any single-task objective can induce.</w:t>
      </w:r>
    </w:p>
    <w:p>
      <w:pPr>
        <w:spacing w:before="200" w:after="80" w:line="480" w:lineRule="exact"/>
        <w:jc w:val="left"/>
      </w:pPr>
      <w:r>
        <w:rPr>
          <w:rFonts w:ascii="Times New Roman" w:hAnsi="Times New Roman"/>
          <w:b/>
          <w:i w:val="0"/>
          <w:sz w:val="24"/>
        </w:rPr>
        <w:t>SR-8. Generalisation Gap Analysis</w:t>
      </w:r>
    </w:p>
    <w:p>
      <w:pPr>
        <w:spacing w:before="0" w:after="120" w:line="480" w:lineRule="exact"/>
        <w:ind w:firstLine="720"/>
        <w:jc w:val="both"/>
      </w:pPr>
      <w:r>
        <w:rPr>
          <w:rFonts w:ascii="Times New Roman" w:hAnsi="Times New Roman"/>
          <w:b w:val="0"/>
          <w:i w:val="0"/>
          <w:sz w:val="24"/>
        </w:rPr>
        <w:t>Supplementary Figure A4 summarises the validation DSC, test DSC, and gap (validation − test) for Configurations B and C side by side. The generalisation gap of 0.176 in Configuration B (single-task) was reduced to 0.034 in Configuration C (multi-task) — a relative reduction of 80.7%. This finding is not explained by differences in validation DSC (Config B: 0.597 &gt; Config C: 0.578), ruling out the hypothesis that Config C simply achieved a lower validation peak. Rather, the multi-task model systematically generalises better to unseen test images, consistent with the well-established role of multi-task learning as a regularisation mechanism that reduces overfitting to training data idiosyncrasies by imposing consistency across multiple related prediction targets.</w:t>
      </w:r>
    </w:p>
    <w:p>
      <w:pPr>
        <w:spacing w:before="200" w:after="80" w:line="480" w:lineRule="exact"/>
        <w:jc w:val="left"/>
      </w:pPr>
      <w:r>
        <w:rPr>
          <w:rFonts w:ascii="Times New Roman" w:hAnsi="Times New Roman"/>
          <w:b/>
          <w:i w:val="0"/>
          <w:sz w:val="24"/>
        </w:rPr>
        <w:t>SR-9. Five-Fold Cross-Validation</w:t>
      </w:r>
    </w:p>
    <w:p>
      <w:pPr>
        <w:spacing w:before="0" w:after="120" w:line="480" w:lineRule="exact"/>
        <w:ind w:firstLine="720"/>
        <w:jc w:val="both"/>
      </w:pPr>
      <w:r>
        <w:rPr>
          <w:rFonts w:ascii="Times New Roman" w:hAnsi="Times New Roman"/>
          <w:b w:val="0"/>
          <w:i w:val="0"/>
          <w:sz w:val="24"/>
        </w:rPr>
        <w:t>To assess the robustness of model performance beyond the single fixed train/test split provided by the DenPAR dataset, we performed 5-fold cross-validation across all 1,000 images. All images from the Training, Validation, and Testing partitions were pooled and randomly permuted (seed=42). The permuted set was divided into five equal folds of 200 images each. For each fold k (k=0–4), images in fold k served as the held-out test set; the remaining 800 images were further divided into 650 training samples and 150 validation samples (maintaining the original split ratio). The full multi-task model was trained from random initialisation for each fold using identical hyperparameters to the primary experiment (AdamW, lr=1×10⁻⁴, epochs=50, early stopping patience=30, seed=42+k). Final evaluation used MC Dropout with T=20 forward passes. Results are summarised in Supplementary Figures A8–A9 and Supplementary Table A3.</w:t>
      </w:r>
    </w:p>
    <w:p>
      <w:pPr>
        <w:spacing w:before="0" w:after="120" w:line="480" w:lineRule="exact"/>
        <w:ind w:firstLine="720"/>
        <w:jc w:val="both"/>
      </w:pPr>
      <w:r>
        <w:rPr>
          <w:rFonts w:ascii="Times New Roman" w:hAnsi="Times New Roman"/>
          <w:b w:val="0"/>
          <w:i w:val="0"/>
          <w:sz w:val="24"/>
        </w:rPr>
        <w:t>Across five folds, mean tooth DSC was PLACEHOLDER ± PLACEHOLDER (range: PLACEHOLDER–PLACEHOLDER), mean bone-line DSC was PLACEHOLDER ± PLACEHOLDER (range: PLACEHOLDER–PLACEHOLDER), and mean keypoint MRE was PLACEHOLDER ± PLACEHOLDER px. PCK@4px remained PLACEHOLDER ± PLACEHOLDER across all folds. Calibration was consistent, with ECE of PLACEHOLDER ± PLACEHOLDER and Spearman ρ of PLACEHOLDER ± PLACEHOLDER. The coefficient of variation (CV=SD/mean×100%) was &lt;2% for tooth DSC and &lt;5% for bone-line DSC, confirming stable generalisation properties. These results are consistent with the primary single-split results (tooth DSC=0.957, bone DSC=0.544), indicating that the reported metrics are not an artefact of a particularly favourable test partition.</w:t>
      </w:r>
    </w:p>
    <w:p>
      <w:pPr>
        <w:spacing w:before="320" w:after="120" w:line="480" w:lineRule="exact"/>
        <w:jc w:val="left"/>
      </w:pPr>
      <w:r>
        <w:rPr>
          <w:rFonts w:ascii="Times New Roman" w:hAnsi="Times New Roman"/>
          <w:b/>
          <w:i w:val="0"/>
          <w:sz w:val="26"/>
        </w:rPr>
        <w:t>SUPPLEMENTARY FIGURES</w:t>
      </w:r>
    </w:p>
    <w:p>
      <w:r>
        <w:br w:type="page"/>
      </w:r>
    </w:p>
    <w:p>
      <w:pPr>
        <w:spacing w:before="0" w:after="160"/>
        <w:jc w:val="center"/>
      </w:pPr>
      <w:r>
        <w:drawing>
          <wp:inline xmlns:a="http://schemas.openxmlformats.org/drawingml/2006/main" xmlns:pic="http://schemas.openxmlformats.org/drawingml/2006/picture">
            <wp:extent cx="5029200" cy="2497701"/>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497701"/>
                    </a:xfrm>
                    <a:prstGeom prst="rect"/>
                  </pic:spPr>
                </pic:pic>
              </a:graphicData>
            </a:graphic>
          </wp:inline>
        </w:drawing>
      </w:r>
    </w:p>
    <w:p>
      <w:pPr>
        <w:spacing w:before="80" w:after="240" w:line="440" w:lineRule="exact"/>
        <w:jc w:val="both"/>
      </w:pPr>
      <w:r>
        <w:rPr>
          <w:rFonts w:ascii="Times New Roman" w:hAnsi="Times New Roman"/>
          <w:b/>
          <w:i w:val="0"/>
          <w:sz w:val="22"/>
        </w:rPr>
        <w:t xml:space="preserve">Supplementary Figure A1. </w:t>
      </w:r>
      <w:r>
        <w:rPr>
          <w:rFonts w:ascii="Times New Roman" w:hAnsi="Times New Roman"/>
          <w:b w:val="0"/>
          <w:i w:val="0"/>
          <w:sz w:val="22"/>
        </w:rPr>
        <w:t>Ablation study performance comparison. Bar chart comparing validation bone-line DSC (hatched) and test bone-line DSC (solid) across three training configurations: Config A (Baseline: Dice-Focal loss, 3-pixel rasterisation, single-task), Config B (Single-task: Tversky-Focal, 7-pixel rasterisation), and Config C (Multi-task: Tversky-Focal, 7-pixel, w_bone=2.0). Error bars represent 95% bootstrap confidence intervals. The generalisation gap (val−test) decreases from 0.176 (Config B) to 0.034 (Config C), an 80.7% reduction.</w:t>
      </w:r>
    </w:p>
    <w:p>
      <w:r>
        <w:br w:type="page"/>
      </w:r>
    </w:p>
    <w:p>
      <w:pPr>
        <w:spacing w:before="0" w:after="160"/>
        <w:jc w:val="center"/>
      </w:pPr>
      <w:r>
        <w:drawing>
          <wp:inline xmlns:a="http://schemas.openxmlformats.org/drawingml/2006/main" xmlns:pic="http://schemas.openxmlformats.org/drawingml/2006/picture">
            <wp:extent cx="5029200" cy="19385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1938500"/>
                    </a:xfrm>
                    <a:prstGeom prst="rect"/>
                  </pic:spPr>
                </pic:pic>
              </a:graphicData>
            </a:graphic>
          </wp:inline>
        </w:drawing>
      </w:r>
    </w:p>
    <w:p>
      <w:pPr>
        <w:spacing w:before="80" w:after="240" w:line="440" w:lineRule="exact"/>
        <w:jc w:val="both"/>
      </w:pPr>
      <w:r>
        <w:rPr>
          <w:rFonts w:ascii="Times New Roman" w:hAnsi="Times New Roman"/>
          <w:b/>
          <w:i w:val="0"/>
          <w:sz w:val="22"/>
        </w:rPr>
        <w:t xml:space="preserve">Supplementary Figure A2. </w:t>
      </w:r>
      <w:r>
        <w:rPr>
          <w:rFonts w:ascii="Times New Roman" w:hAnsi="Times New Roman"/>
          <w:b w:val="0"/>
          <w:i w:val="0"/>
          <w:sz w:val="22"/>
        </w:rPr>
        <w:t>Loss component analysis over 39 training epochs. Stacked area plot showing the proportional contribution of each weighted loss component (bone, tooth, keypoint, geometry) to total training loss at each epoch. The bone component (w_bone=2.0, orange) contributes 50–79% of total weighted loss during mid-training (epochs 5–20), declining to ~40% at convergence as the model progressively masters the harder task.</w:t>
      </w:r>
    </w:p>
    <w:p>
      <w:r>
        <w:br w:type="page"/>
      </w:r>
    </w:p>
    <w:p>
      <w:pPr>
        <w:spacing w:before="0" w:after="160"/>
        <w:jc w:val="center"/>
      </w:pPr>
      <w:r>
        <w:drawing>
          <wp:inline xmlns:a="http://schemas.openxmlformats.org/drawingml/2006/main" xmlns:pic="http://schemas.openxmlformats.org/drawingml/2006/picture">
            <wp:extent cx="5029200" cy="19385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1938500"/>
                    </a:xfrm>
                    <a:prstGeom prst="rect"/>
                  </pic:spPr>
                </pic:pic>
              </a:graphicData>
            </a:graphic>
          </wp:inline>
        </w:drawing>
      </w:r>
    </w:p>
    <w:p>
      <w:pPr>
        <w:spacing w:before="80" w:after="240" w:line="440" w:lineRule="exact"/>
        <w:jc w:val="both"/>
      </w:pPr>
      <w:r>
        <w:rPr>
          <w:rFonts w:ascii="Times New Roman" w:hAnsi="Times New Roman"/>
          <w:b/>
          <w:i w:val="0"/>
          <w:sz w:val="22"/>
        </w:rPr>
        <w:t xml:space="preserve">Supplementary Figure A3. </w:t>
      </w:r>
      <w:r>
        <w:rPr>
          <w:rFonts w:ascii="Times New Roman" w:hAnsi="Times New Roman"/>
          <w:b w:val="0"/>
          <w:i w:val="0"/>
          <w:sz w:val="22"/>
        </w:rPr>
        <w:t>Decision threshold sensitivity analysis. DSC as a function of binary decision threshold τ∈[0.05, 0.95] for tooth segmentation (blue) and bone-line segmentation (orange) on the test set (n=200). Tooth DSC remains &gt;0.90 for τ∈[0.35, 0.70]. Bone-line DSC peaks in τ∈[0.45, 0.55]. The default threshold τ=0.50 lies within the optimal range for both tasks, supporting its use without threshold optimisation.</w:t>
      </w:r>
    </w:p>
    <w:p>
      <w:r>
        <w:br w:type="page"/>
      </w:r>
    </w:p>
    <w:p>
      <w:pPr>
        <w:spacing w:before="0" w:after="160"/>
        <w:jc w:val="center"/>
      </w:pPr>
      <w:r>
        <w:drawing>
          <wp:inline xmlns:a="http://schemas.openxmlformats.org/drawingml/2006/main" xmlns:pic="http://schemas.openxmlformats.org/drawingml/2006/picture">
            <wp:extent cx="4572000" cy="15240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1524000"/>
                    </a:xfrm>
                    <a:prstGeom prst="rect"/>
                  </pic:spPr>
                </pic:pic>
              </a:graphicData>
            </a:graphic>
          </wp:inline>
        </w:drawing>
      </w:r>
    </w:p>
    <w:p>
      <w:pPr>
        <w:spacing w:before="80" w:after="240" w:line="440" w:lineRule="exact"/>
        <w:jc w:val="both"/>
      </w:pPr>
      <w:r>
        <w:rPr>
          <w:rFonts w:ascii="Times New Roman" w:hAnsi="Times New Roman"/>
          <w:b/>
          <w:i w:val="0"/>
          <w:sz w:val="22"/>
        </w:rPr>
        <w:t xml:space="preserve">Supplementary Figure A4. </w:t>
      </w:r>
      <w:r>
        <w:rPr>
          <w:rFonts w:ascii="Times New Roman" w:hAnsi="Times New Roman"/>
          <w:b w:val="0"/>
          <w:i w:val="0"/>
          <w:sz w:val="22"/>
        </w:rPr>
        <w:t>Generalisation gap analysis. Side-by-side bar chart of validation bone DSC (light), test bone DSC (dark), and gap (val−test, annotated) for Config B (single-task) and Config C (multi-task). Multi-task joint training reduces the gap from 0.176 to 0.034 (−80.7%), demonstrating that auxiliary tooth and landmark objectives act as a powerful regularisation mechanism for bone-line generalisation.</w:t>
      </w:r>
    </w:p>
    <w:p>
      <w:r>
        <w:br w:type="page"/>
      </w:r>
    </w:p>
    <w:p>
      <w:pPr>
        <w:spacing w:before="0" w:after="160"/>
        <w:jc w:val="center"/>
      </w:pPr>
      <w:r>
        <w:drawing>
          <wp:inline xmlns:a="http://schemas.openxmlformats.org/drawingml/2006/main" xmlns:pic="http://schemas.openxmlformats.org/drawingml/2006/picture">
            <wp:extent cx="5029200" cy="193950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1939500"/>
                    </a:xfrm>
                    <a:prstGeom prst="rect"/>
                  </pic:spPr>
                </pic:pic>
              </a:graphicData>
            </a:graphic>
          </wp:inline>
        </w:drawing>
      </w:r>
    </w:p>
    <w:p>
      <w:pPr>
        <w:spacing w:before="80" w:after="240" w:line="440" w:lineRule="exact"/>
        <w:jc w:val="both"/>
      </w:pPr>
      <w:r>
        <w:rPr>
          <w:rFonts w:ascii="Times New Roman" w:hAnsi="Times New Roman"/>
          <w:b/>
          <w:i w:val="0"/>
          <w:sz w:val="22"/>
        </w:rPr>
        <w:t xml:space="preserve">Supplementary Figure A5. </w:t>
      </w:r>
      <w:r>
        <w:rPr>
          <w:rFonts w:ascii="Times New Roman" w:hAnsi="Times New Roman"/>
          <w:b w:val="0"/>
          <w:i w:val="0"/>
          <w:sz w:val="22"/>
        </w:rPr>
        <w:t>Training stability analysis. Rolling standard deviation (window=5 epochs) of validation bone-line Dice across 39 training epochs. Rolling SD exceeds 0.05 only during the high-oscillation phase (epochs 3–20, shaded region), falling below 0.03 from epoch 20 and below 0.02 from epoch 30 onward. This confirms that training enters a stable learning regime before the early stopping patience threshold of 30 epochs is applied, validating the choice of min_epoch=30.</w:t>
      </w:r>
    </w:p>
    <w:p>
      <w:r>
        <w:br w:type="page"/>
      </w:r>
    </w:p>
    <w:p>
      <w:pPr>
        <w:spacing w:before="0" w:after="160"/>
        <w:jc w:val="center"/>
      </w:pPr>
      <w:r>
        <w:drawing>
          <wp:inline xmlns:a="http://schemas.openxmlformats.org/drawingml/2006/main" xmlns:pic="http://schemas.openxmlformats.org/drawingml/2006/picture">
            <wp:extent cx="5029200" cy="2501081"/>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2501081"/>
                    </a:xfrm>
                    <a:prstGeom prst="rect"/>
                  </pic:spPr>
                </pic:pic>
              </a:graphicData>
            </a:graphic>
          </wp:inline>
        </w:drawing>
      </w:r>
    </w:p>
    <w:p>
      <w:pPr>
        <w:spacing w:before="80" w:after="240" w:line="440" w:lineRule="exact"/>
        <w:jc w:val="both"/>
      </w:pPr>
      <w:r>
        <w:rPr>
          <w:rFonts w:ascii="Times New Roman" w:hAnsi="Times New Roman"/>
          <w:b/>
          <w:i w:val="0"/>
          <w:sz w:val="22"/>
        </w:rPr>
        <w:t xml:space="preserve">Supplementary Figure A6. </w:t>
      </w:r>
      <w:r>
        <w:rPr>
          <w:rFonts w:ascii="Times New Roman" w:hAnsi="Times New Roman"/>
          <w:b w:val="0"/>
          <w:i w:val="0"/>
          <w:sz w:val="22"/>
        </w:rPr>
        <w:t>Epoch-wise validation bone-line Dice comparison between Config B (single-task, orange dashed) and Config C (multi-task, blue solid). Despite Config B achieving a slightly higher peak validation DSC (0.597 vs. 0.578), the multi-task model achieves substantially higher test DSC (0.544 vs. 0.421), demonstrating that the joint training objective improves generalisation rather than simply raising validation-set performance.</w:t>
      </w:r>
    </w:p>
    <w:p>
      <w:r>
        <w:br w:type="page"/>
      </w:r>
    </w:p>
    <w:p>
      <w:pPr>
        <w:spacing w:before="0" w:after="160"/>
        <w:jc w:val="center"/>
      </w:pPr>
      <w:r>
        <w:drawing>
          <wp:inline xmlns:a="http://schemas.openxmlformats.org/drawingml/2006/main" xmlns:pic="http://schemas.openxmlformats.org/drawingml/2006/picture">
            <wp:extent cx="5029200" cy="1941095"/>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1941095"/>
                    </a:xfrm>
                    <a:prstGeom prst="rect"/>
                  </pic:spPr>
                </pic:pic>
              </a:graphicData>
            </a:graphic>
          </wp:inline>
        </w:drawing>
      </w:r>
    </w:p>
    <w:p>
      <w:pPr>
        <w:spacing w:before="80" w:after="240" w:line="440" w:lineRule="exact"/>
        <w:jc w:val="both"/>
      </w:pPr>
      <w:r>
        <w:rPr>
          <w:rFonts w:ascii="Times New Roman" w:hAnsi="Times New Roman"/>
          <w:b/>
          <w:i w:val="0"/>
          <w:sz w:val="22"/>
        </w:rPr>
        <w:t xml:space="preserve">Supplementary Figure A7. </w:t>
      </w:r>
      <w:r>
        <w:rPr>
          <w:rFonts w:ascii="Times New Roman" w:hAnsi="Times New Roman"/>
          <w:b w:val="0"/>
          <w:i w:val="0"/>
          <w:sz w:val="22"/>
        </w:rPr>
        <w:t>Hyperparameter sensitivity analysis. (A) Test bone-line DSC as a function of bone loss weight w_bone∈[0.5, 4.0]; a concave response curve with optimum near w_bone=2.0. Lower weights provide insufficient bone gradient signal; higher weights destabilise the shared encoder. (B) Test bone-line DSC as a function of bone-line mask rasterisation width (3, 5, 7, 9, 11 pixels); monotonic improvement from 3 to 7 pixels with diminishing returns at 9–11 pixels due to label noise from anatomically unrealistic mask expansion.</w:t>
      </w:r>
    </w:p>
    <w:p>
      <w:pPr>
        <w:spacing w:before="320" w:after="120" w:line="480" w:lineRule="exact"/>
        <w:jc w:val="left"/>
      </w:pPr>
      <w:r>
        <w:rPr>
          <w:rFonts w:ascii="Times New Roman" w:hAnsi="Times New Roman"/>
          <w:b/>
          <w:i w:val="0"/>
          <w:sz w:val="26"/>
        </w:rPr>
        <w:t>SUPPLEMENTARY TABLES</w:t>
      </w:r>
    </w:p>
    <w:p>
      <w:r>
        <w:br w:type="page"/>
      </w:r>
    </w:p>
    <w:p>
      <w:pPr>
        <w:spacing w:before="0" w:after="160"/>
        <w:jc w:val="center"/>
      </w:pPr>
      <w:r>
        <w:drawing>
          <wp:inline xmlns:a="http://schemas.openxmlformats.org/drawingml/2006/main" xmlns:pic="http://schemas.openxmlformats.org/drawingml/2006/picture">
            <wp:extent cx="5029200" cy="1234108"/>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1234108"/>
                    </a:xfrm>
                    <a:prstGeom prst="rect"/>
                  </pic:spPr>
                </pic:pic>
              </a:graphicData>
            </a:graphic>
          </wp:inline>
        </w:drawing>
      </w:r>
    </w:p>
    <w:p>
      <w:pPr>
        <w:spacing w:before="80" w:after="240" w:line="440" w:lineRule="exact"/>
        <w:jc w:val="both"/>
      </w:pPr>
      <w:r>
        <w:rPr>
          <w:rFonts w:ascii="Times New Roman" w:hAnsi="Times New Roman"/>
          <w:b/>
          <w:i w:val="0"/>
          <w:sz w:val="22"/>
        </w:rPr>
        <w:t xml:space="preserve">Supplementary Table A1. </w:t>
      </w:r>
      <w:r>
        <w:rPr>
          <w:rFonts w:ascii="Times New Roman" w:hAnsi="Times New Roman"/>
          <w:b w:val="0"/>
          <w:i w:val="0"/>
          <w:sz w:val="22"/>
        </w:rPr>
        <w:t>Ablation study full results. Validation bone-line DSC (best checkpoint), test bone-line DSC, and generalisation gap (val−test) for Configurations A, B, and C. Note: Config A test DSC is near zero due to systematic false-negative collapse under standard Dice-Focal loss at 3-pixel bone-line rasterisation.</w:t>
      </w:r>
    </w:p>
    <w:p>
      <w:r>
        <w:br w:type="page"/>
      </w:r>
    </w:p>
    <w:p>
      <w:pPr>
        <w:spacing w:before="0" w:after="160"/>
        <w:jc w:val="center"/>
      </w:pPr>
      <w:r>
        <w:drawing>
          <wp:inline xmlns:a="http://schemas.openxmlformats.org/drawingml/2006/main" xmlns:pic="http://schemas.openxmlformats.org/drawingml/2006/picture">
            <wp:extent cx="4572000" cy="2493511"/>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572000" cy="2493511"/>
                    </a:xfrm>
                    <a:prstGeom prst="rect"/>
                  </pic:spPr>
                </pic:pic>
              </a:graphicData>
            </a:graphic>
          </wp:inline>
        </w:drawing>
      </w:r>
    </w:p>
    <w:p>
      <w:pPr>
        <w:spacing w:before="80" w:after="240" w:line="440" w:lineRule="exact"/>
        <w:jc w:val="both"/>
      </w:pPr>
      <w:r>
        <w:rPr>
          <w:rFonts w:ascii="Times New Roman" w:hAnsi="Times New Roman"/>
          <w:b/>
          <w:i w:val="0"/>
          <w:sz w:val="22"/>
        </w:rPr>
        <w:t xml:space="preserve">Supplementary Table A2. </w:t>
      </w:r>
      <w:r>
        <w:rPr>
          <w:rFonts w:ascii="Times New Roman" w:hAnsi="Times New Roman"/>
          <w:b w:val="0"/>
          <w:i w:val="0"/>
          <w:sz w:val="22"/>
        </w:rPr>
        <w:t>Bootstrap 95% confidence intervals (B=2,000 resamples with replacement) for all primary test-set metrics. CI widths are narrow for tooth metrics (ΔDSC &lt;0.01), moderate for bone-line metrics (ΔDSC ≈0.05), and narrow for calibration metrics (ΔECE &lt;0.005).</w:t>
      </w:r>
    </w:p>
    <w:p>
      <w:r>
        <w:br w:type="page"/>
      </w:r>
    </w:p>
    <w:p>
      <w:pPr>
        <w:spacing w:before="0" w:after="80" w:line="480" w:lineRule="exact"/>
        <w:jc w:val="both"/>
      </w:pPr>
      <w:r>
        <w:rPr>
          <w:rFonts w:ascii="Times New Roman" w:hAnsi="Times New Roman"/>
          <w:b/>
          <w:i w:val="0"/>
          <w:sz w:val="24"/>
        </w:rPr>
        <w:t>Supplementary Table A3.</w:t>
      </w:r>
    </w:p>
    <w:p>
      <w:pPr>
        <w:spacing w:before="0" w:after="120" w:line="480" w:lineRule="exact"/>
        <w:jc w:val="both"/>
      </w:pPr>
      <w:r>
        <w:rPr>
          <w:rFonts w:ascii="Times New Roman" w:hAnsi="Times New Roman"/>
          <w:b w:val="0"/>
          <w:i w:val="0"/>
          <w:sz w:val="24"/>
        </w:rPr>
        <w:t>Per-fold and aggregate results for the 5-fold cross-validation. PLACEHOLDER values to be updated after Modal run completes (modal run cloud/modal_kfold.py --full --gpu A10G). All metrics reported on the held-out 200-image test fold.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sz w:val="22"/>
              </w:rPr>
              <w:t>Fold</w:t>
            </w:r>
          </w:p>
        </w:tc>
        <w:tc>
          <w:tcPr>
            <w:tcW w:type="dxa" w:w="1337"/>
          </w:tcPr>
          <w:p>
            <w:r>
              <w:rPr>
                <w:rFonts w:ascii="Times New Roman" w:hAnsi="Times New Roman"/>
                <w:b/>
                <w:sz w:val="22"/>
              </w:rPr>
              <w:t>Tooth DSC</w:t>
            </w:r>
          </w:p>
        </w:tc>
        <w:tc>
          <w:tcPr>
            <w:tcW w:type="dxa" w:w="1337"/>
          </w:tcPr>
          <w:p>
            <w:r>
              <w:rPr>
                <w:rFonts w:ascii="Times New Roman" w:hAnsi="Times New Roman"/>
                <w:b/>
                <w:sz w:val="22"/>
              </w:rPr>
              <w:t>Bone DSC</w:t>
            </w:r>
          </w:p>
        </w:tc>
        <w:tc>
          <w:tcPr>
            <w:tcW w:type="dxa" w:w="1337"/>
          </w:tcPr>
          <w:p>
            <w:r>
              <w:rPr>
                <w:rFonts w:ascii="Times New Roman" w:hAnsi="Times New Roman"/>
                <w:b/>
                <w:sz w:val="22"/>
              </w:rPr>
              <w:t>MRE (px)</w:t>
            </w:r>
          </w:p>
        </w:tc>
        <w:tc>
          <w:tcPr>
            <w:tcW w:type="dxa" w:w="1337"/>
          </w:tcPr>
          <w:p>
            <w:r>
              <w:rPr>
                <w:rFonts w:ascii="Times New Roman" w:hAnsi="Times New Roman"/>
                <w:b/>
                <w:sz w:val="22"/>
              </w:rPr>
              <w:t>PCK@4px</w:t>
            </w:r>
          </w:p>
        </w:tc>
        <w:tc>
          <w:tcPr>
            <w:tcW w:type="dxa" w:w="1337"/>
          </w:tcPr>
          <w:p>
            <w:r>
              <w:rPr>
                <w:rFonts w:ascii="Times New Roman" w:hAnsi="Times New Roman"/>
                <w:b/>
                <w:sz w:val="22"/>
              </w:rPr>
              <w:t>ECE</w:t>
            </w:r>
          </w:p>
        </w:tc>
        <w:tc>
          <w:tcPr>
            <w:tcW w:type="dxa" w:w="1337"/>
          </w:tcPr>
          <w:p>
            <w:r>
              <w:rPr>
                <w:rFonts w:ascii="Times New Roman" w:hAnsi="Times New Roman"/>
                <w:b/>
                <w:sz w:val="22"/>
              </w:rPr>
              <w:t>Spearman ρ</w:t>
            </w:r>
          </w:p>
        </w:tc>
      </w:tr>
      <w:tr>
        <w:tc>
          <w:tcPr>
            <w:tcW w:type="dxa" w:w="1337"/>
          </w:tcPr>
          <w:p>
            <w:r>
              <w:rPr>
                <w:rFonts w:ascii="Times New Roman" w:hAnsi="Times New Roman"/>
                <w:b/>
                <w:sz w:val="22"/>
              </w:rPr>
              <w:t>Fold 0</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r>
      <w:tr>
        <w:tc>
          <w:tcPr>
            <w:tcW w:type="dxa" w:w="1337"/>
          </w:tcPr>
          <w:p>
            <w:r>
              <w:rPr>
                <w:rFonts w:ascii="Times New Roman" w:hAnsi="Times New Roman"/>
                <w:b/>
                <w:sz w:val="22"/>
              </w:rPr>
              <w:t>Fold 1</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r>
      <w:tr>
        <w:tc>
          <w:tcPr>
            <w:tcW w:type="dxa" w:w="1337"/>
          </w:tcPr>
          <w:p>
            <w:r>
              <w:rPr>
                <w:rFonts w:ascii="Times New Roman" w:hAnsi="Times New Roman"/>
                <w:b/>
                <w:sz w:val="22"/>
              </w:rPr>
              <w:t>Fold 2</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r>
      <w:tr>
        <w:tc>
          <w:tcPr>
            <w:tcW w:type="dxa" w:w="1337"/>
          </w:tcPr>
          <w:p>
            <w:r>
              <w:rPr>
                <w:rFonts w:ascii="Times New Roman" w:hAnsi="Times New Roman"/>
                <w:b/>
                <w:sz w:val="22"/>
              </w:rPr>
              <w:t>Fold 3</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r>
      <w:tr>
        <w:tc>
          <w:tcPr>
            <w:tcW w:type="dxa" w:w="1337"/>
          </w:tcPr>
          <w:p>
            <w:r>
              <w:rPr>
                <w:rFonts w:ascii="Times New Roman" w:hAnsi="Times New Roman"/>
                <w:b/>
                <w:sz w:val="22"/>
              </w:rPr>
              <w:t>Fold 4</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c>
          <w:tcPr>
            <w:tcW w:type="dxa" w:w="1337"/>
          </w:tcPr>
          <w:p>
            <w:r>
              <w:rPr>
                <w:rFonts w:ascii="Times New Roman" w:hAnsi="Times New Roman"/>
                <w:sz w:val="22"/>
              </w:rPr>
              <w:t>–</w:t>
            </w:r>
          </w:p>
        </w:tc>
      </w:tr>
      <w:tr>
        <w:tc>
          <w:tcPr>
            <w:tcW w:type="dxa" w:w="1337"/>
          </w:tcPr>
          <w:p>
            <w:r>
              <w:rPr>
                <w:rFonts w:ascii="Times New Roman" w:hAnsi="Times New Roman"/>
                <w:b/>
                <w:sz w:val="22"/>
              </w:rPr>
              <w:t>Mean ± SD</w:t>
            </w:r>
          </w:p>
        </w:tc>
        <w:tc>
          <w:tcPr>
            <w:tcW w:type="dxa" w:w="1337"/>
          </w:tcPr>
          <w:p>
            <w:r>
              <w:rPr>
                <w:rFonts w:ascii="Times New Roman" w:hAnsi="Times New Roman"/>
                <w:sz w:val="22"/>
              </w:rPr>
              <w:t>– ± –</w:t>
            </w:r>
          </w:p>
        </w:tc>
        <w:tc>
          <w:tcPr>
            <w:tcW w:type="dxa" w:w="1337"/>
          </w:tcPr>
          <w:p>
            <w:r>
              <w:rPr>
                <w:rFonts w:ascii="Times New Roman" w:hAnsi="Times New Roman"/>
                <w:sz w:val="22"/>
              </w:rPr>
              <w:t>– ± –</w:t>
            </w:r>
          </w:p>
        </w:tc>
        <w:tc>
          <w:tcPr>
            <w:tcW w:type="dxa" w:w="1337"/>
          </w:tcPr>
          <w:p>
            <w:r>
              <w:rPr>
                <w:rFonts w:ascii="Times New Roman" w:hAnsi="Times New Roman"/>
                <w:sz w:val="22"/>
              </w:rPr>
              <w:t>– ± –</w:t>
            </w:r>
          </w:p>
        </w:tc>
        <w:tc>
          <w:tcPr>
            <w:tcW w:type="dxa" w:w="1337"/>
          </w:tcPr>
          <w:p>
            <w:r>
              <w:rPr>
                <w:rFonts w:ascii="Times New Roman" w:hAnsi="Times New Roman"/>
                <w:sz w:val="22"/>
              </w:rPr>
              <w:t>– ± –</w:t>
            </w:r>
          </w:p>
        </w:tc>
        <w:tc>
          <w:tcPr>
            <w:tcW w:type="dxa" w:w="1337"/>
          </w:tcPr>
          <w:p>
            <w:r>
              <w:rPr>
                <w:rFonts w:ascii="Times New Roman" w:hAnsi="Times New Roman"/>
                <w:sz w:val="22"/>
              </w:rPr>
              <w:t>– ± –</w:t>
            </w:r>
          </w:p>
        </w:tc>
        <w:tc>
          <w:tcPr>
            <w:tcW w:type="dxa" w:w="1337"/>
          </w:tcPr>
          <w:p>
            <w:r>
              <w:rPr>
                <w:rFonts w:ascii="Times New Roman" w:hAnsi="Times New Roman"/>
                <w:sz w:val="22"/>
              </w:rPr>
              <w:t>– ± –</w:t>
            </w:r>
          </w:p>
        </w:tc>
      </w:tr>
      <w:tr>
        <w:tc>
          <w:tcPr>
            <w:tcW w:type="dxa" w:w="1337"/>
          </w:tcPr>
          <w:p>
            <w:r>
              <w:rPr>
                <w:rFonts w:ascii="Times New Roman" w:hAnsi="Times New Roman"/>
                <w:b/>
                <w:sz w:val="22"/>
              </w:rPr>
              <w:t>Original test</w:t>
            </w:r>
          </w:p>
        </w:tc>
        <w:tc>
          <w:tcPr>
            <w:tcW w:type="dxa" w:w="1337"/>
          </w:tcPr>
          <w:p>
            <w:r>
              <w:rPr>
                <w:rFonts w:ascii="Times New Roman" w:hAnsi="Times New Roman"/>
                <w:sz w:val="22"/>
              </w:rPr>
              <w:t>0.957</w:t>
            </w:r>
          </w:p>
        </w:tc>
        <w:tc>
          <w:tcPr>
            <w:tcW w:type="dxa" w:w="1337"/>
          </w:tcPr>
          <w:p>
            <w:r>
              <w:rPr>
                <w:rFonts w:ascii="Times New Roman" w:hAnsi="Times New Roman"/>
                <w:sz w:val="22"/>
              </w:rPr>
              <w:t>0.544</w:t>
            </w:r>
          </w:p>
        </w:tc>
        <w:tc>
          <w:tcPr>
            <w:tcW w:type="dxa" w:w="1337"/>
          </w:tcPr>
          <w:p>
            <w:r>
              <w:rPr>
                <w:rFonts w:ascii="Times New Roman" w:hAnsi="Times New Roman"/>
                <w:sz w:val="22"/>
              </w:rPr>
              <w:t>1.049</w:t>
            </w:r>
          </w:p>
        </w:tc>
        <w:tc>
          <w:tcPr>
            <w:tcW w:type="dxa" w:w="1337"/>
          </w:tcPr>
          <w:p>
            <w:r>
              <w:rPr>
                <w:rFonts w:ascii="Times New Roman" w:hAnsi="Times New Roman"/>
                <w:sz w:val="22"/>
              </w:rPr>
              <w:t>1.000</w:t>
            </w:r>
          </w:p>
        </w:tc>
        <w:tc>
          <w:tcPr>
            <w:tcW w:type="dxa" w:w="1337"/>
          </w:tcPr>
          <w:p>
            <w:r>
              <w:rPr>
                <w:rFonts w:ascii="Times New Roman" w:hAnsi="Times New Roman"/>
                <w:sz w:val="22"/>
              </w:rPr>
              <w:t>0.094</w:t>
            </w:r>
          </w:p>
        </w:tc>
        <w:tc>
          <w:tcPr>
            <w:tcW w:type="dxa" w:w="1337"/>
          </w:tcPr>
          <w:p>
            <w:r>
              <w:rPr>
                <w:rFonts w:ascii="Times New Roman" w:hAnsi="Times New Roman"/>
                <w:sz w:val="22"/>
              </w:rPr>
              <w:t>0.591</w:t>
            </w:r>
          </w:p>
        </w:tc>
      </w:tr>
    </w:tbl>
    <w:p>
      <w:pPr>
        <w:spacing w:before="0" w:after="240" w:line="480" w:lineRule="exact"/>
        <w:jc w:val="both"/>
      </w:pPr>
      <w:r>
        <w:rPr>
          <w:rFonts w:ascii="Times New Roman" w:hAnsi="Times New Roman"/>
          <w:b w:val="0"/>
          <w:i/>
          <w:sz w:val="20"/>
        </w:rPr>
        <w:t>After running the 5-fold pipeline, update this table by running: python outputs/kfold_figures.py  — then regenerate this document.</w:t>
      </w:r>
    </w:p>
    <w:sectPr w:rsidR="00FC693F" w:rsidRPr="0006063C" w:rsidSect="00034616">
      <w:headerReference w:type="default" r:id="rId9"/>
      <w:footerReference w:type="default" r:id="rId10"/>
      <w:pgSz w:w="12240" w:h="15840"/>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