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5184"/>
      </w:tblGrid>
      <w:tr>
        <w:tc>
          <w:tcPr>
            <w:tcW w:type="dxa" w:w="5040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77400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te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7740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423160" cy="49564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uta-imag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495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itle"/>
      </w:pPr>
      <w:r>
        <w:t>Autenticación y roles base de plaGesEtic</w:t>
      </w:r>
    </w:p>
    <w:p>
      <w:pPr>
        <w:pStyle w:val="Subtitle"/>
      </w:pPr>
      <w:r>
        <w:t>Documentación de alcance ingreso recuperación y permisos</w:t>
      </w:r>
    </w:p>
    <w:p>
      <w:pPr>
        <w:widowControl/>
      </w:pPr>
      <w:r>
        <w:t>Proyecto plaGesEtic · Observatorio UX / UXLab UTEM · Documentación Catalina Araniz</w:t>
      </w:r>
    </w:p>
    <w:p>
      <w:pPr>
        <w:pStyle w:val="Heading1"/>
      </w:pPr>
      <w:r>
        <w:t>1 Alcance de la implementación</w:t>
      </w:r>
    </w:p>
    <w:p>
      <w:pPr>
        <w:widowControl/>
      </w:pPr>
      <w:r>
        <w:t>La actividad 40 establece ingreso con correo, contraseña y MFA, control de sesiones, seis roles, panel por rol y trazabilidad de accesos y denegaciones. La documentación reúne los entregables del jueves 1, viernes 2 y sábado 3 de octubre; el cierre del domingo 4 se completa con los resultados de aceptación.</w:t>
      </w:r>
    </w:p>
    <w:p>
      <w:pPr>
        <w:widowControl/>
      </w:pPr>
      <w:r>
        <w:t>Roles globales: Director, Soporte, Investigador, Asistente, Estudiante e Invitado. La creación de la base de datos corresponde a la actividad 41; los flujos completos de registro, estudios y archivos se documentan en la arquitectura del MVP.</w:t>
      </w:r>
    </w:p>
    <w:p>
      <w:pPr>
        <w:pStyle w:val="Heading1"/>
      </w:pPr>
      <w:r>
        <w:t>2 Definiciones técnicas de la base actual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  <w:tblHeader/>
        </w:trPr>
        <w:tc>
          <w:tcPr>
            <w:tcW w:type="dxa" w:w="1944"/>
            <w:vAlign w:val="center"/>
            <w:shd w:fill="000B7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8136"/>
            <w:vAlign w:val="center"/>
            <w:shd w:fill="000B7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Definición documental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Credenciales</w:t>
            </w:r>
          </w:p>
        </w:tc>
        <w:tc>
          <w:tcPr>
            <w:tcW w:type="dxa" w:w="8136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usuario.hash_password con argon2id; semilla TOTP cifrada. Nunca se devuelven contraseñas persistidas ni secretos en las consultas de usuarios.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MFA</w:t>
            </w:r>
          </w:p>
        </w:tc>
        <w:tc>
          <w:tcPr>
            <w:tcW w:type="dxa" w:w="81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TOTP configurado mediante QR; enrolamiento confirmado con el primer código. Diez códigos de recuperación, mostrados una sola vez y almacenados como hash.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Recuperación</w:t>
            </w:r>
          </w:p>
        </w:tc>
        <w:tc>
          <w:tcPr>
            <w:tcW w:type="dxa" w:w="8136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Un código de respaldo se consume una sola vez. Regenerar códigos invalida los anteriores. Soporte puede restablecer contraseña o MFA.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Sesiones</w:t>
            </w:r>
          </w:p>
        </w:tc>
        <w:tc>
          <w:tcPr>
            <w:tcW w:type="dxa" w:w="81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sesion_usuario guarda hash del token, inicio, expiración, cierre e IP. JWT válido requiere sesión abierta y cuenta activa no vencida.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Autorización</w:t>
            </w:r>
          </w:p>
        </w:tc>
        <w:tc>
          <w:tcPr>
            <w:tcW w:type="dxa" w:w="8136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Rol global y permiso con alcance; membresía con cinco flags y vigencia; autorizaciones excepcionales temporales y auditadas.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Auditoría</w:t>
            </w:r>
          </w:p>
        </w:tc>
        <w:tc>
          <w:tcPr>
            <w:tcW w:type="dxa" w:w="81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Se prepara antes de autenticar y se inserta al finalizar. Registra login, login fallido, acceso, denegación, justificación y autorización utilizada.</w:t>
            </w:r>
          </w:p>
        </w:tc>
      </w:tr>
    </w:tbl>
    <w:p>
      <w:pPr>
        <w:spacing w:after="0"/>
      </w:pPr>
    </w:p>
    <w:p>
      <w:pPr>
        <w:pStyle w:val="Heading1"/>
      </w:pPr>
      <w:r>
        <w:t>3 Continuidad de las decisiones del día</w:t>
      </w:r>
    </w:p>
    <w:p>
      <w:pPr>
        <w:widowControl/>
      </w:pPr>
      <w:r>
        <w:t>Los criterios del líder fijan 16 casos de aceptación. El diseño v3 actualiza propuestas de la matriz inicial: Soporte gestiona y recupera cuentas; Estudiante puede solicitar exportaciones con permiso y aprobación; Invitado tiene consulta temporal de contenido permitido. La aprobación operativa del seed de permisos y el procedimiento del primer ingreso deben quedar registrados antes del cierre.</w:t>
      </w:r>
    </w:p>
    <w:p>
      <w:r>
        <w:br w:type="page"/>
      </w:r>
    </w:p>
    <w:p>
      <w:pPr>
        <w:pStyle w:val="Heading1"/>
      </w:pPr>
      <w:r>
        <w:t>4 Ingreso de cada rol y recuperación de acceso</w:t>
      </w:r>
    </w:p>
    <w:p>
      <w:pPr>
        <w:pStyle w:val="Heading2"/>
      </w:pPr>
      <w:r>
        <w:t>Ingreso común a los seis roles</w:t>
      </w:r>
    </w:p>
    <w:p>
      <w:pPr>
        <w:widowControl/>
      </w:pPr>
      <w:r>
        <w:t>1. Una cuenta activa dispone de correo, rol y contraseña. Soporte o Director puede crearla; Invitado requiere fecha de expiración.</w:t>
      </w:r>
    </w:p>
    <w:p>
      <w:pPr>
        <w:widowControl/>
      </w:pPr>
      <w:r>
        <w:t>2. POST /auth/login recibe correo y contraseña. Un error devuelve mensaje genérico y 401, y registra el intento.</w:t>
      </w:r>
    </w:p>
    <w:p>
      <w:pPr>
        <w:widowControl/>
      </w:pPr>
      <w:r>
        <w:t>3. El token temporal permite continuar el segundo factor. Si debe cambiar contraseña o enrolar MFA, se completa el proceso inicial autorizado antes del acceso operativo.</w:t>
      </w:r>
    </w:p>
    <w:p>
      <w:pPr>
        <w:widowControl/>
      </w:pPr>
      <w:r>
        <w:t>4. La aplicación de autenticación genera el código TOTP. El QR se usa para configurarla, no se escanea en cada login.</w:t>
      </w:r>
    </w:p>
    <w:p>
      <w:pPr>
        <w:widowControl/>
      </w:pPr>
      <w:r>
        <w:t>5. POST /auth/login/mfa valida TOTP o un código de recuperación, crea sesion_usuario y emite el JWT de sesión.</w:t>
      </w:r>
    </w:p>
    <w:p>
      <w:pPr>
        <w:widowControl/>
      </w:pPr>
      <w:r>
        <w:t>6. La aplicación muestra el panel del rol y únicamente sus funciones autorizadas. Cada petición vuelve a comprobar permiso, cuenta, sesión y estudio; ocultar el menú no concede seguridad por sí solo.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  <w:tblHeader/>
        </w:trPr>
        <w:tc>
          <w:tcPr>
            <w:tcW w:type="dxa" w:w="1944"/>
            <w:vAlign w:val="center"/>
            <w:shd w:fill="000B7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8136"/>
            <w:vAlign w:val="center"/>
            <w:shd w:fill="000B7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Destino funcional tras MFA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Director</w:t>
            </w:r>
          </w:p>
        </w:tc>
        <w:tc>
          <w:tcPr>
            <w:tcW w:type="dxa" w:w="8136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Supervisión de estudios y auditoría; administración de permisos.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Soporte</w:t>
            </w:r>
          </w:p>
        </w:tc>
        <w:tc>
          <w:tcPr>
            <w:tcW w:type="dxa" w:w="81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Cuentas y sesiones; restablecimiento de contraseña y MFA.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Investigador</w:t>
            </w:r>
          </w:p>
        </w:tc>
        <w:tc>
          <w:tcPr>
            <w:tcW w:type="dxa" w:w="8136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Estudios propios, participantes seudonimizados, documentos y exportaciones.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Asistente</w:t>
            </w:r>
          </w:p>
        </w:tc>
        <w:tc>
          <w:tcPr>
            <w:tcW w:type="dxa" w:w="81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Estudios asignados, registro y archivos según sus permisos.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Estudiante</w:t>
            </w:r>
          </w:p>
        </w:tc>
        <w:tc>
          <w:tcPr>
            <w:tcW w:type="dxa" w:w="8136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Consulta de estudios asignados y solicitudes de exportación permitidas.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Invitado</w:t>
            </w:r>
          </w:p>
        </w:tc>
        <w:tc>
          <w:tcPr>
            <w:tcW w:type="dxa" w:w="81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Consulta temporal del contenido seleccionado autorizado.</w:t>
            </w:r>
          </w:p>
        </w:tc>
      </w:tr>
    </w:tbl>
    <w:p>
      <w:pPr>
        <w:spacing w:after="0"/>
      </w:pPr>
    </w:p>
    <w:p>
      <w:pPr>
        <w:pStyle w:val="Heading2"/>
      </w:pPr>
      <w:r>
        <w:t>Recuperación y cierre</w:t>
      </w:r>
    </w:p>
    <w:p>
      <w:pPr>
        <w:widowControl/>
      </w:pPr>
      <w:r>
        <w:t>Sin el dispositivo MFA: usar un código de recuperación disponible; queda consumido. Con TOTP disponible se pueden generar códigos nuevos mediante POST /auth/mfa/codigos. Si no queda código o se olvidó la contraseña, Soporte ejecuta el reset correspondiente: contraseña temporal con cambio obligatorio, o reinicio de MFA con nuevo enrolamiento. El canal y la verificación de identidad de esa atención deben acordarse.</w:t>
      </w:r>
    </w:p>
    <w:p>
      <w:pPr>
        <w:widowControl/>
      </w:pPr>
      <w:r>
        <w:t>POST /auth/logout cierra la sesión actual. Bloquear la cuenta cierra sus sesiones; la expiración de sesión o cuenta exige volver al login. El mecanismo de sesión restringida para el primer cambio de contraseña y enrolamiento MFA queda por concretar en el contrato.</w:t>
      </w:r>
    </w:p>
    <w:p>
      <w:r>
        <w:br w:type="page"/>
      </w:r>
    </w:p>
    <w:p>
      <w:pPr>
        <w:pStyle w:val="Heading1"/>
      </w:pPr>
      <w:r>
        <w:t>5 Matriz de roles y contenido del panel</w:t>
      </w:r>
    </w:p>
    <w:p>
      <w:pPr>
        <w:widowControl/>
      </w:pPr>
      <w:r>
        <w:t>La matriz describe las capacidades del diseño v3. El contenido indicado es la organización funcional esperada del panel; su implementación se verifica mediante CA-08. Todo acceso por estudio requiere permiso, membresía vigente o autorización aplicable.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4248"/>
      </w:tblGrid>
      <w:tr>
        <w:trPr>
          <w:cantSplit/>
          <w:tblHeader/>
        </w:trPr>
        <w:tc>
          <w:tcPr>
            <w:tcW w:type="dxa" w:w="1512"/>
            <w:vAlign w:val="center"/>
            <w:shd w:fill="000B7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4320"/>
            <w:vAlign w:val="center"/>
            <w:shd w:fill="000B7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Qué ve y puede hacer</w:t>
            </w:r>
          </w:p>
        </w:tc>
        <w:tc>
          <w:tcPr>
            <w:tcW w:type="dxa" w:w="4248"/>
            <w:vAlign w:val="center"/>
            <w:shd w:fill="000B7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Límites principales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Director</w:t>
            </w:r>
          </w:p>
        </w:tc>
        <w:tc>
          <w:tcPr>
            <w:tcW w:type="dxa" w:w="4320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Supervisa estudios; crea y cierra estudios; administra roles/permisos; consulta auditoría; resuelve autorizaciones.</w:t>
            </w:r>
          </w:p>
        </w:tc>
        <w:tc>
          <w:tcPr>
            <w:tcW w:type="dxa" w:w="424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Identidad solo con justificación auditada. Bitácora solo lectura. Las evidencias y descargas mantienen sus controles específicos.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Soporte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Crea/activa/bloquea cuentas, recupera contraseña/MFA y administra sesiones.</w:t>
            </w:r>
          </w:p>
        </w:tc>
        <w:tc>
          <w:tcPr>
            <w:tcW w:type="dxa" w:w="424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Sin acceso ordinario a investigación o identidad. Operaciones excepcionales requieren autorización vigente y trazabilidad.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Investigador</w:t>
            </w:r>
          </w:p>
        </w:tc>
        <w:tc>
          <w:tcPr>
            <w:tcW w:type="dxa" w:w="4320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Gestiona sus estudios y accesos; registra participantes, decisiones, sesiones y archivos; solicita y aprueba exportaciones.</w:t>
            </w:r>
          </w:p>
        </w:tc>
        <w:tc>
          <w:tcPr>
            <w:tcW w:type="dxa" w:w="424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Datos operativos seudonimizados. Captura de identidad sin lectura; desenmascarar requiere autorización del Director.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Asistente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Trabaja en estudios asignados; registra identidad sin lectura, participación, consentimiento, sesiones y archivos.</w:t>
            </w:r>
          </w:p>
        </w:tc>
        <w:tc>
          <w:tcPr>
            <w:tcW w:type="dxa" w:w="424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Cada operación requiere su flag de membresía. No gestiona estudios/accesos ni solicita exportación en el catálogo v3.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Estudiante</w:t>
            </w:r>
          </w:p>
        </w:tc>
        <w:tc>
          <w:tcPr>
            <w:tcW w:type="dxa" w:w="4320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Consulta datos seudonimizados y metadatos permitidos; solicita exportación si tiene puede_exportar.</w:t>
            </w:r>
          </w:p>
        </w:tc>
        <w:tc>
          <w:tcPr>
            <w:tcW w:type="dxa" w:w="424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Exportación sujeta a aprobación. Sin consentimiento completo ni evidencia firmada. Originales sensibles solo con autorización.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Invitado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Consulta temporal de estudios y contenido seleccionado permitido; membresía solo puede_consultar.</w:t>
            </w:r>
          </w:p>
        </w:tc>
        <w:tc>
          <w:tcPr>
            <w:tcW w:type="dxa" w:w="424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9"/>
              </w:rPr>
              <w:t>Sin registro de participantes ni evidencia. Cuenta y membresía vencen; acceso sensible excepcional requiere autorización y contrato conciliado.</w:t>
            </w:r>
          </w:p>
        </w:tc>
      </w:tr>
    </w:tbl>
    <w:p>
      <w:pPr>
        <w:spacing w:after="0"/>
      </w:pPr>
    </w:p>
    <w:p>
      <w:pPr>
        <w:pStyle w:val="Heading2"/>
      </w:pPr>
      <w:r>
        <w:t>Reglas para datos identificables</w:t>
      </w:r>
    </w:p>
    <w:p>
      <w:pPr>
        <w:widowControl/>
      </w:pPr>
      <w:r>
        <w:t>Registrar identidad y leerla son permisos distintos. POST /identidades admite Investigador y Asistente, cifra los datos y devuelve solo UX Lab ID para enrolar. Desenmascarar exige Director o autorización ver_identidad aprobada por él y justificación. Soporte y Estudiante no tienen acceso ordinario a identidad; Invitado no dispone de registro de participantes.</w:t>
      </w:r>
    </w:p>
    <w:p>
      <w:pPr>
        <w:pStyle w:val="Heading2"/>
      </w:pPr>
      <w:r>
        <w:t>Actualización frente a la matriz del jueves</w:t>
      </w:r>
    </w:p>
    <w:p>
      <w:pPr>
        <w:widowControl/>
      </w:pPr>
      <w:r>
        <w:t>Las celdas marcadas como propuestas en el documento del líder se contrastan con el catálogo v3. Se documentan cinco permisos por estudio en lugar de solo_ver/ver_y_editar. Antes de cerrar, el líder debe confirmar la matriz seed, las excepciones y los paneles efectivamente implementados.</w:t>
      </w:r>
    </w:p>
    <w:p>
      <w:r>
        <w:br w:type="page"/>
      </w:r>
    </w:p>
    <w:p>
      <w:pPr>
        <w:pStyle w:val="Heading1"/>
      </w:pPr>
      <w:r>
        <w:t>6 Registro de aceptación y cierre</w:t>
      </w:r>
    </w:p>
    <w:p>
      <w:pPr>
        <w:widowControl/>
      </w:pPr>
      <w:r>
        <w:t>Estado del cierre: pendiente de evidencia de ejecución. Los 16 criterios CA-01 a CA-16 conservan su identificación del documento del líder; no se asigna un resultado aprobado sin registro de prueba. Para cada caso se adjunta evidencia, versión probada, resultado y observación de corrección.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6984"/>
        <w:gridCol w:w="2088"/>
      </w:tblGrid>
      <w:tr>
        <w:trPr>
          <w:cantSplit/>
          <w:tblHeader/>
        </w:trPr>
        <w:tc>
          <w:tcPr>
            <w:tcW w:type="dxa" w:w="1008"/>
            <w:vAlign w:val="center"/>
            <w:shd w:fill="000B7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984"/>
            <w:vAlign w:val="center"/>
            <w:shd w:fill="000B7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Comprobación esperada</w:t>
            </w:r>
          </w:p>
        </w:tc>
        <w:tc>
          <w:tcPr>
            <w:tcW w:type="dxa" w:w="2088"/>
            <w:vAlign w:val="center"/>
            <w:shd w:fill="000B7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CA-01</w:t>
            </w:r>
          </w:p>
        </w:tc>
        <w:tc>
          <w:tcPr>
            <w:tcW w:type="dxa" w:w="6984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Ingreso correcto y MFA válido con los seis roles.</w:t>
            </w:r>
          </w:p>
        </w:tc>
        <w:tc>
          <w:tcPr>
            <w:tcW w:type="dxa" w:w="208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Pendiente de evidencia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CA-02</w:t>
            </w:r>
          </w:p>
        </w:tc>
        <w:tc>
          <w:tcPr>
            <w:tcW w:type="dxa" w:w="69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Contraseña incorrecta: mensaje genérico e intento auditado.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Pendiente de evidencia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CA-03</w:t>
            </w:r>
          </w:p>
        </w:tc>
        <w:tc>
          <w:tcPr>
            <w:tcW w:type="dxa" w:w="6984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MFA inválido: acceso rechazado y reintento controlado.</w:t>
            </w:r>
          </w:p>
        </w:tc>
        <w:tc>
          <w:tcPr>
            <w:tcW w:type="dxa" w:w="208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Pendiente de evidencia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CA-04</w:t>
            </w:r>
          </w:p>
        </w:tc>
        <w:tc>
          <w:tcPr>
            <w:tcW w:type="dxa" w:w="69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Código de recuperación válido y rechazo al reutilizarlo.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Pendiente de evidencia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CA-05</w:t>
            </w:r>
          </w:p>
        </w:tc>
        <w:tc>
          <w:tcPr>
            <w:tcW w:type="dxa" w:w="6984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Logout y expiración invalidan el acceso a rutas internas.</w:t>
            </w:r>
          </w:p>
        </w:tc>
        <w:tc>
          <w:tcPr>
            <w:tcW w:type="dxa" w:w="208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Pendiente de evidencia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CA-06</w:t>
            </w:r>
          </w:p>
        </w:tc>
        <w:tc>
          <w:tcPr>
            <w:tcW w:type="dxa" w:w="69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Hash de contraseña y secreto MFA cifrado, sin texto plano persistido.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Pendiente de evidencia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CA-07</w:t>
            </w:r>
          </w:p>
        </w:tc>
        <w:tc>
          <w:tcPr>
            <w:tcW w:type="dxa" w:w="6984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Exactamente seis roles base cargados.</w:t>
            </w:r>
          </w:p>
        </w:tc>
        <w:tc>
          <w:tcPr>
            <w:tcW w:type="dxa" w:w="208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Pendiente de evidencia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CA-08</w:t>
            </w:r>
          </w:p>
        </w:tc>
        <w:tc>
          <w:tcPr>
            <w:tcW w:type="dxa" w:w="69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Cada rol ve el panel y menú que corresponde a su matriz.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Pendiente de evidencia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CA-09</w:t>
            </w:r>
          </w:p>
        </w:tc>
        <w:tc>
          <w:tcPr>
            <w:tcW w:type="dxa" w:w="6984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Dirección directa o llamada API sin permiso: acceso denegado.</w:t>
            </w:r>
          </w:p>
        </w:tc>
        <w:tc>
          <w:tcPr>
            <w:tcW w:type="dxa" w:w="208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Pendiente de evidencia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CA-10</w:t>
            </w:r>
          </w:p>
        </w:tc>
        <w:tc>
          <w:tcPr>
            <w:tcW w:type="dxa" w:w="69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Investigador/Asistente: registro en estudio permitido; rechazo fuera de él.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Pendiente de evidencia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CA-11</w:t>
            </w:r>
          </w:p>
        </w:tc>
        <w:tc>
          <w:tcPr>
            <w:tcW w:type="dxa" w:w="6984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Director: identidad con justificación obligatoria y registro de motivo.</w:t>
            </w:r>
          </w:p>
        </w:tc>
        <w:tc>
          <w:tcPr>
            <w:tcW w:type="dxa" w:w="208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Pendiente de evidencia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CA-12</w:t>
            </w:r>
          </w:p>
        </w:tc>
        <w:tc>
          <w:tcPr>
            <w:tcW w:type="dxa" w:w="69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Soporte/Estudiante: acceso excepcional solo autorizado y vigente.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Pendiente de evidencia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CA-13</w:t>
            </w:r>
          </w:p>
        </w:tc>
        <w:tc>
          <w:tcPr>
            <w:tcW w:type="dxa" w:w="6984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Invitado: sin acceso al registro identificable de participantes.</w:t>
            </w:r>
          </w:p>
        </w:tc>
        <w:tc>
          <w:tcPr>
            <w:tcW w:type="dxa" w:w="208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Pendiente de evidencia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CA-14</w:t>
            </w:r>
          </w:p>
        </w:tc>
        <w:tc>
          <w:tcPr>
            <w:tcW w:type="dxa" w:w="69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Login, fallos, accesos y denegaciones quedan en auditoría.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Pendiente de evidencia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CA-15</w:t>
            </w:r>
          </w:p>
        </w:tc>
        <w:tc>
          <w:tcPr>
            <w:tcW w:type="dxa" w:w="6984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Accesos especiales enlazados a autorización y justificación.</w:t>
            </w:r>
          </w:p>
        </w:tc>
        <w:tc>
          <w:tcPr>
            <w:tcW w:type="dxa" w:w="2088"/>
            <w:vAlign w:val="center"/>
            <w:shd w:fill="F3F5F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Pendiente de evidencia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CA-16</w:t>
            </w:r>
          </w:p>
        </w:tc>
        <w:tc>
          <w:tcPr>
            <w:tcW w:type="dxa" w:w="69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Usuario de aplicación sin UPDATE ni DELETE sobre auditoría.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Pendiente de evidencia</w:t>
            </w:r>
          </w:p>
        </w:tc>
      </w:tr>
    </w:tbl>
    <w:p>
      <w:pPr>
        <w:spacing w:after="0"/>
      </w:pPr>
    </w:p>
    <w:p>
      <w:pPr>
        <w:widowControl/>
      </w:pPr>
      <w:r>
        <w:t>Datos de prueba: ocho cuentas sintéticas, una por rol más Soporte y Estudiante autorizados, y estudios A/B. Se comprueba también el vencimiento de autorización, la cuenta Invitado y cada permiso de membresía. El cierre requiere los casos aprobados, correcciones verificadas y referencia de la versión final.</w:t>
      </w:r>
    </w:p>
    <w:p>
      <w:pPr>
        <w:pStyle w:val="Heading2"/>
      </w:pPr>
      <w:r>
        <w:t>Referencias</w:t>
      </w:r>
    </w:p>
    <w:p>
      <w:pPr>
        <w:spacing w:after="80"/>
      </w:pPr>
      <w:hyperlink r:id="rId12">
        <w:r>
          <w:rPr>
            <w:color w:val="1C2FB9"/>
          </w:rPr>
          <w:t>Planificación de autenticación</w:t>
        </w:r>
      </w:hyperlink>
    </w:p>
    <w:p>
      <w:pPr>
        <w:spacing w:after="80"/>
      </w:pPr>
      <w:hyperlink r:id="rId13">
        <w:r>
          <w:rPr>
            <w:color w:val="1C2FB9"/>
          </w:rPr>
          <w:t>Criterios de aceptación del líder</w:t>
        </w:r>
      </w:hyperlink>
    </w:p>
    <w:p>
      <w:pPr>
        <w:spacing w:after="80"/>
      </w:pPr>
      <w:hyperlink r:id="rId14">
        <w:r>
          <w:rPr>
            <w:color w:val="1C2FB9"/>
          </w:rPr>
          <w:t>Diccionario de datos v3</w:t>
        </w:r>
      </w:hyperlink>
    </w:p>
    <w:p>
      <w:pPr>
        <w:spacing w:after="80"/>
      </w:pPr>
      <w:hyperlink r:id="rId15">
        <w:r>
          <w:rPr>
            <w:color w:val="1C2FB9"/>
          </w:rPr>
          <w:t>Catálogo de endpoints v3</w:t>
        </w:r>
      </w:hyperlink>
    </w:p>
    <w:p>
      <w:pPr>
        <w:spacing w:after="80"/>
      </w:pPr>
      <w:hyperlink r:id="rId16">
        <w:r>
          <w:rPr>
            <w:color w:val="1C2FB9"/>
          </w:rPr>
          <w:t>Middlewares de seguridad v3</w:t>
        </w:r>
      </w:hyperlink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plaGesEtic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yperlink" Target="https://drive.google.com/file/d/1EypTZbWTTwrv2u_Cphrr9BMIsewE6O_z/view" TargetMode="External"/><Relationship Id="rId13" Type="http://schemas.openxmlformats.org/officeDocument/2006/relationships/hyperlink" Target="https://drive.google.com/file/d/1K8cMjb4yym7bkhdDM-FssplNwwSDairc/view" TargetMode="External"/><Relationship Id="rId14" Type="http://schemas.openxmlformats.org/officeDocument/2006/relationships/hyperlink" Target="https://drive.google.com/file/d/1lHu6YkbNk8AL_j4kFryUXEL66SSHzw-S/view" TargetMode="External"/><Relationship Id="rId15" Type="http://schemas.openxmlformats.org/officeDocument/2006/relationships/hyperlink" Target="https://drive.google.com/file/d/1E6hF6FkxxDuMAv8JcfXlSu_fw2IyEpau/view" TargetMode="External"/><Relationship Id="rId16" Type="http://schemas.openxmlformats.org/officeDocument/2006/relationships/hyperlink" Target="https://drive.google.com/file/d/1mJSEWUPjqA2g7kzBd127ka7tVsNWvenG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Autenticación y roles base de plaGesEtic</dc:title>
  <dc:subject/>
  <dc:creator>Catalina Araniz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