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896"/>
        <w:gridCol w:w="5184"/>
      </w:tblGrid>
      <w:tr>
        <w:tc>
          <w:tcPr>
            <w:tcW w:type="dxa" w:w="5040"/>
            <w:vAlign w:val="center"/>
          </w:tcPr>
          <w:p>
            <w:r>
              <w:drawing>
                <wp:inline xmlns:a="http://schemas.openxmlformats.org/drawingml/2006/main" xmlns:pic="http://schemas.openxmlformats.org/drawingml/2006/picture">
                  <wp:extent cx="1874519" cy="774007"/>
                  <wp:docPr id="1" name="Picture 1"/>
                  <wp:cNvGraphicFramePr>
                    <a:graphicFrameLocks noChangeAspect="1"/>
                  </wp:cNvGraphicFramePr>
                  <a:graphic>
                    <a:graphicData uri="http://schemas.openxmlformats.org/drawingml/2006/picture">
                      <pic:pic>
                        <pic:nvPicPr>
                          <pic:cNvPr id="0" name="logo_utem.png"/>
                          <pic:cNvPicPr/>
                        </pic:nvPicPr>
                        <pic:blipFill>
                          <a:blip r:embed="rId9"/>
                          <a:stretch>
                            <a:fillRect/>
                          </a:stretch>
                        </pic:blipFill>
                        <pic:spPr>
                          <a:xfrm>
                            <a:off x="0" y="0"/>
                            <a:ext cx="1874519" cy="774007"/>
                          </a:xfrm>
                          <a:prstGeom prst="rect"/>
                        </pic:spPr>
                      </pic:pic>
                    </a:graphicData>
                  </a:graphic>
                </wp:inline>
              </w:drawing>
            </w:r>
          </w:p>
        </w:tc>
        <w:tc>
          <w:tcPr>
            <w:tcW w:type="dxa" w:w="5040"/>
            <w:vAlign w:val="center"/>
          </w:tcPr>
          <w:p>
            <w:pPr>
              <w:jc w:val="right"/>
            </w:pPr>
            <w:r>
              <w:drawing>
                <wp:inline xmlns:a="http://schemas.openxmlformats.org/drawingml/2006/main" xmlns:pic="http://schemas.openxmlformats.org/drawingml/2006/picture">
                  <wp:extent cx="2423160" cy="495646"/>
                  <wp:docPr id="2" name="Picture 2"/>
                  <wp:cNvGraphicFramePr>
                    <a:graphicFrameLocks noChangeAspect="1"/>
                  </wp:cNvGraphicFramePr>
                  <a:graphic>
                    <a:graphicData uri="http://schemas.openxmlformats.org/drawingml/2006/picture">
                      <pic:pic>
                        <pic:nvPicPr>
                          <pic:cNvPr id="0" name="minuta-image2.png"/>
                          <pic:cNvPicPr/>
                        </pic:nvPicPr>
                        <pic:blipFill>
                          <a:blip r:embed="rId10"/>
                          <a:stretch>
                            <a:fillRect/>
                          </a:stretch>
                        </pic:blipFill>
                        <pic:spPr>
                          <a:xfrm>
                            <a:off x="0" y="0"/>
                            <a:ext cx="2423160" cy="495646"/>
                          </a:xfrm>
                          <a:prstGeom prst="rect"/>
                        </pic:spPr>
                      </pic:pic>
                    </a:graphicData>
                  </a:graphic>
                </wp:inline>
              </w:drawing>
            </w:r>
          </w:p>
        </w:tc>
      </w:tr>
    </w:tbl>
    <w:p>
      <w:pPr>
        <w:pStyle w:val="Title"/>
      </w:pPr>
      <w:r>
        <w:t>Especificación técnica del MVP de plaGesEtic</w:t>
      </w:r>
    </w:p>
    <w:p>
      <w:pPr>
        <w:pStyle w:val="Subtitle"/>
      </w:pPr>
      <w:r>
        <w:t>Versión documental 1.0 · Diseño de arquitectura</w:t>
      </w:r>
    </w:p>
    <w:p>
      <w:pPr>
        <w:widowControl/>
      </w:pPr>
      <w:r>
        <w:t>Proyecto plaGesEtic · Observatorio UX / UXLab UTEM · Documentación Catalina Araniz</w:t>
      </w:r>
    </w:p>
    <w:p>
      <w:pPr>
        <w:pStyle w:val="Heading1"/>
      </w:pPr>
      <w:r>
        <w:t>1 Alcance y base técnica</w:t>
      </w:r>
    </w:p>
    <w:p>
      <w:pPr>
        <w:widowControl/>
      </w:pPr>
      <w:r>
        <w:t>La especificación consolida la arquitectura del MVP, la separación de datos, el control de acceso, el consentimiento y la exportación. Adopta el DER y diccionario v3, el catálogo y middlewares v3, la matriz de seudonimización v3 y el flujo de consentimientos v2. Las decisiones abiertas quedan registradas en la sección 5.</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shd w:fill="000B78"/>
            <w:tcMar>
              <w:top w:w="85" w:type="dxa"/>
              <w:left w:w="85" w:type="dxa"/>
              <w:bottom w:w="85" w:type="dxa"/>
              <w:right w:w="85" w:type="dxa"/>
            </w:tcMar>
          </w:tcPr>
          <w:p>
            <w:pPr>
              <w:spacing w:after="0" w:line="247" w:lineRule="auto"/>
            </w:pPr>
            <w:r>
              <w:rPr>
                <w:b/>
                <w:color w:val="FFFFFF"/>
                <w:sz w:val="20"/>
              </w:rPr>
              <w:t>Elemento</w:t>
            </w:r>
          </w:p>
        </w:tc>
        <w:tc>
          <w:tcPr>
            <w:tcW w:type="dxa" w:w="8208"/>
            <w:vAlign w:val="center"/>
            <w:shd w:fill="000B78"/>
            <w:tcMar>
              <w:top w:w="85" w:type="dxa"/>
              <w:left w:w="85" w:type="dxa"/>
              <w:bottom w:w="85" w:type="dxa"/>
              <w:right w:w="85" w:type="dxa"/>
            </w:tcMar>
          </w:tcPr>
          <w:p>
            <w:pPr>
              <w:spacing w:after="0" w:line="247" w:lineRule="auto"/>
            </w:pPr>
            <w:r>
              <w:rPr>
                <w:b/>
                <w:color w:val="FFFFFF"/>
                <w:sz w:val="20"/>
              </w:rPr>
              <w:t>Definición</w:t>
            </w:r>
          </w:p>
        </w:tc>
      </w:tr>
      <w:tr>
        <w:trPr>
          <w:cantSplit/>
        </w:trPr>
        <w:tc>
          <w:tcPr>
            <w:tcW w:type="dxa" w:w="1872"/>
            <w:vAlign w:val="center"/>
            <w:shd w:fill="F3F5FC"/>
            <w:tcMar>
              <w:top w:w="85" w:type="dxa"/>
              <w:left w:w="85" w:type="dxa"/>
              <w:bottom w:w="85" w:type="dxa"/>
              <w:right w:w="85" w:type="dxa"/>
            </w:tcMar>
          </w:tcPr>
          <w:p>
            <w:pPr>
              <w:spacing w:after="0" w:line="247" w:lineRule="auto"/>
            </w:pPr>
            <w:r>
              <w:rPr>
                <w:sz w:val="20"/>
              </w:rPr>
              <w:t>API</w:t>
            </w:r>
          </w:p>
        </w:tc>
        <w:tc>
          <w:tcPr>
            <w:tcW w:type="dxa" w:w="8208"/>
            <w:vAlign w:val="center"/>
            <w:shd w:fill="F3F5FC"/>
            <w:tcMar>
              <w:top w:w="85" w:type="dxa"/>
              <w:left w:w="85" w:type="dxa"/>
              <w:bottom w:w="85" w:type="dxa"/>
              <w:right w:w="85" w:type="dxa"/>
            </w:tcMar>
          </w:tcPr>
          <w:p>
            <w:pPr>
              <w:spacing w:after="0" w:line="247" w:lineRule="auto"/>
            </w:pPr>
            <w:r>
              <w:rPr>
                <w:sz w:val="20"/>
              </w:rPr>
              <w:t>Node.js y Express; operaciones JSON, cargas multipart y descargas en stream. Prefijo /api/v1 por validar.</w:t>
            </w:r>
          </w:p>
        </w:tc>
      </w:tr>
      <w:tr>
        <w:trPr>
          <w:cantSplit/>
        </w:trPr>
        <w:tc>
          <w:tcPr>
            <w:tcW w:type="dxa" w:w="1872"/>
            <w:vAlign w:val="center"/>
            <w:shd w:fill="FFFFFF"/>
            <w:tcMar>
              <w:top w:w="85" w:type="dxa"/>
              <w:left w:w="85" w:type="dxa"/>
              <w:bottom w:w="85" w:type="dxa"/>
              <w:right w:w="85" w:type="dxa"/>
            </w:tcMar>
          </w:tcPr>
          <w:p>
            <w:pPr>
              <w:spacing w:after="0" w:line="247" w:lineRule="auto"/>
            </w:pPr>
            <w:r>
              <w:rPr>
                <w:sz w:val="20"/>
              </w:rPr>
              <w:t>Persistencia</w:t>
            </w:r>
          </w:p>
        </w:tc>
        <w:tc>
          <w:tcPr>
            <w:tcW w:type="dxa" w:w="8208"/>
            <w:vAlign w:val="center"/>
            <w:shd w:fill="FFFFFF"/>
            <w:tcMar>
              <w:top w:w="85" w:type="dxa"/>
              <w:left w:w="85" w:type="dxa"/>
              <w:bottom w:w="85" w:type="dxa"/>
              <w:right w:w="85" w:type="dxa"/>
            </w:tcMar>
          </w:tcPr>
          <w:p>
            <w:pPr>
              <w:spacing w:after="0" w:line="247" w:lineRule="auto"/>
            </w:pPr>
            <w:r>
              <w:rPr>
                <w:sz w:val="20"/>
              </w:rPr>
              <w:t>PostgreSQL con 22 tablas distribuidas en cuatro esquemas.</w:t>
            </w:r>
          </w:p>
        </w:tc>
      </w:tr>
      <w:tr>
        <w:trPr>
          <w:cantSplit/>
        </w:trPr>
        <w:tc>
          <w:tcPr>
            <w:tcW w:type="dxa" w:w="1872"/>
            <w:vAlign w:val="center"/>
            <w:shd w:fill="F3F5FC"/>
            <w:tcMar>
              <w:top w:w="85" w:type="dxa"/>
              <w:left w:w="85" w:type="dxa"/>
              <w:bottom w:w="85" w:type="dxa"/>
              <w:right w:w="85" w:type="dxa"/>
            </w:tcMar>
          </w:tcPr>
          <w:p>
            <w:pPr>
              <w:spacing w:after="0" w:line="247" w:lineRule="auto"/>
            </w:pPr>
            <w:r>
              <w:rPr>
                <w:sz w:val="20"/>
              </w:rPr>
              <w:t>Aplicación y archivos</w:t>
            </w:r>
          </w:p>
        </w:tc>
        <w:tc>
          <w:tcPr>
            <w:tcW w:type="dxa" w:w="8208"/>
            <w:vAlign w:val="center"/>
            <w:shd w:fill="F3F5FC"/>
            <w:tcMar>
              <w:top w:w="85" w:type="dxa"/>
              <w:left w:w="85" w:type="dxa"/>
              <w:bottom w:w="85" w:type="dxa"/>
              <w:right w:w="85" w:type="dxa"/>
            </w:tcMar>
          </w:tcPr>
          <w:p>
            <w:pPr>
              <w:spacing w:after="0" w:line="247" w:lineRule="auto"/>
            </w:pPr>
            <w:r>
              <w:rPr>
                <w:sz w:val="20"/>
              </w:rPr>
              <w:t>Docker (ADR-001). Aplicación web, API, base de datos y almacenamiento como contenedores lógicos. Framework web y tecnología del almacenamiento por definir.</w:t>
            </w:r>
          </w:p>
        </w:tc>
      </w:tr>
      <w:tr>
        <w:trPr>
          <w:cantSplit/>
        </w:trPr>
        <w:tc>
          <w:tcPr>
            <w:tcW w:type="dxa" w:w="1872"/>
            <w:vAlign w:val="center"/>
            <w:shd w:fill="FFFFFF"/>
            <w:tcMar>
              <w:top w:w="85" w:type="dxa"/>
              <w:left w:w="85" w:type="dxa"/>
              <w:bottom w:w="85" w:type="dxa"/>
              <w:right w:w="85" w:type="dxa"/>
            </w:tcMar>
          </w:tcPr>
          <w:p>
            <w:pPr>
              <w:spacing w:after="0" w:line="247" w:lineRule="auto"/>
            </w:pPr>
            <w:r>
              <w:rPr>
                <w:sz w:val="20"/>
              </w:rPr>
              <w:t>Almacenamiento</w:t>
            </w:r>
          </w:p>
        </w:tc>
        <w:tc>
          <w:tcPr>
            <w:tcW w:type="dxa" w:w="8208"/>
            <w:vAlign w:val="center"/>
            <w:shd w:fill="FFFFFF"/>
            <w:tcMar>
              <w:top w:w="85" w:type="dxa"/>
              <w:left w:w="85" w:type="dxa"/>
              <w:bottom w:w="85" w:type="dxa"/>
              <w:right w:w="85" w:type="dxa"/>
            </w:tcMar>
          </w:tcPr>
          <w:p>
            <w:pPr>
              <w:spacing w:after="0" w:line="247" w:lineRule="auto"/>
            </w:pPr>
            <w:r>
              <w:rPr>
                <w:sz w:val="20"/>
              </w:rPr>
              <w:t>Áreas independientes para documentos éticos y archivos de investigación, con permisos y rutas propios.</w:t>
            </w:r>
          </w:p>
        </w:tc>
      </w:tr>
    </w:tbl>
    <w:p>
      <w:pPr>
        <w:spacing w:after="0"/>
      </w:pPr>
    </w:p>
    <w:p>
      <w:pPr>
        <w:pStyle w:val="Heading1"/>
      </w:pPr>
      <w:r>
        <w:t>2 Separación de información</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shd w:fill="000B78"/>
            <w:tcMar>
              <w:top w:w="85" w:type="dxa"/>
              <w:left w:w="85" w:type="dxa"/>
              <w:bottom w:w="85" w:type="dxa"/>
              <w:right w:w="85" w:type="dxa"/>
            </w:tcMar>
          </w:tcPr>
          <w:p>
            <w:pPr>
              <w:spacing w:after="0" w:line="247" w:lineRule="auto"/>
            </w:pPr>
            <w:r>
              <w:rPr>
                <w:b/>
                <w:color w:val="FFFFFF"/>
                <w:sz w:val="20"/>
              </w:rPr>
              <w:t>Esquema</w:t>
            </w:r>
          </w:p>
        </w:tc>
        <w:tc>
          <w:tcPr>
            <w:tcW w:type="dxa" w:w="7632"/>
            <w:vAlign w:val="center"/>
            <w:shd w:fill="000B78"/>
            <w:tcMar>
              <w:top w:w="85" w:type="dxa"/>
              <w:left w:w="85" w:type="dxa"/>
              <w:bottom w:w="85" w:type="dxa"/>
              <w:right w:w="85" w:type="dxa"/>
            </w:tcMar>
          </w:tcPr>
          <w:p>
            <w:pPr>
              <w:spacing w:after="0" w:line="247" w:lineRule="auto"/>
            </w:pPr>
            <w:r>
              <w:rPr>
                <w:b/>
                <w:color w:val="FFFFFF"/>
                <w:sz w:val="20"/>
              </w:rPr>
              <w:t>Responsabilidad y tablas</w:t>
            </w:r>
          </w:p>
        </w:tc>
      </w:tr>
      <w:tr>
        <w:trPr>
          <w:cantSplit/>
        </w:trPr>
        <w:tc>
          <w:tcPr>
            <w:tcW w:type="dxa" w:w="2448"/>
            <w:vAlign w:val="center"/>
            <w:shd w:fill="F3F5FC"/>
            <w:tcMar>
              <w:top w:w="85" w:type="dxa"/>
              <w:left w:w="85" w:type="dxa"/>
              <w:bottom w:w="85" w:type="dxa"/>
              <w:right w:w="85" w:type="dxa"/>
            </w:tcMar>
          </w:tcPr>
          <w:p>
            <w:pPr>
              <w:spacing w:after="0" w:line="247" w:lineRule="auto"/>
            </w:pPr>
            <w:r>
              <w:rPr>
                <w:sz w:val="20"/>
              </w:rPr>
              <w:t>identity_schema</w:t>
            </w:r>
          </w:p>
        </w:tc>
        <w:tc>
          <w:tcPr>
            <w:tcW w:type="dxa" w:w="7632"/>
            <w:vAlign w:val="center"/>
            <w:shd w:fill="F3F5FC"/>
            <w:tcMar>
              <w:top w:w="85" w:type="dxa"/>
              <w:left w:w="85" w:type="dxa"/>
              <w:bottom w:w="85" w:type="dxa"/>
              <w:right w:w="85" w:type="dxa"/>
            </w:tcMar>
          </w:tcPr>
          <w:p>
            <w:pPr>
              <w:spacing w:after="0" w:line="247" w:lineRule="auto"/>
            </w:pPr>
            <w:r>
              <w:rPr>
                <w:sz w:val="20"/>
              </w:rPr>
              <w:t>Identidad cifrada, UX Lab ID, vínculo 1 a 1 y representación legal entre identidades. 3 tablas.</w:t>
            </w:r>
          </w:p>
        </w:tc>
      </w:tr>
      <w:tr>
        <w:trPr>
          <w:cantSplit/>
        </w:trPr>
        <w:tc>
          <w:tcPr>
            <w:tcW w:type="dxa" w:w="2448"/>
            <w:vAlign w:val="center"/>
            <w:shd w:fill="FFFFFF"/>
            <w:tcMar>
              <w:top w:w="85" w:type="dxa"/>
              <w:left w:w="85" w:type="dxa"/>
              <w:bottom w:w="85" w:type="dxa"/>
              <w:right w:w="85" w:type="dxa"/>
            </w:tcMar>
          </w:tcPr>
          <w:p>
            <w:pPr>
              <w:spacing w:after="0" w:line="247" w:lineRule="auto"/>
            </w:pPr>
            <w:r>
              <w:rPr>
                <w:sz w:val="20"/>
              </w:rPr>
              <w:t>ethics_schema</w:t>
            </w:r>
          </w:p>
        </w:tc>
        <w:tc>
          <w:tcPr>
            <w:tcW w:type="dxa" w:w="7632"/>
            <w:vAlign w:val="center"/>
            <w:shd w:fill="FFFFFF"/>
            <w:tcMar>
              <w:top w:w="85" w:type="dxa"/>
              <w:left w:w="85" w:type="dxa"/>
              <w:bottom w:w="85" w:type="dxa"/>
              <w:right w:w="85" w:type="dxa"/>
            </w:tcMar>
          </w:tcPr>
          <w:p>
            <w:pPr>
              <w:spacing w:after="0" w:line="247" w:lineRule="auto"/>
            </w:pPr>
            <w:r>
              <w:rPr>
                <w:sz w:val="20"/>
              </w:rPr>
              <w:t>Versiones de protocolo y aprobación CEC, documentos, consentimiento y eventos con evidencia. 4 tablas.</w:t>
            </w:r>
          </w:p>
        </w:tc>
      </w:tr>
      <w:tr>
        <w:trPr>
          <w:cantSplit/>
        </w:trPr>
        <w:tc>
          <w:tcPr>
            <w:tcW w:type="dxa" w:w="2448"/>
            <w:vAlign w:val="center"/>
            <w:shd w:fill="F3F5FC"/>
            <w:tcMar>
              <w:top w:w="85" w:type="dxa"/>
              <w:left w:w="85" w:type="dxa"/>
              <w:bottom w:w="85" w:type="dxa"/>
              <w:right w:w="85" w:type="dxa"/>
            </w:tcMar>
          </w:tcPr>
          <w:p>
            <w:pPr>
              <w:spacing w:after="0" w:line="247" w:lineRule="auto"/>
            </w:pPr>
            <w:r>
              <w:rPr>
                <w:sz w:val="20"/>
              </w:rPr>
              <w:t>research_schema</w:t>
            </w:r>
          </w:p>
        </w:tc>
        <w:tc>
          <w:tcPr>
            <w:tcW w:type="dxa" w:w="7632"/>
            <w:vAlign w:val="center"/>
            <w:shd w:fill="F3F5FC"/>
            <w:tcMar>
              <w:top w:w="85" w:type="dxa"/>
              <w:left w:w="85" w:type="dxa"/>
              <w:bottom w:w="85" w:type="dxa"/>
              <w:right w:w="85" w:type="dxa"/>
            </w:tcMar>
          </w:tcPr>
          <w:p>
            <w:pPr>
              <w:spacing w:after="0" w:line="247" w:lineRule="auto"/>
            </w:pPr>
            <w:r>
              <w:rPr>
                <w:sz w:val="20"/>
              </w:rPr>
              <w:t>Estudios, participantes, participaciones, sesiones de investigación, archivos y exportaciones con su mapeo interno. 7 tablas.</w:t>
            </w:r>
          </w:p>
        </w:tc>
      </w:tr>
      <w:tr>
        <w:trPr>
          <w:cantSplit/>
        </w:trPr>
        <w:tc>
          <w:tcPr>
            <w:tcW w:type="dxa" w:w="2448"/>
            <w:vAlign w:val="center"/>
            <w:shd w:fill="FFFFFF"/>
            <w:tcMar>
              <w:top w:w="85" w:type="dxa"/>
              <w:left w:w="85" w:type="dxa"/>
              <w:bottom w:w="85" w:type="dxa"/>
              <w:right w:w="85" w:type="dxa"/>
            </w:tcMar>
          </w:tcPr>
          <w:p>
            <w:pPr>
              <w:spacing w:after="0" w:line="247" w:lineRule="auto"/>
            </w:pPr>
            <w:r>
              <w:rPr>
                <w:sz w:val="20"/>
              </w:rPr>
              <w:t>security_schema</w:t>
            </w:r>
          </w:p>
        </w:tc>
        <w:tc>
          <w:tcPr>
            <w:tcW w:type="dxa" w:w="7632"/>
            <w:vAlign w:val="center"/>
            <w:shd w:fill="FFFFFF"/>
            <w:tcMar>
              <w:top w:w="85" w:type="dxa"/>
              <w:left w:w="85" w:type="dxa"/>
              <w:bottom w:w="85" w:type="dxa"/>
              <w:right w:w="85" w:type="dxa"/>
            </w:tcMar>
          </w:tcPr>
          <w:p>
            <w:pPr>
              <w:spacing w:after="0" w:line="247" w:lineRule="auto"/>
            </w:pPr>
            <w:r>
              <w:rPr>
                <w:sz w:val="20"/>
              </w:rPr>
              <w:t>Usuarios, roles, permisos, membresías, sesiones de login, códigos MFA, autorizaciones y auditoría. 8 tablas.</w:t>
            </w:r>
          </w:p>
        </w:tc>
      </w:tr>
    </w:tbl>
    <w:p>
      <w:pPr>
        <w:spacing w:after="0"/>
      </w:pPr>
    </w:p>
    <w:p>
      <w:pPr>
        <w:widowControl/>
      </w:pPr>
      <w:r>
        <w:t>UX Lab ID identifica internamente a la persona; codigo_seudonimo identifica su participación en un estudio. codigo_exportacion identifica el paquete y codigo_en_exportacion identifica a la participación dentro de ese paquete. Los cuatro códigos son aleatorios e independientes.</w:t>
      </w:r>
    </w:p>
    <w:p>
      <w:r>
        <w:br w:type="page"/>
      </w:r>
    </w:p>
    <w:p>
      <w:pPr>
        <w:pStyle w:val="Heading1"/>
      </w:pPr>
      <w:r>
        <w:t>3 Seguridad y flujos principales</w:t>
      </w:r>
    </w:p>
    <w:p>
      <w:pPr>
        <w:pStyle w:val="Heading2"/>
      </w:pPr>
      <w:r>
        <w:t>Cadena de seguridad</w:t>
      </w:r>
    </w:p>
    <w:p>
      <w:pPr>
        <w:widowControl/>
      </w:pPr>
      <w:r>
        <w:t>Auditoría se prepara primero; autenticación verifica JWT, sesión vigente y cuenta activa; RBAC evalúa permiso del rol, alcance y membresía o autorización; el controlador ejecuta la operación; seudonimización filtra la respuesta; auditoría inserta el resultado al finalizar. Los intentos 401 y 403 y los login públicos también se registran.</w:t>
      </w:r>
    </w:p>
    <w:p>
      <w:pPr>
        <w:widowControl/>
      </w:pPr>
      <w:r>
        <w:t>La membresía diferencia puede_consultar, puede_cargar, puede_modificar, puede_descargar y puede_exportar, con vigencia. Un permiso global puede permitir supervisión sin membresía. Las autorizaciones especiales requieren estado aprobado, recurso y estudio correspondientes y fecha de vencimiento futura.</w:t>
      </w:r>
    </w:p>
    <w:p>
      <w:pPr>
        <w:pStyle w:val="Heading2"/>
      </w:pPr>
      <w:r>
        <w:t>Ingreso y recuperación</w:t>
      </w:r>
    </w:p>
    <w:p>
      <w:pPr>
        <w:widowControl/>
      </w:pPr>
      <w:r>
        <w:t>Los seis roles ingresan con correo, contraseña y segundo factor TOTP o código de recuperación de un solo uso. El QR configura la aplicación de autenticación. El modelo usa hash argon2id, secreto TOTP cifrado y hash del token de sesión. Soporte recupera cuentas con contraseña temporal y puede reiniciar MFA; el usuario debe cambiar la contraseña y enrolar MFA nuevamente cuando corresponda.</w:t>
      </w:r>
    </w:p>
    <w:p>
      <w:pPr>
        <w:pStyle w:val="Heading2"/>
      </w:pPr>
      <w:r>
        <w:t>Registro y consentimiento</w:t>
      </w:r>
    </w:p>
    <w:p>
      <w:pPr>
        <w:widowControl/>
      </w:pPr>
      <w:r>
        <w:t>Investigador o Asistente registra la identidad; la API la cifra y devuelve solo UX Lab ID. El enrolamiento crea o reutiliza participante y vínculo y genera el seudónimo por estudio. La decisión referencia id_documento y agrega un evento en ethics_schema con usuario, fecha y hash de evidencia. Los documentos firmados permanecen separados de los archivos de investigación.</w:t>
      </w:r>
    </w:p>
    <w:p>
      <w:pPr>
        <w:widowControl/>
      </w:pPr>
      <w:r>
        <w:t>En menores se requieren asentimiento propio y consentimiento del representante. Sin decisión vigente, con negar o retirar, o con participación retirada, no se habilitan nuevas sesiones ni carga de datos; el catálogo define 409. El reingreso se registra con reconsentir sobre el mismo consentimiento. Una versión nueva del documento exige reconsentimiento según el flujo v2.</w:t>
      </w:r>
    </w:p>
    <w:p>
      <w:pPr>
        <w:pStyle w:val="Heading2"/>
      </w:pPr>
      <w:r>
        <w:t>Exportación desidentificada</w:t>
      </w:r>
    </w:p>
    <w:p>
      <w:pPr>
        <w:widowControl/>
      </w:pPr>
      <w:r>
        <w:t>La solicitud registra propósito y filtros. El Investigador responsable puede solicitarla aprobada; la solicitud del Estudiante requiere aprobación. Se excluyen participaciones retiradas, PII, fechas exactas y archivos sensibles identificables sin autorización del CEC. El .zip usa códigos propios; no incluye UX Lab ID, seudónimos del estudio ni la tabla interna de mapeo.</w:t>
      </w:r>
    </w:p>
    <w:p>
      <w:pPr>
        <w:widowControl/>
      </w:pPr>
      <w:r>
        <w:t>El diseño lógico revalida elegibilidad antes de publicar y descargar. La caducidad se registra en fecha_vencimiento; su duración y el mecanismo de procesamiento se concretan en implementación. Desidentificar campos no garantiza anonimato de audio, video, imágenes ni evidencias firmadas.</w:t>
      </w:r>
    </w:p>
    <w:p>
      <w:r>
        <w:br w:type="page"/>
      </w:r>
    </w:p>
    <w:p>
      <w:pPr>
        <w:pStyle w:val="Heading1"/>
      </w:pPr>
      <w:r>
        <w:t>4 Contrato de API y decisiones abiertas</w:t>
      </w:r>
    </w:p>
    <w:p>
      <w:pPr>
        <w:widowControl/>
      </w:pPr>
      <w:r>
        <w:t>El catálogo v3 contiene 60 endpoints en 11 grupos. El anexo Markdown conserva método, recurso, roles, permiso por estudio, entrada y salida de todas las rutas. La tabla permiso es la fuente del RBAC; las restricciones por responsable, recurso y autorizaciones siguen siendo condiciones adicionales.</w:t>
      </w:r>
    </w:p>
    <w:tbl>
      <w:tblPr>
        <w:tblW w:type="auto" w:w="0"/>
        <w:jc w:val="center"/>
        <w:tblLayout w:type="fixed"/>
        <w:tblLook w:firstColumn="1" w:firstRow="1" w:lastColumn="0" w:lastRow="0" w:noHBand="0" w:noVBand="1" w:val="04A0"/>
      </w:tblPr>
      <w:tblGrid>
        <w:gridCol w:w="8064"/>
        <w:gridCol w:w="2016"/>
      </w:tblGrid>
      <w:tr>
        <w:trPr>
          <w:cantSplit/>
          <w:tblHeader/>
        </w:trPr>
        <w:tc>
          <w:tcPr>
            <w:tcW w:type="dxa" w:w="8064"/>
            <w:vAlign w:val="center"/>
            <w:shd w:fill="000B78"/>
            <w:tcMar>
              <w:top w:w="85" w:type="dxa"/>
              <w:left w:w="85" w:type="dxa"/>
              <w:bottom w:w="85" w:type="dxa"/>
              <w:right w:w="85" w:type="dxa"/>
            </w:tcMar>
          </w:tcPr>
          <w:p>
            <w:pPr>
              <w:spacing w:after="0" w:line="247" w:lineRule="auto"/>
            </w:pPr>
            <w:r>
              <w:rPr>
                <w:b/>
                <w:color w:val="FFFFFF"/>
                <w:sz w:val="20"/>
              </w:rPr>
              <w:t>Grupo de recursos</w:t>
            </w:r>
          </w:p>
        </w:tc>
        <w:tc>
          <w:tcPr>
            <w:tcW w:type="dxa" w:w="2016"/>
            <w:vAlign w:val="center"/>
            <w:shd w:fill="000B78"/>
            <w:tcMar>
              <w:top w:w="85" w:type="dxa"/>
              <w:left w:w="85" w:type="dxa"/>
              <w:bottom w:w="85" w:type="dxa"/>
              <w:right w:w="85" w:type="dxa"/>
            </w:tcMar>
          </w:tcPr>
          <w:p>
            <w:pPr>
              <w:spacing w:after="0" w:line="247" w:lineRule="auto"/>
            </w:pPr>
            <w:r>
              <w:rPr>
                <w:b/>
                <w:color w:val="FFFFFF"/>
                <w:sz w:val="20"/>
              </w:rPr>
              <w:t>Rutas</w:t>
            </w:r>
          </w:p>
        </w:tc>
      </w:tr>
      <w:tr>
        <w:trPr>
          <w:cantSplit/>
        </w:trPr>
        <w:tc>
          <w:tcPr>
            <w:tcW w:type="dxa" w:w="8064"/>
            <w:vAlign w:val="center"/>
            <w:shd w:fill="F3F5FC"/>
            <w:tcMar>
              <w:top w:w="85" w:type="dxa"/>
              <w:left w:w="85" w:type="dxa"/>
              <w:bottom w:w="85" w:type="dxa"/>
              <w:right w:w="85" w:type="dxa"/>
            </w:tcMar>
          </w:tcPr>
          <w:p>
            <w:pPr>
              <w:spacing w:after="0" w:line="247" w:lineRule="auto"/>
            </w:pPr>
            <w:r>
              <w:rPr>
                <w:sz w:val="20"/>
              </w:rPr>
              <w:t>Autenticación y MFA</w:t>
            </w:r>
          </w:p>
        </w:tc>
        <w:tc>
          <w:tcPr>
            <w:tcW w:type="dxa" w:w="2016"/>
            <w:vAlign w:val="center"/>
            <w:shd w:fill="F3F5FC"/>
            <w:tcMar>
              <w:top w:w="85" w:type="dxa"/>
              <w:left w:w="85" w:type="dxa"/>
              <w:bottom w:w="85" w:type="dxa"/>
              <w:right w:w="85" w:type="dxa"/>
            </w:tcMar>
          </w:tcPr>
          <w:p>
            <w:pPr>
              <w:spacing w:after="0" w:line="247" w:lineRule="auto"/>
            </w:pPr>
            <w:r>
              <w:rPr>
                <w:sz w:val="20"/>
              </w:rPr>
              <w:t>6</w:t>
            </w:r>
          </w:p>
        </w:tc>
      </w:tr>
      <w:tr>
        <w:trPr>
          <w:cantSplit/>
        </w:trPr>
        <w:tc>
          <w:tcPr>
            <w:tcW w:type="dxa" w:w="8064"/>
            <w:vAlign w:val="center"/>
            <w:shd w:fill="FFFFFF"/>
            <w:tcMar>
              <w:top w:w="85" w:type="dxa"/>
              <w:left w:w="85" w:type="dxa"/>
              <w:bottom w:w="85" w:type="dxa"/>
              <w:right w:w="85" w:type="dxa"/>
            </w:tcMar>
          </w:tcPr>
          <w:p>
            <w:pPr>
              <w:spacing w:after="0" w:line="247" w:lineRule="auto"/>
            </w:pPr>
            <w:r>
              <w:rPr>
                <w:sz w:val="20"/>
              </w:rPr>
              <w:t>Usuarios sesiones y permisos</w:t>
            </w:r>
          </w:p>
        </w:tc>
        <w:tc>
          <w:tcPr>
            <w:tcW w:type="dxa" w:w="2016"/>
            <w:vAlign w:val="center"/>
            <w:shd w:fill="FFFFFF"/>
            <w:tcMar>
              <w:top w:w="85" w:type="dxa"/>
              <w:left w:w="85" w:type="dxa"/>
              <w:bottom w:w="85" w:type="dxa"/>
              <w:right w:w="85" w:type="dxa"/>
            </w:tcMar>
          </w:tcPr>
          <w:p>
            <w:pPr>
              <w:spacing w:after="0" w:line="247" w:lineRule="auto"/>
            </w:pPr>
            <w:r>
              <w:rPr>
                <w:sz w:val="20"/>
              </w:rPr>
              <w:t>10</w:t>
            </w:r>
          </w:p>
        </w:tc>
      </w:tr>
      <w:tr>
        <w:trPr>
          <w:cantSplit/>
        </w:trPr>
        <w:tc>
          <w:tcPr>
            <w:tcW w:type="dxa" w:w="8064"/>
            <w:vAlign w:val="center"/>
            <w:shd w:fill="F3F5FC"/>
            <w:tcMar>
              <w:top w:w="85" w:type="dxa"/>
              <w:left w:w="85" w:type="dxa"/>
              <w:bottom w:w="85" w:type="dxa"/>
              <w:right w:w="85" w:type="dxa"/>
            </w:tcMar>
          </w:tcPr>
          <w:p>
            <w:pPr>
              <w:spacing w:after="0" w:line="247" w:lineRule="auto"/>
            </w:pPr>
            <w:r>
              <w:rPr>
                <w:sz w:val="20"/>
              </w:rPr>
              <w:t>Estudios protocolos y CEC</w:t>
            </w:r>
          </w:p>
        </w:tc>
        <w:tc>
          <w:tcPr>
            <w:tcW w:type="dxa" w:w="2016"/>
            <w:vAlign w:val="center"/>
            <w:shd w:fill="F3F5FC"/>
            <w:tcMar>
              <w:top w:w="85" w:type="dxa"/>
              <w:left w:w="85" w:type="dxa"/>
              <w:bottom w:w="85" w:type="dxa"/>
              <w:right w:w="85" w:type="dxa"/>
            </w:tcMar>
          </w:tcPr>
          <w:p>
            <w:pPr>
              <w:spacing w:after="0" w:line="247" w:lineRule="auto"/>
            </w:pPr>
            <w:r>
              <w:rPr>
                <w:sz w:val="20"/>
              </w:rPr>
              <w:t>9</w:t>
            </w:r>
          </w:p>
        </w:tc>
      </w:tr>
      <w:tr>
        <w:trPr>
          <w:cantSplit/>
        </w:trPr>
        <w:tc>
          <w:tcPr>
            <w:tcW w:type="dxa" w:w="8064"/>
            <w:vAlign w:val="center"/>
            <w:shd w:fill="FFFFFF"/>
            <w:tcMar>
              <w:top w:w="85" w:type="dxa"/>
              <w:left w:w="85" w:type="dxa"/>
              <w:bottom w:w="85" w:type="dxa"/>
              <w:right w:w="85" w:type="dxa"/>
            </w:tcMar>
          </w:tcPr>
          <w:p>
            <w:pPr>
              <w:spacing w:after="0" w:line="247" w:lineRule="auto"/>
            </w:pPr>
            <w:r>
              <w:rPr>
                <w:sz w:val="20"/>
              </w:rPr>
              <w:t>Membresías</w:t>
            </w:r>
          </w:p>
        </w:tc>
        <w:tc>
          <w:tcPr>
            <w:tcW w:type="dxa" w:w="2016"/>
            <w:vAlign w:val="center"/>
            <w:shd w:fill="FFFFFF"/>
            <w:tcMar>
              <w:top w:w="85" w:type="dxa"/>
              <w:left w:w="85" w:type="dxa"/>
              <w:bottom w:w="85" w:type="dxa"/>
              <w:right w:w="85" w:type="dxa"/>
            </w:tcMar>
          </w:tcPr>
          <w:p>
            <w:pPr>
              <w:spacing w:after="0" w:line="247" w:lineRule="auto"/>
            </w:pPr>
            <w:r>
              <w:rPr>
                <w:sz w:val="20"/>
              </w:rPr>
              <w:t>4</w:t>
            </w:r>
          </w:p>
        </w:tc>
      </w:tr>
      <w:tr>
        <w:trPr>
          <w:cantSplit/>
        </w:trPr>
        <w:tc>
          <w:tcPr>
            <w:tcW w:type="dxa" w:w="8064"/>
            <w:vAlign w:val="center"/>
            <w:shd w:fill="F3F5FC"/>
            <w:tcMar>
              <w:top w:w="85" w:type="dxa"/>
              <w:left w:w="85" w:type="dxa"/>
              <w:bottom w:w="85" w:type="dxa"/>
              <w:right w:w="85" w:type="dxa"/>
            </w:tcMar>
          </w:tcPr>
          <w:p>
            <w:pPr>
              <w:spacing w:after="0" w:line="247" w:lineRule="auto"/>
            </w:pPr>
            <w:r>
              <w:rPr>
                <w:sz w:val="20"/>
              </w:rPr>
              <w:t>Identidades y representación</w:t>
            </w:r>
          </w:p>
        </w:tc>
        <w:tc>
          <w:tcPr>
            <w:tcW w:type="dxa" w:w="2016"/>
            <w:vAlign w:val="center"/>
            <w:shd w:fill="F3F5FC"/>
            <w:tcMar>
              <w:top w:w="85" w:type="dxa"/>
              <w:left w:w="85" w:type="dxa"/>
              <w:bottom w:w="85" w:type="dxa"/>
              <w:right w:w="85" w:type="dxa"/>
            </w:tcMar>
          </w:tcPr>
          <w:p>
            <w:pPr>
              <w:spacing w:after="0" w:line="247" w:lineRule="auto"/>
            </w:pPr>
            <w:r>
              <w:rPr>
                <w:sz w:val="20"/>
              </w:rPr>
              <w:t>5</w:t>
            </w:r>
          </w:p>
        </w:tc>
      </w:tr>
      <w:tr>
        <w:trPr>
          <w:cantSplit/>
        </w:trPr>
        <w:tc>
          <w:tcPr>
            <w:tcW w:type="dxa" w:w="8064"/>
            <w:vAlign w:val="center"/>
            <w:shd w:fill="FFFFFF"/>
            <w:tcMar>
              <w:top w:w="85" w:type="dxa"/>
              <w:left w:w="85" w:type="dxa"/>
              <w:bottom w:w="85" w:type="dxa"/>
              <w:right w:w="85" w:type="dxa"/>
            </w:tcMar>
          </w:tcPr>
          <w:p>
            <w:pPr>
              <w:spacing w:after="0" w:line="247" w:lineRule="auto"/>
            </w:pPr>
            <w:r>
              <w:rPr>
                <w:sz w:val="20"/>
              </w:rPr>
              <w:t>Participaciones y sesiones de investigación</w:t>
            </w:r>
          </w:p>
        </w:tc>
        <w:tc>
          <w:tcPr>
            <w:tcW w:type="dxa" w:w="2016"/>
            <w:vAlign w:val="center"/>
            <w:shd w:fill="FFFFFF"/>
            <w:tcMar>
              <w:top w:w="85" w:type="dxa"/>
              <w:left w:w="85" w:type="dxa"/>
              <w:bottom w:w="85" w:type="dxa"/>
              <w:right w:w="85" w:type="dxa"/>
            </w:tcMar>
          </w:tcPr>
          <w:p>
            <w:pPr>
              <w:spacing w:after="0" w:line="247" w:lineRule="auto"/>
            </w:pPr>
            <w:r>
              <w:rPr>
                <w:sz w:val="20"/>
              </w:rPr>
              <w:t>6</w:t>
            </w:r>
          </w:p>
        </w:tc>
      </w:tr>
      <w:tr>
        <w:trPr>
          <w:cantSplit/>
        </w:trPr>
        <w:tc>
          <w:tcPr>
            <w:tcW w:type="dxa" w:w="8064"/>
            <w:vAlign w:val="center"/>
            <w:shd w:fill="F3F5FC"/>
            <w:tcMar>
              <w:top w:w="85" w:type="dxa"/>
              <w:left w:w="85" w:type="dxa"/>
              <w:bottom w:w="85" w:type="dxa"/>
              <w:right w:w="85" w:type="dxa"/>
            </w:tcMar>
          </w:tcPr>
          <w:p>
            <w:pPr>
              <w:spacing w:after="0" w:line="247" w:lineRule="auto"/>
            </w:pPr>
            <w:r>
              <w:rPr>
                <w:sz w:val="20"/>
              </w:rPr>
              <w:t>Consentimientos y asentimientos</w:t>
            </w:r>
          </w:p>
        </w:tc>
        <w:tc>
          <w:tcPr>
            <w:tcW w:type="dxa" w:w="2016"/>
            <w:vAlign w:val="center"/>
            <w:shd w:fill="F3F5FC"/>
            <w:tcMar>
              <w:top w:w="85" w:type="dxa"/>
              <w:left w:w="85" w:type="dxa"/>
              <w:bottom w:w="85" w:type="dxa"/>
              <w:right w:w="85" w:type="dxa"/>
            </w:tcMar>
          </w:tcPr>
          <w:p>
            <w:pPr>
              <w:spacing w:after="0" w:line="247" w:lineRule="auto"/>
            </w:pPr>
            <w:r>
              <w:rPr>
                <w:sz w:val="20"/>
              </w:rPr>
              <w:t>7</w:t>
            </w:r>
          </w:p>
        </w:tc>
      </w:tr>
      <w:tr>
        <w:trPr>
          <w:cantSplit/>
        </w:trPr>
        <w:tc>
          <w:tcPr>
            <w:tcW w:type="dxa" w:w="8064"/>
            <w:vAlign w:val="center"/>
            <w:shd w:fill="FFFFFF"/>
            <w:tcMar>
              <w:top w:w="85" w:type="dxa"/>
              <w:left w:w="85" w:type="dxa"/>
              <w:bottom w:w="85" w:type="dxa"/>
              <w:right w:w="85" w:type="dxa"/>
            </w:tcMar>
          </w:tcPr>
          <w:p>
            <w:pPr>
              <w:spacing w:after="0" w:line="247" w:lineRule="auto"/>
            </w:pPr>
            <w:r>
              <w:rPr>
                <w:sz w:val="20"/>
              </w:rPr>
              <w:t>Archivos de investigación</w:t>
            </w:r>
          </w:p>
        </w:tc>
        <w:tc>
          <w:tcPr>
            <w:tcW w:type="dxa" w:w="2016"/>
            <w:vAlign w:val="center"/>
            <w:shd w:fill="FFFFFF"/>
            <w:tcMar>
              <w:top w:w="85" w:type="dxa"/>
              <w:left w:w="85" w:type="dxa"/>
              <w:bottom w:w="85" w:type="dxa"/>
              <w:right w:w="85" w:type="dxa"/>
            </w:tcMar>
          </w:tcPr>
          <w:p>
            <w:pPr>
              <w:spacing w:after="0" w:line="247" w:lineRule="auto"/>
            </w:pPr>
            <w:r>
              <w:rPr>
                <w:sz w:val="20"/>
              </w:rPr>
              <w:t>4</w:t>
            </w:r>
          </w:p>
        </w:tc>
      </w:tr>
      <w:tr>
        <w:trPr>
          <w:cantSplit/>
        </w:trPr>
        <w:tc>
          <w:tcPr>
            <w:tcW w:type="dxa" w:w="8064"/>
            <w:vAlign w:val="center"/>
            <w:shd w:fill="F3F5FC"/>
            <w:tcMar>
              <w:top w:w="85" w:type="dxa"/>
              <w:left w:w="85" w:type="dxa"/>
              <w:bottom w:w="85" w:type="dxa"/>
              <w:right w:w="85" w:type="dxa"/>
            </w:tcMar>
          </w:tcPr>
          <w:p>
            <w:pPr>
              <w:spacing w:after="0" w:line="247" w:lineRule="auto"/>
            </w:pPr>
            <w:r>
              <w:rPr>
                <w:sz w:val="20"/>
              </w:rPr>
              <w:t>Exportaciones</w:t>
            </w:r>
          </w:p>
        </w:tc>
        <w:tc>
          <w:tcPr>
            <w:tcW w:type="dxa" w:w="2016"/>
            <w:vAlign w:val="center"/>
            <w:shd w:fill="F3F5FC"/>
            <w:tcMar>
              <w:top w:w="85" w:type="dxa"/>
              <w:left w:w="85" w:type="dxa"/>
              <w:bottom w:w="85" w:type="dxa"/>
              <w:right w:w="85" w:type="dxa"/>
            </w:tcMar>
          </w:tcPr>
          <w:p>
            <w:pPr>
              <w:spacing w:after="0" w:line="247" w:lineRule="auto"/>
            </w:pPr>
            <w:r>
              <w:rPr>
                <w:sz w:val="20"/>
              </w:rPr>
              <w:t>4</w:t>
            </w:r>
          </w:p>
        </w:tc>
      </w:tr>
      <w:tr>
        <w:trPr>
          <w:cantSplit/>
        </w:trPr>
        <w:tc>
          <w:tcPr>
            <w:tcW w:type="dxa" w:w="8064"/>
            <w:vAlign w:val="center"/>
            <w:shd w:fill="FFFFFF"/>
            <w:tcMar>
              <w:top w:w="85" w:type="dxa"/>
              <w:left w:w="85" w:type="dxa"/>
              <w:bottom w:w="85" w:type="dxa"/>
              <w:right w:w="85" w:type="dxa"/>
            </w:tcMar>
          </w:tcPr>
          <w:p>
            <w:pPr>
              <w:spacing w:after="0" w:line="247" w:lineRule="auto"/>
            </w:pPr>
            <w:r>
              <w:rPr>
                <w:sz w:val="20"/>
              </w:rPr>
              <w:t>Autorizaciones especiales</w:t>
            </w:r>
          </w:p>
        </w:tc>
        <w:tc>
          <w:tcPr>
            <w:tcW w:type="dxa" w:w="2016"/>
            <w:vAlign w:val="center"/>
            <w:shd w:fill="FFFFFF"/>
            <w:tcMar>
              <w:top w:w="85" w:type="dxa"/>
              <w:left w:w="85" w:type="dxa"/>
              <w:bottom w:w="85" w:type="dxa"/>
              <w:right w:w="85" w:type="dxa"/>
            </w:tcMar>
          </w:tcPr>
          <w:p>
            <w:pPr>
              <w:spacing w:after="0" w:line="247" w:lineRule="auto"/>
            </w:pPr>
            <w:r>
              <w:rPr>
                <w:sz w:val="20"/>
              </w:rPr>
              <w:t>3</w:t>
            </w:r>
          </w:p>
        </w:tc>
      </w:tr>
      <w:tr>
        <w:trPr>
          <w:cantSplit/>
        </w:trPr>
        <w:tc>
          <w:tcPr>
            <w:tcW w:type="dxa" w:w="8064"/>
            <w:vAlign w:val="center"/>
            <w:shd w:fill="F3F5FC"/>
            <w:tcMar>
              <w:top w:w="85" w:type="dxa"/>
              <w:left w:w="85" w:type="dxa"/>
              <w:bottom w:w="85" w:type="dxa"/>
              <w:right w:w="85" w:type="dxa"/>
            </w:tcMar>
          </w:tcPr>
          <w:p>
            <w:pPr>
              <w:spacing w:after="0" w:line="247" w:lineRule="auto"/>
            </w:pPr>
            <w:r>
              <w:rPr>
                <w:sz w:val="20"/>
              </w:rPr>
              <w:t>Auditoría y plantillas</w:t>
            </w:r>
          </w:p>
        </w:tc>
        <w:tc>
          <w:tcPr>
            <w:tcW w:type="dxa" w:w="2016"/>
            <w:vAlign w:val="center"/>
            <w:shd w:fill="F3F5FC"/>
            <w:tcMar>
              <w:top w:w="85" w:type="dxa"/>
              <w:left w:w="85" w:type="dxa"/>
              <w:bottom w:w="85" w:type="dxa"/>
              <w:right w:w="85" w:type="dxa"/>
            </w:tcMar>
          </w:tcPr>
          <w:p>
            <w:pPr>
              <w:spacing w:after="0" w:line="247" w:lineRule="auto"/>
            </w:pPr>
            <w:r>
              <w:rPr>
                <w:sz w:val="20"/>
              </w:rPr>
              <w:t>2</w:t>
            </w:r>
          </w:p>
        </w:tc>
      </w:tr>
      <w:tr>
        <w:trPr>
          <w:cantSplit/>
        </w:trPr>
        <w:tc>
          <w:tcPr>
            <w:tcW w:type="dxa" w:w="8064"/>
            <w:vAlign w:val="center"/>
            <w:shd w:fill="FFFFFF"/>
            <w:tcMar>
              <w:top w:w="85" w:type="dxa"/>
              <w:left w:w="85" w:type="dxa"/>
              <w:bottom w:w="85" w:type="dxa"/>
              <w:right w:w="85" w:type="dxa"/>
            </w:tcMar>
          </w:tcPr>
          <w:p>
            <w:pPr>
              <w:spacing w:after="0" w:line="247" w:lineRule="auto"/>
            </w:pPr>
            <w:r>
              <w:rPr>
                <w:sz w:val="20"/>
              </w:rPr>
              <w:t>Total</w:t>
            </w:r>
          </w:p>
        </w:tc>
        <w:tc>
          <w:tcPr>
            <w:tcW w:type="dxa" w:w="2016"/>
            <w:vAlign w:val="center"/>
            <w:shd w:fill="FFFFFF"/>
            <w:tcMar>
              <w:top w:w="85" w:type="dxa"/>
              <w:left w:w="85" w:type="dxa"/>
              <w:bottom w:w="85" w:type="dxa"/>
              <w:right w:w="85" w:type="dxa"/>
            </w:tcMar>
          </w:tcPr>
          <w:p>
            <w:pPr>
              <w:spacing w:after="0" w:line="247" w:lineRule="auto"/>
            </w:pPr>
            <w:r>
              <w:rPr>
                <w:sz w:val="20"/>
              </w:rPr>
              <w:t>60</w:t>
            </w:r>
          </w:p>
        </w:tc>
      </w:tr>
    </w:tbl>
    <w:p>
      <w:pPr>
        <w:spacing w:after="0"/>
      </w:pPr>
    </w:p>
    <w:p>
      <w:pPr>
        <w:pStyle w:val="Heading2"/>
      </w:pPr>
      <w:r>
        <w:t>5 Decisiones por completar</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shd w:fill="000B78"/>
            <w:tcMar>
              <w:top w:w="85" w:type="dxa"/>
              <w:left w:w="85" w:type="dxa"/>
              <w:bottom w:w="85" w:type="dxa"/>
              <w:right w:w="85" w:type="dxa"/>
            </w:tcMar>
          </w:tcPr>
          <w:p>
            <w:pPr>
              <w:spacing w:after="0" w:line="247" w:lineRule="auto"/>
            </w:pPr>
            <w:r>
              <w:rPr>
                <w:b/>
                <w:color w:val="FFFFFF"/>
                <w:sz w:val="19"/>
              </w:rPr>
              <w:t>Tema</w:t>
            </w:r>
          </w:p>
        </w:tc>
        <w:tc>
          <w:tcPr>
            <w:tcW w:type="dxa" w:w="8136"/>
            <w:vAlign w:val="center"/>
            <w:shd w:fill="000B78"/>
            <w:tcMar>
              <w:top w:w="85" w:type="dxa"/>
              <w:left w:w="85" w:type="dxa"/>
              <w:bottom w:w="85" w:type="dxa"/>
              <w:right w:w="85" w:type="dxa"/>
            </w:tcMar>
          </w:tcPr>
          <w:p>
            <w:pPr>
              <w:spacing w:after="0" w:line="247" w:lineRule="auto"/>
            </w:pPr>
            <w:r>
              <w:rPr>
                <w:b/>
                <w:color w:val="FFFFFF"/>
                <w:sz w:val="19"/>
              </w:rPr>
              <w:t>Definición pendiente</w:t>
            </w:r>
          </w:p>
        </w:tc>
      </w:tr>
      <w:tr>
        <w:trPr>
          <w:cantSplit/>
        </w:trPr>
        <w:tc>
          <w:tcPr>
            <w:tcW w:type="dxa" w:w="1944"/>
            <w:vAlign w:val="center"/>
            <w:shd w:fill="F3F5FC"/>
            <w:tcMar>
              <w:top w:w="85" w:type="dxa"/>
              <w:left w:w="85" w:type="dxa"/>
              <w:bottom w:w="85" w:type="dxa"/>
              <w:right w:w="85" w:type="dxa"/>
            </w:tcMar>
          </w:tcPr>
          <w:p>
            <w:pPr>
              <w:spacing w:after="0" w:line="247" w:lineRule="auto"/>
            </w:pPr>
            <w:r>
              <w:rPr>
                <w:sz w:val="19"/>
              </w:rPr>
              <w:t>MFA y primer ingreso</w:t>
            </w:r>
          </w:p>
        </w:tc>
        <w:tc>
          <w:tcPr>
            <w:tcW w:type="dxa" w:w="8136"/>
            <w:vAlign w:val="center"/>
            <w:shd w:fill="F3F5FC"/>
            <w:tcMar>
              <w:top w:w="85" w:type="dxa"/>
              <w:left w:w="85" w:type="dxa"/>
              <w:bottom w:w="85" w:type="dxa"/>
              <w:right w:w="85" w:type="dxa"/>
            </w:tcMar>
          </w:tcPr>
          <w:p>
            <w:pPr>
              <w:spacing w:after="0" w:line="247" w:lineRule="auto"/>
            </w:pPr>
            <w:r>
              <w:rPr>
                <w:sz w:val="19"/>
              </w:rPr>
              <w:t>Precisar el token o sesión restringida para cambiar contraseña y enrolar MFA antes de disponer de una sesión completa.</w:t>
            </w:r>
          </w:p>
        </w:tc>
      </w:tr>
      <w:tr>
        <w:trPr>
          <w:cantSplit/>
        </w:trPr>
        <w:tc>
          <w:tcPr>
            <w:tcW w:type="dxa" w:w="1944"/>
            <w:vAlign w:val="center"/>
            <w:shd w:fill="FFFFFF"/>
            <w:tcMar>
              <w:top w:w="85" w:type="dxa"/>
              <w:left w:w="85" w:type="dxa"/>
              <w:bottom w:w="85" w:type="dxa"/>
              <w:right w:w="85" w:type="dxa"/>
            </w:tcMar>
          </w:tcPr>
          <w:p>
            <w:pPr>
              <w:spacing w:after="0" w:line="247" w:lineRule="auto"/>
            </w:pPr>
            <w:r>
              <w:rPr>
                <w:sz w:val="19"/>
              </w:rPr>
              <w:t>Permisos e identidad</w:t>
            </w:r>
          </w:p>
        </w:tc>
        <w:tc>
          <w:tcPr>
            <w:tcW w:type="dxa" w:w="8136"/>
            <w:vAlign w:val="center"/>
            <w:shd w:fill="FFFFFF"/>
            <w:tcMar>
              <w:top w:w="85" w:type="dxa"/>
              <w:left w:w="85" w:type="dxa"/>
              <w:bottom w:w="85" w:type="dxa"/>
              <w:right w:w="85" w:type="dxa"/>
            </w:tcMar>
          </w:tcPr>
          <w:p>
            <w:pPr>
              <w:spacing w:after="0" w:line="247" w:lineRule="auto"/>
            </w:pPr>
            <w:r>
              <w:rPr>
                <w:sz w:val="19"/>
              </w:rPr>
              <w:t>Validar escritura de identidad sin lectura y fijar el catálogo seed. Conciliar la excepción del UX Lab ID al capturar con el filtro de salida.</w:t>
            </w:r>
          </w:p>
        </w:tc>
      </w:tr>
      <w:tr>
        <w:trPr>
          <w:cantSplit/>
        </w:trPr>
        <w:tc>
          <w:tcPr>
            <w:tcW w:type="dxa" w:w="1944"/>
            <w:vAlign w:val="center"/>
            <w:shd w:fill="F3F5FC"/>
            <w:tcMar>
              <w:top w:w="85" w:type="dxa"/>
              <w:left w:w="85" w:type="dxa"/>
              <w:bottom w:w="85" w:type="dxa"/>
              <w:right w:w="85" w:type="dxa"/>
            </w:tcMar>
          </w:tcPr>
          <w:p>
            <w:pPr>
              <w:spacing w:after="0" w:line="247" w:lineRule="auto"/>
            </w:pPr>
            <w:r>
              <w:rPr>
                <w:sz w:val="19"/>
              </w:rPr>
              <w:t>Ética y retención</w:t>
            </w:r>
          </w:p>
        </w:tc>
        <w:tc>
          <w:tcPr>
            <w:tcW w:type="dxa" w:w="8136"/>
            <w:vAlign w:val="center"/>
            <w:shd w:fill="F3F5FC"/>
            <w:tcMar>
              <w:top w:w="85" w:type="dxa"/>
              <w:left w:w="85" w:type="dxa"/>
              <w:bottom w:w="85" w:type="dxa"/>
              <w:right w:w="85" w:type="dxa"/>
            </w:tcMar>
          </w:tcPr>
          <w:p>
            <w:pPr>
              <w:spacing w:after="0" w:line="247" w:lineRule="auto"/>
            </w:pPr>
            <w:r>
              <w:rPr>
                <w:sz w:val="19"/>
              </w:rPr>
              <w:t>CEC define reconsentimiento, conservación tras retiro, evidencias y archivos sensibles. Validar jurídicamente el plazo de supresión; 30 días es propuesta interna.</w:t>
            </w:r>
          </w:p>
        </w:tc>
      </w:tr>
      <w:tr>
        <w:trPr>
          <w:cantSplit/>
        </w:trPr>
        <w:tc>
          <w:tcPr>
            <w:tcW w:type="dxa" w:w="1944"/>
            <w:vAlign w:val="center"/>
            <w:shd w:fill="FFFFFF"/>
            <w:tcMar>
              <w:top w:w="85" w:type="dxa"/>
              <w:left w:w="85" w:type="dxa"/>
              <w:bottom w:w="85" w:type="dxa"/>
              <w:right w:w="85" w:type="dxa"/>
            </w:tcMar>
          </w:tcPr>
          <w:p>
            <w:pPr>
              <w:spacing w:after="0" w:line="247" w:lineRule="auto"/>
            </w:pPr>
            <w:r>
              <w:rPr>
                <w:sz w:val="19"/>
              </w:rPr>
              <w:t>Operación</w:t>
            </w:r>
          </w:p>
        </w:tc>
        <w:tc>
          <w:tcPr>
            <w:tcW w:type="dxa" w:w="8136"/>
            <w:vAlign w:val="center"/>
            <w:shd w:fill="FFFFFF"/>
            <w:tcMar>
              <w:top w:w="85" w:type="dxa"/>
              <w:left w:w="85" w:type="dxa"/>
              <w:bottom w:w="85" w:type="dxa"/>
              <w:right w:w="85" w:type="dxa"/>
            </w:tcMar>
          </w:tcPr>
          <w:p>
            <w:pPr>
              <w:spacing w:after="0" w:line="247" w:lineRule="auto"/>
            </w:pPr>
            <w:r>
              <w:rPr>
                <w:sz w:val="19"/>
              </w:rPr>
              <w:t>Elegir frontend, almacenamiento y gestión/rotación de llaves. Definir tamaño máximo, ejecución de cargas/exportaciones y recuperación ante fallos de auditoría.</w:t>
            </w:r>
          </w:p>
        </w:tc>
      </w:tr>
      <w:tr>
        <w:trPr>
          <w:cantSplit/>
        </w:trPr>
        <w:tc>
          <w:tcPr>
            <w:tcW w:type="dxa" w:w="1944"/>
            <w:vAlign w:val="center"/>
            <w:shd w:fill="F3F5FC"/>
            <w:tcMar>
              <w:top w:w="85" w:type="dxa"/>
              <w:left w:w="85" w:type="dxa"/>
              <w:bottom w:w="85" w:type="dxa"/>
              <w:right w:w="85" w:type="dxa"/>
            </w:tcMar>
          </w:tcPr>
          <w:p>
            <w:pPr>
              <w:spacing w:after="0" w:line="247" w:lineRule="auto"/>
            </w:pPr>
            <w:r>
              <w:rPr>
                <w:sz w:val="19"/>
              </w:rPr>
              <w:t>Descarga y exportación</w:t>
            </w:r>
          </w:p>
        </w:tc>
        <w:tc>
          <w:tcPr>
            <w:tcW w:type="dxa" w:w="8136"/>
            <w:vAlign w:val="center"/>
            <w:shd w:fill="F3F5FC"/>
            <w:tcMar>
              <w:top w:w="85" w:type="dxa"/>
              <w:left w:w="85" w:type="dxa"/>
              <w:bottom w:w="85" w:type="dxa"/>
              <w:right w:w="85" w:type="dxa"/>
            </w:tcMar>
          </w:tcPr>
          <w:p>
            <w:pPr>
              <w:spacing w:after="0" w:line="247" w:lineRule="auto"/>
            </w:pPr>
            <w:r>
              <w:rPr>
                <w:sz w:val="19"/>
              </w:rPr>
              <w:t>Conciliar descarga excepcional de Invitado con su membresía de solo consulta; detallar .zip, caducidad y cambios de permisos o retiro durante generación.</w:t>
            </w:r>
          </w:p>
        </w:tc>
      </w:tr>
    </w:tbl>
    <w:p>
      <w:pPr>
        <w:spacing w:after="0"/>
      </w:pPr>
    </w:p>
    <w:p>
      <w:r>
        <w:br w:type="page"/>
      </w:r>
    </w:p>
    <w:p>
      <w:pPr>
        <w:pStyle w:val="Heading1"/>
      </w:pPr>
      <w:r>
        <w:t>6 Componentes del backend</w:t>
      </w:r>
    </w:p>
    <w:p>
      <w:pPr>
        <w:widowControl/>
      </w:pPr>
      <w:r>
        <w:t>C4 Nivel 3 versión 1.1. Los componentes representan responsabilidades lógicas; las flechas indican dependencias. PostgreSQL separa cuatro esquemas y el almacenamiento separa evidencia ética y archivos de estudio.</w:t>
      </w:r>
    </w:p>
    <w:p>
      <w:r>
        <w:drawing>
          <wp:inline xmlns:a="http://schemas.openxmlformats.org/drawingml/2006/main" xmlns:pic="http://schemas.openxmlformats.org/drawingml/2006/picture">
            <wp:extent cx="6309360" cy="6344062"/>
            <wp:docPr id="3" name="Picture 3"/>
            <wp:cNvGraphicFramePr>
              <a:graphicFrameLocks noChangeAspect="1"/>
            </wp:cNvGraphicFramePr>
            <a:graphic>
              <a:graphicData uri="http://schemas.openxmlformats.org/drawingml/2006/picture">
                <pic:pic>
                  <pic:nvPicPr>
                    <pic:cNvPr id="0" name="C4_Nivel3_Backend_plaGesEtic.png"/>
                    <pic:cNvPicPr/>
                  </pic:nvPicPr>
                  <pic:blipFill>
                    <a:blip r:embed="rId12"/>
                    <a:stretch>
                      <a:fillRect/>
                    </a:stretch>
                  </pic:blipFill>
                  <pic:spPr>
                    <a:xfrm>
                      <a:off x="0" y="0"/>
                      <a:ext cx="6309360" cy="6344062"/>
                    </a:xfrm>
                    <a:prstGeom prst="rect"/>
                  </pic:spPr>
                </pic:pic>
              </a:graphicData>
            </a:graphic>
          </wp:inline>
        </w:drawing>
      </w:r>
    </w:p>
    <w:p>
      <w:pPr>
        <w:widowControl/>
      </w:pPr>
      <w:r>
        <w:t>Secuencias complementarias: registro con consentimiento versión 1.1 y exportación desidentificada versión 1.0, disponibles en Draw.io, SVG y PNG.</w:t>
      </w:r>
    </w:p>
    <w:p>
      <w:r>
        <w:br w:type="page"/>
      </w:r>
    </w:p>
    <w:p>
      <w:pPr>
        <w:pStyle w:val="Heading1"/>
      </w:pPr>
      <w:r>
        <w:t>7 Trazabilidad registro de cambios y referencias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000B78"/>
            <w:tcMar>
              <w:top w:w="85" w:type="dxa"/>
              <w:left w:w="85" w:type="dxa"/>
              <w:bottom w:w="85" w:type="dxa"/>
              <w:right w:w="85" w:type="dxa"/>
            </w:tcMar>
          </w:tcPr>
          <w:p>
            <w:pPr>
              <w:spacing w:after="0" w:line="247" w:lineRule="auto"/>
            </w:pPr>
            <w:r>
              <w:rPr>
                <w:b/>
                <w:color w:val="FFFFFF"/>
                <w:sz w:val="20"/>
              </w:rPr>
              <w:t>Entrega</w:t>
            </w:r>
          </w:p>
        </w:tc>
        <w:tc>
          <w:tcPr>
            <w:tcW w:type="dxa" w:w="7776"/>
            <w:vAlign w:val="center"/>
            <w:shd w:fill="000B78"/>
            <w:tcMar>
              <w:top w:w="85" w:type="dxa"/>
              <w:left w:w="85" w:type="dxa"/>
              <w:bottom w:w="85" w:type="dxa"/>
              <w:right w:w="85" w:type="dxa"/>
            </w:tcMar>
          </w:tcPr>
          <w:p>
            <w:pPr>
              <w:spacing w:after="0" w:line="247" w:lineRule="auto"/>
            </w:pPr>
            <w:r>
              <w:rPr>
                <w:b/>
                <w:color w:val="FFFFFF"/>
                <w:sz w:val="20"/>
              </w:rPr>
              <w:t>Contenido consolidado</w:t>
            </w:r>
          </w:p>
        </w:tc>
      </w:tr>
      <w:tr>
        <w:trPr>
          <w:cantSplit/>
        </w:trPr>
        <w:tc>
          <w:tcPr>
            <w:tcW w:type="dxa" w:w="2304"/>
            <w:vAlign w:val="center"/>
            <w:shd w:fill="F3F5FC"/>
            <w:tcMar>
              <w:top w:w="85" w:type="dxa"/>
              <w:left w:w="85" w:type="dxa"/>
              <w:bottom w:w="85" w:type="dxa"/>
              <w:right w:w="85" w:type="dxa"/>
            </w:tcMar>
          </w:tcPr>
          <w:p>
            <w:pPr>
              <w:spacing w:after="0" w:line="247" w:lineRule="auto"/>
            </w:pPr>
            <w:r>
              <w:rPr>
                <w:sz w:val="20"/>
              </w:rPr>
              <w:t>Especificación 1.0</w:t>
            </w:r>
          </w:p>
        </w:tc>
        <w:tc>
          <w:tcPr>
            <w:tcW w:type="dxa" w:w="7776"/>
            <w:vAlign w:val="center"/>
            <w:shd w:fill="F3F5FC"/>
            <w:tcMar>
              <w:top w:w="85" w:type="dxa"/>
              <w:left w:w="85" w:type="dxa"/>
              <w:bottom w:w="85" w:type="dxa"/>
              <w:right w:w="85" w:type="dxa"/>
            </w:tcMar>
          </w:tcPr>
          <w:p>
            <w:pPr>
              <w:spacing w:after="0" w:line="247" w:lineRule="auto"/>
            </w:pPr>
            <w:r>
              <w:rPr>
                <w:sz w:val="20"/>
              </w:rPr>
              <w:t>Cuatro esquemas y 22 tablas; 60 rutas; consentimiento y asentimiento; cinco permisos por estudio; exportación con códigos independientes.</w:t>
            </w:r>
          </w:p>
        </w:tc>
      </w:tr>
      <w:tr>
        <w:trPr>
          <w:cantSplit/>
        </w:trPr>
        <w:tc>
          <w:tcPr>
            <w:tcW w:type="dxa" w:w="2304"/>
            <w:vAlign w:val="center"/>
            <w:shd w:fill="FFFFFF"/>
            <w:tcMar>
              <w:top w:w="85" w:type="dxa"/>
              <w:left w:w="85" w:type="dxa"/>
              <w:bottom w:w="85" w:type="dxa"/>
              <w:right w:w="85" w:type="dxa"/>
            </w:tcMar>
          </w:tcPr>
          <w:p>
            <w:pPr>
              <w:spacing w:after="0" w:line="247" w:lineRule="auto"/>
            </w:pPr>
            <w:r>
              <w:rPr>
                <w:sz w:val="20"/>
              </w:rPr>
              <w:t>C4 y registro 1.1</w:t>
            </w:r>
          </w:p>
        </w:tc>
        <w:tc>
          <w:tcPr>
            <w:tcW w:type="dxa" w:w="7776"/>
            <w:vAlign w:val="center"/>
            <w:shd w:fill="FFFFFF"/>
            <w:tcMar>
              <w:top w:w="85" w:type="dxa"/>
              <w:left w:w="85" w:type="dxa"/>
              <w:bottom w:w="85" w:type="dxa"/>
              <w:right w:w="85" w:type="dxa"/>
            </w:tcMar>
          </w:tcPr>
          <w:p>
            <w:pPr>
              <w:spacing w:after="0" w:line="247" w:lineRule="auto"/>
            </w:pPr>
            <w:r>
              <w:rPr>
                <w:sz w:val="20"/>
              </w:rPr>
              <w:t>Se sustituyen los tres esquemas y nivel_acceso del diseño anterior. Se integra ética, captura sin lectura, documentos versionados y auditoría previa.</w:t>
            </w:r>
          </w:p>
        </w:tc>
      </w:tr>
      <w:tr>
        <w:trPr>
          <w:cantSplit/>
        </w:trPr>
        <w:tc>
          <w:tcPr>
            <w:tcW w:type="dxa" w:w="2304"/>
            <w:vAlign w:val="center"/>
            <w:shd w:fill="F3F5FC"/>
            <w:tcMar>
              <w:top w:w="85" w:type="dxa"/>
              <w:left w:w="85" w:type="dxa"/>
              <w:bottom w:w="85" w:type="dxa"/>
              <w:right w:w="85" w:type="dxa"/>
            </w:tcMar>
          </w:tcPr>
          <w:p>
            <w:pPr>
              <w:spacing w:after="0" w:line="247" w:lineRule="auto"/>
            </w:pPr>
            <w:r>
              <w:rPr>
                <w:sz w:val="20"/>
              </w:rPr>
              <w:t>Exportación 1.0</w:t>
            </w:r>
          </w:p>
        </w:tc>
        <w:tc>
          <w:tcPr>
            <w:tcW w:type="dxa" w:w="7776"/>
            <w:vAlign w:val="center"/>
            <w:shd w:fill="F3F5FC"/>
            <w:tcMar>
              <w:top w:w="85" w:type="dxa"/>
              <w:left w:w="85" w:type="dxa"/>
              <w:bottom w:w="85" w:type="dxa"/>
              <w:right w:w="85" w:type="dxa"/>
            </w:tcMar>
          </w:tcPr>
          <w:p>
            <w:pPr>
              <w:spacing w:after="0" w:line="247" w:lineRule="auto"/>
            </w:pPr>
            <w:r>
              <w:rPr>
                <w:sz w:val="20"/>
              </w:rPr>
              <w:t>Se incorpora la entidad exportacion, la aprobación del Estudiante, el formato .zip y los códigos del paquete.</w:t>
            </w:r>
          </w:p>
        </w:tc>
      </w:tr>
      <w:tr>
        <w:trPr>
          <w:cantSplit/>
        </w:trPr>
        <w:tc>
          <w:tcPr>
            <w:tcW w:type="dxa" w:w="2304"/>
            <w:vAlign w:val="center"/>
            <w:shd w:fill="FFFFFF"/>
            <w:tcMar>
              <w:top w:w="85" w:type="dxa"/>
              <w:left w:w="85" w:type="dxa"/>
              <w:bottom w:w="85" w:type="dxa"/>
              <w:right w:w="85" w:type="dxa"/>
            </w:tcMar>
          </w:tcPr>
          <w:p>
            <w:pPr>
              <w:spacing w:after="0" w:line="247" w:lineRule="auto"/>
            </w:pPr>
            <w:r>
              <w:rPr>
                <w:sz w:val="20"/>
              </w:rPr>
              <w:t>Wiki y PR</w:t>
            </w:r>
          </w:p>
        </w:tc>
        <w:tc>
          <w:tcPr>
            <w:tcW w:type="dxa" w:w="7776"/>
            <w:vAlign w:val="center"/>
            <w:shd w:fill="FFFFFF"/>
            <w:tcMar>
              <w:top w:w="85" w:type="dxa"/>
              <w:left w:w="85" w:type="dxa"/>
              <w:bottom w:w="85" w:type="dxa"/>
              <w:right w:w="85" w:type="dxa"/>
            </w:tcMar>
          </w:tcPr>
          <w:p>
            <w:pPr>
              <w:spacing w:after="0" w:line="247" w:lineRule="auto"/>
            </w:pPr>
            <w:r>
              <w:rPr>
                <w:sz w:val="20"/>
              </w:rPr>
              <w:t>Contenido y registro de cambios preparados para publicación. Estado de publicación separado del estado documental.</w:t>
            </w:r>
          </w:p>
        </w:tc>
      </w:tr>
    </w:tbl>
    <w:p>
      <w:pPr>
        <w:spacing w:after="0"/>
      </w:pPr>
    </w:p>
    <w:p>
      <w:pPr>
        <w:pStyle w:val="Heading2"/>
      </w:pPr>
      <w:r>
        <w:t>Validación documental</w:t>
      </w:r>
    </w:p>
    <w:p>
      <w:pPr>
        <w:widowControl/>
      </w:pPr>
      <w:r>
        <w:t>Se comprobó el total de 22 tablas, la distribución 3/4/7/8 por esquema, los seis roles, las 60 rutas y el uso de los nombres v3. El reporte de validación v2 registra resolución de los hallazgos anteriores, con validación del responsable todavía requerida para la escritura sin lectura. La ejecución funcional se registra por separado en el documento de autenticación.</w:t>
      </w:r>
    </w:p>
    <w:p>
      <w:pPr>
        <w:pStyle w:val="Heading2"/>
      </w:pPr>
      <w:r>
        <w:t>Fuentes del diseño</w:t>
      </w:r>
    </w:p>
    <w:p>
      <w:pPr>
        <w:spacing w:after="80"/>
      </w:pPr>
      <w:hyperlink r:id="rId20">
        <w:r>
          <w:rPr>
            <w:rStyle w:val="Hyperlink"/>
          </w:rPr>
          <w:t>ADR-001 · Stack tecnológico: Node.js, Express, PostgreSQL y Docker (aceptado)</w:t>
        </w:r>
      </w:hyperlink>
    </w:p>
    <w:p>
      <w:pPr>
        <w:spacing w:after="80"/>
      </w:pPr>
      <w:hyperlink r:id="rId13">
        <w:r>
          <w:rPr>
            <w:color w:val="1C2FB9"/>
          </w:rPr>
          <w:t>DER v3</w:t>
        </w:r>
      </w:hyperlink>
    </w:p>
    <w:p>
      <w:pPr>
        <w:spacing w:after="80"/>
      </w:pPr>
      <w:hyperlink r:id="rId14">
        <w:r>
          <w:rPr>
            <w:color w:val="1C2FB9"/>
          </w:rPr>
          <w:t>Diccionario de datos v3</w:t>
        </w:r>
      </w:hyperlink>
    </w:p>
    <w:p>
      <w:pPr>
        <w:spacing w:after="80"/>
      </w:pPr>
      <w:hyperlink r:id="rId15">
        <w:r>
          <w:rPr>
            <w:color w:val="1C2FB9"/>
          </w:rPr>
          <w:t>Catálogo de endpoints v3</w:t>
        </w:r>
      </w:hyperlink>
    </w:p>
    <w:p>
      <w:pPr>
        <w:spacing w:after="80"/>
      </w:pPr>
      <w:hyperlink r:id="rId16">
        <w:r>
          <w:rPr>
            <w:color w:val="1C2FB9"/>
          </w:rPr>
          <w:t>Middlewares de seguridad v3</w:t>
        </w:r>
      </w:hyperlink>
    </w:p>
    <w:p>
      <w:pPr>
        <w:spacing w:after="80"/>
      </w:pPr>
      <w:hyperlink r:id="rId17">
        <w:r>
          <w:rPr>
            <w:color w:val="1C2FB9"/>
          </w:rPr>
          <w:t>Matriz de seudonimización v3</w:t>
        </w:r>
      </w:hyperlink>
    </w:p>
    <w:p>
      <w:pPr>
        <w:spacing w:after="80"/>
      </w:pPr>
      <w:hyperlink r:id="rId18">
        <w:r>
          <w:rPr>
            <w:color w:val="1C2FB9"/>
          </w:rPr>
          <w:t>Flujo de consentimientos v2</w:t>
        </w:r>
      </w:hyperlink>
    </w:p>
    <w:p>
      <w:pPr>
        <w:spacing w:after="80"/>
      </w:pPr>
      <w:hyperlink r:id="rId19">
        <w:r>
          <w:rPr>
            <w:color w:val="1C2FB9"/>
          </w:rPr>
          <w:t>Validación de endpoints v2</w:t>
        </w:r>
      </w:hyperlink>
    </w:p>
    <w:p>
      <w:pPr>
        <w:widowControl/>
      </w:pPr>
      <w:r>
        <w:t>Los plazos de retención son políticas de diseño pendientes de validación. La supresión de identidad y vínculos no elimina por sí sola el contenido identificable de evidencias, originales o respaldos.</w:t>
      </w:r>
    </w:p>
    <w:sectPr w:rsidR="00FC693F" w:rsidRPr="0006063C" w:rsidSect="00034616">
      <w:footerReference w:type="default" r:id="rId11"/>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plaGesEtic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hyperlink" Target="https://drive.google.com/file/d/1YnhCcu5Atab0iUC53ekw3O7d8CAoG0en/view" TargetMode="External"/><Relationship Id="rId14" Type="http://schemas.openxmlformats.org/officeDocument/2006/relationships/hyperlink" Target="https://drive.google.com/file/d/1lHu6YkbNk8AL_j4kFryUXEL66SSHzw-S/view" TargetMode="External"/><Relationship Id="rId15" Type="http://schemas.openxmlformats.org/officeDocument/2006/relationships/hyperlink" Target="https://drive.google.com/file/d/1E6hF6FkxxDuMAv8JcfXlSu_fw2IyEpau/view" TargetMode="External"/><Relationship Id="rId16" Type="http://schemas.openxmlformats.org/officeDocument/2006/relationships/hyperlink" Target="https://drive.google.com/file/d/1mJSEWUPjqA2g7kzBd127ka7tVsNWvenG/view" TargetMode="External"/><Relationship Id="rId17" Type="http://schemas.openxmlformats.org/officeDocument/2006/relationships/hyperlink" Target="https://drive.google.com/file/d/1qVsFcW1CLZ77TANQO-3x8EPfsxkwQ-eq/view" TargetMode="External"/><Relationship Id="rId18" Type="http://schemas.openxmlformats.org/officeDocument/2006/relationships/hyperlink" Target="https://drive.google.com/file/d/11o4oVrPt4zyeYwNCllJNZMBq9yPl91OC/view" TargetMode="External"/><Relationship Id="rId19" Type="http://schemas.openxmlformats.org/officeDocument/2006/relationships/hyperlink" Target="https://drive.google.com/file/d/1Y_FqitvD4NzxGzJ6HNT0hWln_cqChvxn/view" TargetMode="External"/><Relationship Id="rId20" Type="http://schemas.openxmlformats.org/officeDocument/2006/relationships/hyperlink" Target="https://docs.google.com/document/d/1b1g4W84W3I38m8evO8mB_z9lKB_2MET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técnica del MVP de plaGesEtic</dc:title>
  <dc:subject/>
  <dc:creator>Catalina Araniz</dc:creator>
  <cp:keywords/>
  <dc:description>generated by python-docx</dc:description>
  <cp:lastModifiedBy/>
  <cp:revision>1</cp:revision>
  <dcterms:created xsi:type="dcterms:W3CDTF">2013-12-23T23:15:00Z</dcterms:created>
  <dcterms:modified xsi:type="dcterms:W3CDTF">2013-12-23T23:15:00Z</dcterms:modified>
  <cp:category/>
</cp:coreProperties>
</file>