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</w:pPr>
      <w:r>
        <w:rPr>
          <w:rFonts w:ascii="맑은 고딕" w:hAnsi="맑은 고딕" w:eastAsia="맑은 고딕"/>
          <w:b/>
          <w:color w:val="051C2C"/>
          <w:sz w:val="36"/>
        </w:rPr>
        <w:t>The Self-Driving Portfolio 중간발표 15분 대본 및 교수님 Q&amp;A 방어집 (16페이지 최종본 기준)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/>
          <w:color w:val="051C2C"/>
          <w:sz w:val="20"/>
        </w:rPr>
        <w:t>기준 자료</w:t>
      </w:r>
      <w:r>
        <w:rPr>
          <w:rFonts w:ascii="맑은 고딕" w:hAnsi="맑은 고딕" w:eastAsia="맑은 고딕"/>
          <w:b w:val="0"/>
          <w:color w:val="475569"/>
          <w:sz w:val="20"/>
        </w:rPr>
        <w:t>: 업로드된 최종 발표 자료 (총 16페이지 PDF/PPT)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/>
          <w:color w:val="051C2C"/>
          <w:sz w:val="20"/>
        </w:rPr>
        <w:t>발표 시간</w:t>
      </w:r>
      <w:r>
        <w:rPr>
          <w:rFonts w:ascii="맑은 고딕" w:hAnsi="맑은 고딕" w:eastAsia="맑은 고딕"/>
          <w:b w:val="0"/>
          <w:color w:val="475569"/>
          <w:sz w:val="20"/>
        </w:rPr>
        <w:t xml:space="preserve">: </w:t>
      </w:r>
      <w:r>
        <w:rPr>
          <w:rFonts w:ascii="맑은 고딕" w:hAnsi="맑은 고딕" w:eastAsia="맑은 고딕"/>
          <w:b/>
          <w:color w:val="051C2C"/>
          <w:sz w:val="20"/>
        </w:rPr>
        <w:t>총 15분</w:t>
      </w:r>
      <w:r>
        <w:rPr>
          <w:rFonts w:ascii="맑은 고딕" w:hAnsi="맑은 고딕" w:eastAsia="맑은 고딕"/>
          <w:b w:val="0"/>
          <w:color w:val="475569"/>
          <w:sz w:val="20"/>
        </w:rPr>
        <w:t xml:space="preserve"> (슬라이드당 약 50초~1분 10초 배분, 핵심 수리·실화면 장표 집중 설명)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/>
          <w:color w:val="051C2C"/>
          <w:sz w:val="20"/>
        </w:rPr>
        <w:t>원칙</w:t>
      </w:r>
      <w:r>
        <w:rPr>
          <w:rFonts w:ascii="맑은 고딕" w:hAnsi="맑은 고딕" w:eastAsia="맑은 고딕"/>
          <w:b w:val="0"/>
          <w:color w:val="475569"/>
          <w:sz w:val="20"/>
        </w:rPr>
        <w:t>: 미사여구·은유 배제, 직설적이고 명확한 금융공학·연기금 실무 용어 사용, 슬라이드 시선 유도 포함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0052CC"/>
          <w:sz w:val="29"/>
        </w:rPr>
        <w:t>■ Part 1. 슬라이드별 15분 상세 발표 대본 (Page 1 ~ Page 16)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051C2C"/>
          <w:sz w:val="25"/>
        </w:rPr>
        <w:t>[Page 1] 표지 (00:00 ~ 00:40 | 40초)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/>
          <w:color w:val="051C2C"/>
          <w:sz w:val="20"/>
        </w:rPr>
        <w:t>슬라이드 제목</w:t>
      </w:r>
      <w:r>
        <w:rPr>
          <w:rFonts w:ascii="맑은 고딕" w:hAnsi="맑은 고딕" w:eastAsia="맑은 고딕"/>
          <w:b w:val="0"/>
          <w:color w:val="475569"/>
          <w:sz w:val="20"/>
        </w:rPr>
        <w:t>: The Self-Driving Portfolio — 멀티 에이전트 기반 전략적 자산배분 시스템 구현</w:t>
      </w:r>
    </w:p>
    <w:p>
      <w:pPr>
        <w:spacing w:before="60" w:after="140" w:line="331" w:lineRule="auto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"안녕하십니까. </w:t>
      </w:r>
      <w:r>
        <w:rPr>
          <w:rFonts w:ascii="맑은 고딕" w:hAnsi="맑은 고딕" w:eastAsia="맑은 고딕"/>
          <w:b/>
          <w:color w:val="0052CC"/>
          <w:sz w:val="21"/>
        </w:rPr>
        <w:t>‘The Self-Driving Portfolio: 멀티 에이전트 기반 전략적 자산배분 시스템 구현’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 중간발표를 맡은 [발표자 이름]입니다.</w:t>
      </w:r>
    </w:p>
    <w:p>
      <w:pPr>
        <w:spacing w:before="60" w:after="140" w:line="331" w:lineRule="auto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저희 팀은 2026년 4월 콜롬비아대 앤드류 앙(Andrew Ang) 교수 연구진이 발표한 최신 논문을 기반으로, 기관 투자자의 전략적 자산배분(SAA) 전 과정을 약 50개 에이전트의 협업 파이프라인으로 구현했습니다. 단순히 이론적 모사나 로컬 코드 실행에 그치지 않고, </w:t>
      </w:r>
      <w:r>
        <w:rPr>
          <w:rFonts w:ascii="맑은 고딕" w:hAnsi="맑은 고딕" w:eastAsia="맑은 고딕"/>
          <w:b/>
          <w:color w:val="0052CC"/>
          <w:sz w:val="21"/>
        </w:rPr>
        <w:t>실제 야후 파이낸스 159개월 실데이터와 결정론적 수리 최적화 엔진을 결합하여 현재 클라우드 상에서 24시간 실시간 가동되는 웹 시스템(`self-driving-portfolio.onrender.com`)</w:t>
      </w:r>
      <w:r>
        <w:rPr>
          <w:rFonts w:ascii="맑은 고딕" w:hAnsi="맑은 고딕" w:eastAsia="맑은 고딕"/>
          <w:b w:val="0"/>
          <w:color w:val="0F172A"/>
          <w:sz w:val="21"/>
        </w:rPr>
        <w:t>까지 구축을 완료했습니다. 발표 시작하겠습니다."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051C2C"/>
          <w:sz w:val="25"/>
        </w:rPr>
        <w:t>[Page 2] 목차 (00:40 ~ 01:15 | 35초)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/>
          <w:color w:val="051C2C"/>
          <w:sz w:val="20"/>
        </w:rPr>
        <w:t>슬라이드 제목</w:t>
      </w:r>
      <w:r>
        <w:rPr>
          <w:rFonts w:ascii="맑은 고딕" w:hAnsi="맑은 고딕" w:eastAsia="맑은 고딕"/>
          <w:b w:val="0"/>
          <w:color w:val="475569"/>
          <w:sz w:val="20"/>
        </w:rPr>
        <w:t>: AGENDA 목차 (01 논문 배경 및 포지셔닝 ~ 04 중간 성과 및 향후 로드맵)</w:t>
      </w:r>
    </w:p>
    <w:p>
      <w:pPr>
        <w:spacing w:before="60" w:after="140" w:line="331" w:lineRule="auto"/>
      </w:pPr>
      <w:r>
        <w:rPr>
          <w:rFonts w:ascii="맑은 고딕" w:hAnsi="맑은 고딕" w:eastAsia="맑은 고딕"/>
          <w:b w:val="0"/>
          <w:color w:val="0F172A"/>
          <w:sz w:val="21"/>
        </w:rPr>
        <w:t>"발표는 네 파트로 진행됩니다.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첫째</w:t>
      </w:r>
      <w:r>
        <w:rPr>
          <w:rFonts w:ascii="맑은 고딕" w:hAnsi="맑은 고딕" w:eastAsia="맑은 고딕"/>
          <w:b w:val="0"/>
          <w:color w:val="0F172A"/>
          <w:sz w:val="21"/>
        </w:rPr>
        <w:t>, 기존 연기금 SAA의 구조적 한계와 본 시스템의 명확한 포지셔닝, 6단계 파이프라인 및 4대 설계 원칙을 설명드립니다.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둘째</w:t>
      </w:r>
      <w:r>
        <w:rPr>
          <w:rFonts w:ascii="맑은 고딕" w:hAnsi="맑은 고딕" w:eastAsia="맑은 고딕"/>
          <w:b w:val="0"/>
          <w:color w:val="0F172A"/>
          <w:sz w:val="21"/>
        </w:rPr>
        <w:t>, 왜 이 논문을 주제로 선정했는지 학술적·실무적 근거를 짚어보겠습니다.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셋째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, 오늘 발표의 핵심인 </w:t>
      </w:r>
      <w:r>
        <w:rPr>
          <w:rFonts w:ascii="맑은 고딕" w:hAnsi="맑은 고딕" w:eastAsia="맑은 고딕"/>
          <w:b/>
          <w:color w:val="0052CC"/>
          <w:sz w:val="21"/>
        </w:rPr>
        <w:t>159개월 실데이터 체계, 4대 패밀리 21개 모델의 다계층 평가 프로세스, 그리고 실제 구동 중인 웹 대시보드 화면 4종</w:t>
      </w:r>
      <w:r>
        <w:rPr>
          <w:rFonts w:ascii="맑은 고딕" w:hAnsi="맑은 고딕" w:eastAsia="맑은 고딕"/>
          <w:b w:val="0"/>
          <w:color w:val="0F172A"/>
          <w:sz w:val="21"/>
        </w:rPr>
        <w:t>을 수치 중심으로 상세히 보고드립니다.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마지막으로</w:t>
      </w:r>
      <w:r>
        <w:rPr>
          <w:rFonts w:ascii="맑은 고딕" w:hAnsi="맑은 고딕" w:eastAsia="맑은 고딕"/>
          <w:b w:val="0"/>
          <w:color w:val="0F172A"/>
          <w:sz w:val="21"/>
        </w:rPr>
        <w:t>, 중간 점검에서 도출된 한계점과 이를 해결하기 위한 타깃 변동성 매칭(Vol Scaling), 환헤지 등 기말 고도화 로드맵을 말씀드리겠습니다."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051C2C"/>
          <w:sz w:val="25"/>
        </w:rPr>
        <w:t>[Page 3] 01 논문 배경: 기관 SAA의 구조적 한계 (01:15 ~ 02:15 | 60초)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/>
          <w:color w:val="051C2C"/>
          <w:sz w:val="20"/>
        </w:rPr>
        <w:t>슬라이드 제목</w:t>
      </w:r>
      <w:r>
        <w:rPr>
          <w:rFonts w:ascii="맑은 고딕" w:hAnsi="맑은 고딕" w:eastAsia="맑은 고딕"/>
          <w:b w:val="0"/>
          <w:color w:val="475569"/>
          <w:sz w:val="20"/>
        </w:rPr>
        <w:t>: 기관 SAA(전략적 자산배분)의 구조적 한계</w:t>
      </w:r>
    </w:p>
    <w:p>
      <w:pPr>
        <w:spacing w:before="60" w:after="140" w:line="331" w:lineRule="auto"/>
      </w:pPr>
      <w:r>
        <w:rPr>
          <w:rFonts w:ascii="맑은 고딕" w:hAnsi="맑은 고딕" w:eastAsia="맑은 고딕"/>
          <w:b w:val="0"/>
          <w:color w:val="0F172A"/>
          <w:sz w:val="21"/>
        </w:rPr>
        <w:t>"먼저 국민연금이나 해외 연기금 같은 대형 기관이 전략적 자산배분(SAA)을 수행할 때 겪는 4가지 구조적 한계입니다.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1. </w:t>
      </w:r>
      <w:r>
        <w:rPr>
          <w:rFonts w:ascii="맑은 고딕" w:hAnsi="맑은 고딕" w:eastAsia="맑은 고딕"/>
          <w:b/>
          <w:color w:val="0052CC"/>
          <w:sz w:val="21"/>
        </w:rPr>
        <w:t>첫째, 연 1회의 경직된 주기입니다.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 보통 연말 이사회에서 향후 1~5년 치 목표 비중을 한 번 정하면, 연중에 금리 급등이나 스태그플레이션 같은 거시 충격이 와도 기민하게 재검토하기 어렵습니다.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2. </w:t>
      </w:r>
      <w:r>
        <w:rPr>
          <w:rFonts w:ascii="맑은 고딕" w:hAnsi="맑은 고딕" w:eastAsia="맑은 고딕"/>
          <w:b/>
          <w:color w:val="0052CC"/>
          <w:sz w:val="21"/>
        </w:rPr>
        <w:t>둘째, 부서 간 사일로(단절)입니다.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 거시경제를 보는 리서치팀, 개별 자산을 분석하는 운용팀, 한도를 통제하는 리스크관리팀이 각자 다른 전제와 엑셀 파일을 쓰기 때문에 취합 비용이 크고 정합성이 깨집니다.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3. </w:t>
      </w:r>
      <w:r>
        <w:rPr>
          <w:rFonts w:ascii="맑은 고딕" w:hAnsi="맑은 고딕" w:eastAsia="맑은 고딕"/>
          <w:b/>
          <w:color w:val="0052CC"/>
          <w:sz w:val="21"/>
        </w:rPr>
        <w:t>셋째, 사후적 리스크 검증입니다.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 운용역들이 포트폴리오 안을 다 만든 뒤에야 리스크팀이 자산운용지침(IPS) 위반 여부를 심사하므로, 한도 초과 시 처음부터 다시 짜야 하는 재작업 비용이 발생합니다.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4. </w:t>
      </w:r>
      <w:r>
        <w:rPr>
          <w:rFonts w:ascii="맑은 고딕" w:hAnsi="맑은 고딕" w:eastAsia="맑은 고딕"/>
          <w:b/>
          <w:color w:val="0052CC"/>
          <w:sz w:val="21"/>
        </w:rPr>
        <w:t>넷째, 감사 추적(Audit Trail) 기록 부재입니다.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 수학 모델이 낸 비중을 투자위원회에서 왜 특정 방향으로 수정했는지, 소수 반대의견은 무엇이었는지 정형화된 기록이 남지 않아 사후 검증이 곤란합니다.</w:t>
      </w:r>
    </w:p>
    <w:p>
      <w:pPr>
        <w:spacing w:before="60" w:after="140" w:line="331" w:lineRule="auto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하단 배너에 명시된 것처럼, 저희 시스템의 핵심 정의는 </w:t>
      </w:r>
      <w:r>
        <w:rPr>
          <w:rFonts w:ascii="맑은 고딕" w:hAnsi="맑은 고딕" w:eastAsia="맑은 고딕"/>
          <w:b/>
          <w:color w:val="0052CC"/>
          <w:sz w:val="21"/>
        </w:rPr>
        <w:t>‘인간 CIO를 대체하는 완전 무인 시스템’이 아니라, 투자위원회의 거시 시나리오 분석과 SAA 의사결정을 보좌하는 의사결정지원시스템(AI Co-Pilot)</w:t>
      </w:r>
      <w:r>
        <w:rPr>
          <w:rFonts w:ascii="맑은 고딕" w:hAnsi="맑은 고딕" w:eastAsia="맑은 고딕"/>
          <w:b w:val="0"/>
          <w:color w:val="0F172A"/>
          <w:sz w:val="21"/>
        </w:rPr>
        <w:t>입니다."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051C2C"/>
          <w:sz w:val="25"/>
        </w:rPr>
        <w:t>[Page 4] 01 논문 배경: 6단계 에이전트 파이프라인 아키텍처 (02:15 ~ 03:20 | 65초)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/>
          <w:color w:val="051C2C"/>
          <w:sz w:val="20"/>
        </w:rPr>
        <w:t>슬라이드 제목</w:t>
      </w:r>
      <w:r>
        <w:rPr>
          <w:rFonts w:ascii="맑은 고딕" w:hAnsi="맑은 고딕" w:eastAsia="맑은 고딕"/>
          <w:b w:val="0"/>
          <w:color w:val="475569"/>
          <w:sz w:val="20"/>
        </w:rPr>
        <w:t>: 6단계 에이전트 파이프라인 아키텍처</w:t>
      </w:r>
    </w:p>
    <w:p>
      <w:pPr>
        <w:spacing w:before="60" w:after="140" w:line="331" w:lineRule="auto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"이 문제를 해결하기 위해 논문이 제시하고 저희가 그대로 구현한 </w:t>
      </w:r>
      <w:r>
        <w:rPr>
          <w:rFonts w:ascii="맑은 고딕" w:hAnsi="맑은 고딕" w:eastAsia="맑은 고딕"/>
          <w:b/>
          <w:color w:val="0052CC"/>
          <w:sz w:val="21"/>
        </w:rPr>
        <w:t>6단계 에이전트 파이프라인</w:t>
      </w:r>
      <w:r>
        <w:rPr>
          <w:rFonts w:ascii="맑은 고딕" w:hAnsi="맑은 고딕" w:eastAsia="맑은 고딕"/>
          <w:b w:val="0"/>
          <w:color w:val="0F172A"/>
          <w:sz w:val="21"/>
        </w:rPr>
        <w:t>입니다.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1단계(거시 국면)</w:t>
      </w:r>
      <w:r>
        <w:rPr>
          <w:rFonts w:ascii="맑은 고딕" w:hAnsi="맑은 고딕" w:eastAsia="맑은 고딕"/>
          <w:b w:val="0"/>
          <w:color w:val="0F172A"/>
          <w:sz w:val="21"/>
        </w:rPr>
        <w:t>에서는 1개의 거시 에이전트가 성장률, 물가, 통화정책, 금융여건 4대 지표를 분석해 현재 경제 국면을 판정합니다.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2단계(자산군 CMA)</w:t>
      </w:r>
      <w:r>
        <w:rPr>
          <w:rFonts w:ascii="맑은 고딕" w:hAnsi="맑은 고딕" w:eastAsia="맑은 고딕"/>
          <w:b w:val="0"/>
          <w:color w:val="0F172A"/>
          <w:sz w:val="21"/>
        </w:rPr>
        <w:t>에서는 18개 자산군 전담 에이전트가 각 자산의 향후 10년 기대수익률(Capital Market Assumptions)을 7가지 모델로 추정한 뒤, 심사역(Judge) 에이전트가 밸류에이션을 반영해 최종 기대수익률을 확정합니다.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3단계(공분산 행렬)</w:t>
      </w:r>
      <w:r>
        <w:rPr>
          <w:rFonts w:ascii="맑은 고딕" w:hAnsi="맑은 고딕" w:eastAsia="맑은 고딕"/>
          <w:b w:val="0"/>
          <w:color w:val="0F172A"/>
          <w:sz w:val="21"/>
        </w:rPr>
        <w:t>에서는 표본 공분산의 추정 오차를 줄이기 위해 Ledoit-Wolf OAS 수축(Shrinkage) 기법과 거시 국면 스트레스 요인을 반영한 18×18 공분산 행렬을 산출합니다.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4단계(포트폴리오 구성)</w:t>
      </w:r>
      <w:r>
        <w:rPr>
          <w:rFonts w:ascii="맑은 고딕" w:hAnsi="맑은 고딕" w:eastAsia="맑은 고딕"/>
          <w:b w:val="0"/>
          <w:color w:val="0F172A"/>
          <w:sz w:val="21"/>
        </w:rPr>
        <w:t>에서는 4개 패밀리, 총 21개의 포트폴리오 최적화 에이전트(PC)가 동일한 기대수익률과 공분산을 입력받아 각자의 수리 모형으로 21개 후보 포트폴리오를 경쟁 생성합니다.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5단계(전략 심의 및 투표)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에서는 최고리스크책임자(CRO) 에이전트가 IPS 한도 준수 여부를 감사하고, 21개 에이전트가 서로의 포트폴리오를 비판한 뒤 </w:t>
      </w:r>
      <w:r>
        <w:rPr>
          <w:rFonts w:ascii="맑은 고딕" w:hAnsi="맑은 고딕" w:eastAsia="맑은 고딕"/>
          <w:b/>
          <w:color w:val="0052CC"/>
          <w:sz w:val="21"/>
        </w:rPr>
        <w:t>수정 보르다 카운트 투표</w:t>
      </w:r>
      <w:r>
        <w:rPr>
          <w:rFonts w:ascii="맑은 고딕" w:hAnsi="맑은 고딕" w:eastAsia="맑은 고딕"/>
          <w:b w:val="0"/>
          <w:color w:val="0F172A"/>
          <w:sz w:val="21"/>
        </w:rPr>
        <w:t>로 순위를 매깁니다. 이때 IPS 규정을 위반한 모델은 CRO 거부권(Veto)에 의해 즉시 배제되거나 재최적화 루프를 돕니다.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6단계(최종 앙상블)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에서는 CIO 에이전트가 적격 심사를 통과한 후보들을 </w:t>
      </w:r>
      <w:r>
        <w:rPr>
          <w:rFonts w:ascii="맑은 고딕" w:hAnsi="맑은 고딕" w:eastAsia="맑은 고딕"/>
          <w:b/>
          <w:color w:val="0052CC"/>
          <w:sz w:val="21"/>
        </w:rPr>
        <w:t>역추적오차(Inverse Tracking Error)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 가중치로 결합해 최종 권고 비중과 이사회 보고용 메모를 자동 생성합니다."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051C2C"/>
          <w:sz w:val="25"/>
        </w:rPr>
        <w:t>[Page 5] 01 논문 배경: 기관 거버넌스를 위한 4대 설계 원칙 (03:20 ~ 04:15 | 55초)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/>
          <w:color w:val="051C2C"/>
          <w:sz w:val="20"/>
        </w:rPr>
        <w:t>슬라이드 제목</w:t>
      </w:r>
      <w:r>
        <w:rPr>
          <w:rFonts w:ascii="맑은 고딕" w:hAnsi="맑은 고딕" w:eastAsia="맑은 고딕"/>
          <w:b w:val="0"/>
          <w:color w:val="475569"/>
          <w:sz w:val="20"/>
        </w:rPr>
        <w:t>: 기관 거버넌스를 위한 4대 설계 원칙</w:t>
      </w:r>
    </w:p>
    <w:p>
      <w:pPr>
        <w:spacing w:before="60" w:after="140" w:line="331" w:lineRule="auto"/>
      </w:pPr>
      <w:r>
        <w:rPr>
          <w:rFonts w:ascii="맑은 고딕" w:hAnsi="맑은 고딕" w:eastAsia="맑은 고딕"/>
          <w:b w:val="0"/>
          <w:color w:val="0F172A"/>
          <w:sz w:val="21"/>
        </w:rPr>
        <w:t>"이 파이프라인을 지탱하는 4대 공학적 설계 원칙입니다.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첫째, 전문화(Specialization)</w:t>
      </w:r>
      <w:r>
        <w:rPr>
          <w:rFonts w:ascii="맑은 고딕" w:hAnsi="맑은 고딕" w:eastAsia="맑은 고딕"/>
          <w:b w:val="0"/>
          <w:color w:val="0F172A"/>
          <w:sz w:val="21"/>
        </w:rPr>
        <w:t>입니다. 하나의 거대 프롬프트에 모든 걸 맡기지 않고 거시, 자산군, 수리 최적화, 리스크 통제로 에이전트 권한을 엄격히 분리했습니다.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둘째, 가장 중요한 도구 결정론(Tool Determinism)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입니다. 생성형 AI(LLM)를 금융에 바로 쓸 때 가장 큰 문제가 수치 환각(Hallucination)입니다. 저희 시스템에서 </w:t>
      </w:r>
      <w:r>
        <w:rPr>
          <w:rFonts w:ascii="맑은 고딕" w:hAnsi="맑은 고딕" w:eastAsia="맑은 고딕"/>
          <w:b/>
          <w:color w:val="0052CC"/>
          <w:sz w:val="21"/>
        </w:rPr>
        <w:t>LLM은 오직 정성적 경제 해석과 위원회 토론, 근거 서술만 담당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하고, </w:t>
      </w:r>
      <w:r>
        <w:rPr>
          <w:rFonts w:ascii="맑은 고딕" w:hAnsi="맑은 고딕" w:eastAsia="맑은 고딕"/>
          <w:b/>
          <w:color w:val="0052CC"/>
          <w:sz w:val="21"/>
        </w:rPr>
        <w:t>기대수익률 조합·공분산 역행렬·SLSQP 최적화 등 모든 수학 연산은 100% 파이썬(NumPy/SciPy) 결정론적 코드가 수행</w:t>
      </w:r>
      <w:r>
        <w:rPr>
          <w:rFonts w:ascii="맑은 고딕" w:hAnsi="맑은 고딕" w:eastAsia="맑은 고딕"/>
          <w:b w:val="0"/>
          <w:color w:val="0F172A"/>
          <w:sz w:val="21"/>
        </w:rPr>
        <w:t>하여 수치 환각을 0%로 차단했습니다.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셋째, 적대적 검증(Adversarial Critique)</w:t>
      </w:r>
      <w:r>
        <w:rPr>
          <w:rFonts w:ascii="맑은 고딕" w:hAnsi="맑은 고딕" w:eastAsia="맑은 고딕"/>
          <w:b w:val="0"/>
          <w:color w:val="0F172A"/>
          <w:sz w:val="21"/>
        </w:rPr>
        <w:t>입니다. CRO 에이전트에게 독립적인 거부권(Veto)을 부여해, 수익률이 아무리 좋아도 IPS 변동성이나 낙폭 한도를 어기면 가차 없이 탈락시킵니다.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넷째, 감사 추적(Audit Trail)</w:t>
      </w:r>
      <w:r>
        <w:rPr>
          <w:rFonts w:ascii="맑은 고딕" w:hAnsi="맑은 고딕" w:eastAsia="맑은 고딕"/>
          <w:b w:val="0"/>
          <w:color w:val="0F172A"/>
          <w:sz w:val="21"/>
        </w:rPr>
        <w:t>입니다. 21개 모델의 보르다 투표 점수, 소수파 반대의견, 탈락 사유를 모두 JSON과 UI 로그로 남겨 이사회 감사가 가능하도록 설계했습니다."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051C2C"/>
          <w:sz w:val="25"/>
        </w:rPr>
        <w:t>[Page 6] 02 주제 선정 이유: 왜 이 논문인가 (04:15 ~ 05:00 | 45초)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/>
          <w:color w:val="051C2C"/>
          <w:sz w:val="20"/>
        </w:rPr>
        <w:t>슬라이드 제목</w:t>
      </w:r>
      <w:r>
        <w:rPr>
          <w:rFonts w:ascii="맑은 고딕" w:hAnsi="맑은 고딕" w:eastAsia="맑은 고딕"/>
          <w:b w:val="0"/>
          <w:color w:val="475569"/>
          <w:sz w:val="20"/>
        </w:rPr>
        <w:t>: 왜 이 논문인가: 학술 연구에서 실무 시스템으로</w:t>
      </w:r>
    </w:p>
    <w:p>
      <w:pPr>
        <w:spacing w:before="60" w:after="140" w:line="331" w:lineRule="auto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"저희가 이 논문을 프로젝트 주제로 선정한 이유는 </w:t>
      </w:r>
      <w:r>
        <w:rPr>
          <w:rFonts w:ascii="맑은 고딕" w:hAnsi="맑은 고딕" w:eastAsia="맑은 고딕"/>
          <w:b/>
          <w:color w:val="0052CC"/>
          <w:sz w:val="21"/>
        </w:rPr>
        <w:t>시의성, 실무성, 구현 가능성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 세 가지입니다.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시의성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 측면에서, 2026년 4월에 발표된 가장 최신 연구로서 단순 챗봇을 넘어 멀티 에이전트 거버넌스를 기관 자산배분에 접목한 선도적 아키텍처입니다.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실무성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 측면에서, 실제 연기금의 투자정책서(IPS) 제약 조건과 투자위원회 심의·투표 절차를 수리 모델과 결합해 현업 활용도가 매우 높습니다.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구현 가능성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 측면에서, 논문 내에 OAS 수축, 블랙-리터만, CVaR, 보르다 투표 공식이 명확히 제시되어 있어, 상용 유료 단말기 없이도 </w:t>
      </w:r>
      <w:r>
        <w:rPr>
          <w:rFonts w:ascii="맑은 고딕" w:hAnsi="맑은 고딕" w:eastAsia="맑은 고딕"/>
          <w:b/>
          <w:color w:val="0052CC"/>
          <w:sz w:val="21"/>
        </w:rPr>
        <w:t>공개된 18개 대표 ETF 실데이터(159개월)만으로 완벽히 재현하고 실증 백테스트까지 검증</w:t>
      </w:r>
      <w:r>
        <w:rPr>
          <w:rFonts w:ascii="맑은 고딕" w:hAnsi="맑은 고딕" w:eastAsia="맑은 고딕"/>
          <w:b w:val="0"/>
          <w:color w:val="0F172A"/>
          <w:sz w:val="21"/>
        </w:rPr>
        <w:t>할 수 있었기 때문입니다."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051C2C"/>
          <w:sz w:val="25"/>
        </w:rPr>
        <w:t>[Page 7] 03 웹 시스템 구현: 시스템 아키텍처 및 기초데이터 체계 (05:00 ~ 05:50 | 50초)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/>
          <w:color w:val="051C2C"/>
          <w:sz w:val="20"/>
        </w:rPr>
        <w:t>슬라이드 제목</w:t>
      </w:r>
      <w:r>
        <w:rPr>
          <w:rFonts w:ascii="맑은 고딕" w:hAnsi="맑은 고딕" w:eastAsia="맑은 고딕"/>
          <w:b w:val="0"/>
          <w:color w:val="475569"/>
          <w:sz w:val="20"/>
        </w:rPr>
        <w:t>: 시스템 아키텍처 및 기초데이터 체계</w:t>
      </w:r>
    </w:p>
    <w:p>
      <w:pPr>
        <w:spacing w:before="60" w:after="140" w:line="331" w:lineRule="auto"/>
      </w:pPr>
      <w:r>
        <w:rPr>
          <w:rFonts w:ascii="맑은 고딕" w:hAnsi="맑은 고딕" w:eastAsia="맑은 고딕"/>
          <w:b w:val="0"/>
          <w:color w:val="0F172A"/>
          <w:sz w:val="21"/>
        </w:rPr>
        <w:t>"실제 구현된 풀스택 웹 시스템 아키텍처입니다. 좌측부터 우측으로 데이터 흐름을 보시면,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데이터 계층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은 야후 파이낸스에서 수집한 </w:t>
      </w:r>
      <w:r>
        <w:rPr>
          <w:rFonts w:ascii="맑은 고딕" w:hAnsi="맑은 고딕" w:eastAsia="맑은 고딕"/>
          <w:b/>
          <w:color w:val="0052CC"/>
          <w:sz w:val="21"/>
        </w:rPr>
        <w:t>2013년 7월부터 2026년 9월까지 총 159개월간의 18개 대표 ETF 배당 재투자 수정 총수익률(Adjusted Close) 실데이터</w:t>
      </w:r>
      <w:r>
        <w:rPr>
          <w:rFonts w:ascii="맑은 고딕" w:hAnsi="맑은 고딕" w:eastAsia="맑은 고딕"/>
          <w:b w:val="0"/>
          <w:color w:val="0F172A"/>
          <w:sz w:val="21"/>
        </w:rPr>
        <w:t>와 거시지표로 구성됩니다.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백엔드 수리 엔진</w:t>
      </w:r>
      <w:r>
        <w:rPr>
          <w:rFonts w:ascii="맑은 고딕" w:hAnsi="맑은 고딕" w:eastAsia="맑은 고딕"/>
          <w:b w:val="0"/>
          <w:color w:val="0F172A"/>
          <w:sz w:val="21"/>
        </w:rPr>
        <w:t>은 Python FastAPI 기반이며, NumPy와 SciPy의 SLSQP 솔버를 이용해 6단계 파이프라인과 21개 모델 최적화를 실시간 연산합니다.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프론트엔드 대시보드</w:t>
      </w:r>
      <w:r>
        <w:rPr>
          <w:rFonts w:ascii="맑은 고딕" w:hAnsi="맑은 고딕" w:eastAsia="맑은 고딕"/>
          <w:b w:val="0"/>
          <w:color w:val="0F172A"/>
          <w:sz w:val="21"/>
        </w:rPr>
        <w:t>는 React 19와 TypeScript로 구축하여 6단계 진행 스테퍼, 자산배분 차트, 보르다 투표 리더보드, 실데이터 백테스트 탭을 제공하며, 우측 상단에서 IPS 파라미터(변동성 밴드 등)를 바꾸면 즉시 파이프라인이 재실행됩니다.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배포 및 인프라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는 Docker 멀티 스테이지 빌드를 통해 </w:t>
      </w:r>
      <w:r>
        <w:rPr>
          <w:rFonts w:ascii="맑은 고딕" w:hAnsi="맑은 고딕" w:eastAsia="맑은 고딕"/>
          <w:b/>
          <w:color w:val="0052CC"/>
          <w:sz w:val="21"/>
        </w:rPr>
        <w:t>Render 클라우드에 24시간 무중단 배포</w:t>
      </w:r>
      <w:r>
        <w:rPr>
          <w:rFonts w:ascii="맑은 고딕" w:hAnsi="맑은 고딕" w:eastAsia="맑은 고딕"/>
          <w:b w:val="0"/>
          <w:color w:val="0F172A"/>
          <w:sz w:val="21"/>
        </w:rPr>
        <w:t>되어 있으며, GitHub CI/CD와 연동되어 있습니다."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051C2C"/>
          <w:sz w:val="25"/>
        </w:rPr>
        <w:t>[Page 8] 기초데이터 체계 및 21개 투자안 후보군 총괄 맵 (05:50 ~ 07:05 | 75초)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/>
          <w:color w:val="051C2C"/>
          <w:sz w:val="20"/>
        </w:rPr>
        <w:t>슬라이드 제목</w:t>
      </w:r>
      <w:r>
        <w:rPr>
          <w:rFonts w:ascii="맑은 고딕" w:hAnsi="맑은 고딕" w:eastAsia="맑은 고딕"/>
          <w:b w:val="0"/>
          <w:color w:val="475569"/>
          <w:sz w:val="20"/>
        </w:rPr>
        <w:t>: 기초데이터 체계 및 21개 투자안 후보군 총괄 맵 (One-Page Summary)</w:t>
      </w:r>
    </w:p>
    <w:p>
      <w:pPr>
        <w:spacing w:before="60" w:after="140" w:line="331" w:lineRule="auto"/>
      </w:pPr>
      <w:r>
        <w:rPr>
          <w:rFonts w:ascii="맑은 고딕" w:hAnsi="맑은 고딕" w:eastAsia="맑은 고딕"/>
          <w:b w:val="0"/>
          <w:color w:val="0F172A"/>
          <w:sz w:val="21"/>
        </w:rPr>
        <w:t>"데이터 출처와 21개 최적화 모델 후보군이 어떻게 구성되었는지 한 장으로 정리한 총괄 맵입니다.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좌측 Part 1(기초데이터 및 18개 ETF 유니버스)</w:t>
      </w:r>
      <w:r>
        <w:rPr>
          <w:rFonts w:ascii="맑은 고딕" w:hAnsi="맑은 고딕" w:eastAsia="맑은 고딕"/>
          <w:b w:val="0"/>
          <w:color w:val="0F172A"/>
          <w:sz w:val="21"/>
        </w:rPr>
        <w:t>을 보시겠습니다. 논문 Exhibit 11의 18개 유동성 자산군을 실제 거래 가능한 18개 미국 상장 대표 ETF에 1:1로 매핑했습니다.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주식군 6개</w:t>
      </w:r>
      <w:r>
        <w:rPr>
          <w:rFonts w:ascii="맑은 고딕" w:hAnsi="맑은 고딕" w:eastAsia="맑은 고딕"/>
          <w:b w:val="0"/>
          <w:color w:val="0F172A"/>
          <w:sz w:val="21"/>
        </w:rPr>
        <w:t>: 미국 대형주(</w:t>
      </w:r>
      <w:r>
        <w:rPr>
          <w:rFonts w:ascii="Consolas" w:hAnsi="Consolas" w:eastAsia="Consolas"/>
          <w:b/>
          <w:color w:val="B91C1C"/>
          <w:sz w:val="20"/>
        </w:rPr>
        <w:t>SPY</w:t>
      </w:r>
      <w:r>
        <w:rPr>
          <w:rFonts w:ascii="맑은 고딕" w:hAnsi="맑은 고딕" w:eastAsia="맑은 고딕"/>
          <w:b w:val="0"/>
          <w:color w:val="0F172A"/>
          <w:sz w:val="21"/>
        </w:rPr>
        <w:t>), 성장주(</w:t>
      </w:r>
      <w:r>
        <w:rPr>
          <w:rFonts w:ascii="Consolas" w:hAnsi="Consolas" w:eastAsia="Consolas"/>
          <w:b/>
          <w:color w:val="B91C1C"/>
          <w:sz w:val="20"/>
        </w:rPr>
        <w:t>VUG</w:t>
      </w:r>
      <w:r>
        <w:rPr>
          <w:rFonts w:ascii="맑은 고딕" w:hAnsi="맑은 고딕" w:eastAsia="맑은 고딕"/>
          <w:b w:val="0"/>
          <w:color w:val="0F172A"/>
          <w:sz w:val="21"/>
        </w:rPr>
        <w:t>), 가치주(</w:t>
      </w:r>
      <w:r>
        <w:rPr>
          <w:rFonts w:ascii="Consolas" w:hAnsi="Consolas" w:eastAsia="Consolas"/>
          <w:b/>
          <w:color w:val="B91C1C"/>
          <w:sz w:val="20"/>
        </w:rPr>
        <w:t>VTV</w:t>
      </w:r>
      <w:r>
        <w:rPr>
          <w:rFonts w:ascii="맑은 고딕" w:hAnsi="맑은 고딕" w:eastAsia="맑은 고딕"/>
          <w:b w:val="0"/>
          <w:color w:val="0F172A"/>
          <w:sz w:val="21"/>
        </w:rPr>
        <w:t>), 중소형주(</w:t>
      </w:r>
      <w:r>
        <w:rPr>
          <w:rFonts w:ascii="Consolas" w:hAnsi="Consolas" w:eastAsia="Consolas"/>
          <w:b/>
          <w:color w:val="B91C1C"/>
          <w:sz w:val="20"/>
        </w:rPr>
        <w:t>IWM</w:t>
      </w:r>
      <w:r>
        <w:rPr>
          <w:rFonts w:ascii="맑은 고딕" w:hAnsi="맑은 고딕" w:eastAsia="맑은 고딕"/>
          <w:b w:val="0"/>
          <w:color w:val="0F172A"/>
          <w:sz w:val="21"/>
        </w:rPr>
        <w:t>), 선진국(</w:t>
      </w:r>
      <w:r>
        <w:rPr>
          <w:rFonts w:ascii="Consolas" w:hAnsi="Consolas" w:eastAsia="Consolas"/>
          <w:b/>
          <w:color w:val="B91C1C"/>
          <w:sz w:val="20"/>
        </w:rPr>
        <w:t>EFA</w:t>
      </w:r>
      <w:r>
        <w:rPr>
          <w:rFonts w:ascii="맑은 고딕" w:hAnsi="맑은 고딕" w:eastAsia="맑은 고딕"/>
          <w:b w:val="0"/>
          <w:color w:val="0F172A"/>
          <w:sz w:val="21"/>
        </w:rPr>
        <w:t>), 신흥국(</w:t>
      </w:r>
      <w:r>
        <w:rPr>
          <w:rFonts w:ascii="Consolas" w:hAnsi="Consolas" w:eastAsia="Consolas"/>
          <w:b/>
          <w:color w:val="B91C1C"/>
          <w:sz w:val="20"/>
        </w:rPr>
        <w:t>EEM</w:t>
      </w:r>
      <w:r>
        <w:rPr>
          <w:rFonts w:ascii="맑은 고딕" w:hAnsi="맑은 고딕" w:eastAsia="맑은 고딕"/>
          <w:b w:val="0"/>
          <w:color w:val="0F172A"/>
          <w:sz w:val="21"/>
        </w:rPr>
        <w:t>)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채권군 8개</w:t>
      </w:r>
      <w:r>
        <w:rPr>
          <w:rFonts w:ascii="맑은 고딕" w:hAnsi="맑은 고딕" w:eastAsia="맑은 고딕"/>
          <w:b w:val="0"/>
          <w:color w:val="0F172A"/>
          <w:sz w:val="21"/>
        </w:rPr>
        <w:t>: 미국 단기국채(</w:t>
      </w:r>
      <w:r>
        <w:rPr>
          <w:rFonts w:ascii="Consolas" w:hAnsi="Consolas" w:eastAsia="Consolas"/>
          <w:b/>
          <w:color w:val="B91C1C"/>
          <w:sz w:val="20"/>
        </w:rPr>
        <w:t>SHY</w:t>
      </w:r>
      <w:r>
        <w:rPr>
          <w:rFonts w:ascii="맑은 고딕" w:hAnsi="맑은 고딕" w:eastAsia="맑은 고딕"/>
          <w:b w:val="0"/>
          <w:color w:val="0F172A"/>
          <w:sz w:val="21"/>
        </w:rPr>
        <w:t>), 중기국채(</w:t>
      </w:r>
      <w:r>
        <w:rPr>
          <w:rFonts w:ascii="Consolas" w:hAnsi="Consolas" w:eastAsia="Consolas"/>
          <w:b/>
          <w:color w:val="B91C1C"/>
          <w:sz w:val="20"/>
        </w:rPr>
        <w:t>IEF</w:t>
      </w:r>
      <w:r>
        <w:rPr>
          <w:rFonts w:ascii="맑은 고딕" w:hAnsi="맑은 고딕" w:eastAsia="맑은 고딕"/>
          <w:b w:val="0"/>
          <w:color w:val="0F172A"/>
          <w:sz w:val="21"/>
        </w:rPr>
        <w:t>), 장기국채(</w:t>
      </w:r>
      <w:r>
        <w:rPr>
          <w:rFonts w:ascii="Consolas" w:hAnsi="Consolas" w:eastAsia="Consolas"/>
          <w:b/>
          <w:color w:val="B91C1C"/>
          <w:sz w:val="20"/>
        </w:rPr>
        <w:t>TLT</w:t>
      </w:r>
      <w:r>
        <w:rPr>
          <w:rFonts w:ascii="맑은 고딕" w:hAnsi="맑은 고딕" w:eastAsia="맑은 고딕"/>
          <w:b w:val="0"/>
          <w:color w:val="0F172A"/>
          <w:sz w:val="21"/>
        </w:rPr>
        <w:t>), 투자등급 회사채(</w:t>
      </w:r>
      <w:r>
        <w:rPr>
          <w:rFonts w:ascii="Consolas" w:hAnsi="Consolas" w:eastAsia="Consolas"/>
          <w:b/>
          <w:color w:val="B91C1C"/>
          <w:sz w:val="20"/>
        </w:rPr>
        <w:t>LQD</w:t>
      </w:r>
      <w:r>
        <w:rPr>
          <w:rFonts w:ascii="맑은 고딕" w:hAnsi="맑은 고딕" w:eastAsia="맑은 고딕"/>
          <w:b w:val="0"/>
          <w:color w:val="0F172A"/>
          <w:sz w:val="21"/>
        </w:rPr>
        <w:t>), 하이일드(</w:t>
      </w:r>
      <w:r>
        <w:rPr>
          <w:rFonts w:ascii="Consolas" w:hAnsi="Consolas" w:eastAsia="Consolas"/>
          <w:b/>
          <w:color w:val="B91C1C"/>
          <w:sz w:val="20"/>
        </w:rPr>
        <w:t>HYG</w:t>
      </w:r>
      <w:r>
        <w:rPr>
          <w:rFonts w:ascii="맑은 고딕" w:hAnsi="맑은 고딕" w:eastAsia="맑은 고딕"/>
          <w:b w:val="0"/>
          <w:color w:val="0F172A"/>
          <w:sz w:val="21"/>
        </w:rPr>
        <w:t>), 해외 선진국 국채(</w:t>
      </w:r>
      <w:r>
        <w:rPr>
          <w:rFonts w:ascii="Consolas" w:hAnsi="Consolas" w:eastAsia="Consolas"/>
          <w:b/>
          <w:color w:val="B91C1C"/>
          <w:sz w:val="20"/>
        </w:rPr>
        <w:t>BNDX</w:t>
      </w:r>
      <w:r>
        <w:rPr>
          <w:rFonts w:ascii="맑은 고딕" w:hAnsi="맑은 고딕" w:eastAsia="맑은 고딕"/>
          <w:b w:val="0"/>
          <w:color w:val="0F172A"/>
          <w:sz w:val="21"/>
        </w:rPr>
        <w:t>), 해외 회사채(</w:t>
      </w:r>
      <w:r>
        <w:rPr>
          <w:rFonts w:ascii="Consolas" w:hAnsi="Consolas" w:eastAsia="Consolas"/>
          <w:b/>
          <w:color w:val="B91C1C"/>
          <w:sz w:val="20"/>
        </w:rPr>
        <w:t>PICB</w:t>
      </w:r>
      <w:r>
        <w:rPr>
          <w:rFonts w:ascii="맑은 고딕" w:hAnsi="맑은 고딕" w:eastAsia="맑은 고딕"/>
          <w:b w:val="0"/>
          <w:color w:val="0F172A"/>
          <w:sz w:val="21"/>
        </w:rPr>
        <w:t>), 신흥국 달러채(</w:t>
      </w:r>
      <w:r>
        <w:rPr>
          <w:rFonts w:ascii="Consolas" w:hAnsi="Consolas" w:eastAsia="Consolas"/>
          <w:b/>
          <w:color w:val="B91C1C"/>
          <w:sz w:val="20"/>
        </w:rPr>
        <w:t>EMB</w:t>
      </w:r>
      <w:r>
        <w:rPr>
          <w:rFonts w:ascii="맑은 고딕" w:hAnsi="맑은 고딕" w:eastAsia="맑은 고딕"/>
          <w:b w:val="0"/>
          <w:color w:val="0F172A"/>
          <w:sz w:val="21"/>
        </w:rPr>
        <w:t>)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실물자산 3개</w:t>
      </w:r>
      <w:r>
        <w:rPr>
          <w:rFonts w:ascii="맑은 고딕" w:hAnsi="맑은 고딕" w:eastAsia="맑은 고딕"/>
          <w:b w:val="0"/>
          <w:color w:val="0F172A"/>
          <w:sz w:val="21"/>
        </w:rPr>
        <w:t>: 금(</w:t>
      </w:r>
      <w:r>
        <w:rPr>
          <w:rFonts w:ascii="Consolas" w:hAnsi="Consolas" w:eastAsia="Consolas"/>
          <w:b/>
          <w:color w:val="B91C1C"/>
          <w:sz w:val="20"/>
        </w:rPr>
        <w:t>GLD</w:t>
      </w:r>
      <w:r>
        <w:rPr>
          <w:rFonts w:ascii="맑은 고딕" w:hAnsi="맑은 고딕" w:eastAsia="맑은 고딕"/>
          <w:b w:val="0"/>
          <w:color w:val="0F172A"/>
          <w:sz w:val="21"/>
        </w:rPr>
        <w:t>), 원자재(</w:t>
      </w:r>
      <w:r>
        <w:rPr>
          <w:rFonts w:ascii="Consolas" w:hAnsi="Consolas" w:eastAsia="Consolas"/>
          <w:b/>
          <w:color w:val="B91C1C"/>
          <w:sz w:val="20"/>
        </w:rPr>
        <w:t>DBC/GSG</w:t>
      </w:r>
      <w:r>
        <w:rPr>
          <w:rFonts w:ascii="맑은 고딕" w:hAnsi="맑은 고딕" w:eastAsia="맑은 고딕"/>
          <w:b w:val="0"/>
          <w:color w:val="0F172A"/>
          <w:sz w:val="21"/>
        </w:rPr>
        <w:t>), 리츠(</w:t>
      </w:r>
      <w:r>
        <w:rPr>
          <w:rFonts w:ascii="Consolas" w:hAnsi="Consolas" w:eastAsia="Consolas"/>
          <w:b/>
          <w:color w:val="B91C1C"/>
          <w:sz w:val="20"/>
        </w:rPr>
        <w:t>VNQ</w:t>
      </w:r>
      <w:r>
        <w:rPr>
          <w:rFonts w:ascii="맑은 고딕" w:hAnsi="맑은 고딕" w:eastAsia="맑은 고딕"/>
          <w:b w:val="0"/>
          <w:color w:val="0F172A"/>
          <w:sz w:val="21"/>
        </w:rPr>
        <w:t>)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현금성 자산 1개</w:t>
      </w:r>
      <w:r>
        <w:rPr>
          <w:rFonts w:ascii="맑은 고딕" w:hAnsi="맑은 고딕" w:eastAsia="맑은 고딕"/>
          <w:b w:val="0"/>
          <w:color w:val="0F172A"/>
          <w:sz w:val="21"/>
        </w:rPr>
        <w:t>: 미국 1-3개월 초단기 국채(</w:t>
      </w:r>
      <w:r>
        <w:rPr>
          <w:rFonts w:ascii="Consolas" w:hAnsi="Consolas" w:eastAsia="Consolas"/>
          <w:b/>
          <w:color w:val="B91C1C"/>
          <w:sz w:val="20"/>
        </w:rPr>
        <w:t>BIL</w:t>
      </w:r>
      <w:r>
        <w:rPr>
          <w:rFonts w:ascii="맑은 고딕" w:hAnsi="맑은 고딕" w:eastAsia="맑은 고딕"/>
          <w:b w:val="0"/>
          <w:color w:val="0F172A"/>
          <w:sz w:val="21"/>
        </w:rPr>
        <w:t>, 무위험 수익률 연 3.7% 대용치)입니다.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우측 Part 2(논문 Exhibit 5 기반 4대 계열 21개 모델 후보군)</w:t>
      </w:r>
      <w:r>
        <w:rPr>
          <w:rFonts w:ascii="맑은 고딕" w:hAnsi="맑은 고딕" w:eastAsia="맑은 고딕"/>
          <w:b w:val="0"/>
          <w:color w:val="0F172A"/>
          <w:sz w:val="21"/>
        </w:rPr>
        <w:t>입니다. 특정 방법론의 편향을 막기 위해 철학이 다른 4개 패밀리를 경쟁시킵니다.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Family A(휴리스틱 5개)</w:t>
      </w:r>
      <w:r>
        <w:rPr>
          <w:rFonts w:ascii="맑은 고딕" w:hAnsi="맑은 고딕" w:eastAsia="맑은 고딕"/>
          <w:b w:val="0"/>
          <w:color w:val="0F172A"/>
          <w:sz w:val="21"/>
        </w:rPr>
        <w:t>: 기대수익률이나 공분산 추정 오차를 피하는 단순 규칙 모델로, 동일가중($1/N$), 시가총액 가중(60/40 기준), 역변동성($1/\sigma$), 역분산($1/\sigma^2$), 타깃 변동성입니다.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Family B(수익률 최적화 5개)</w:t>
      </w:r>
      <w:r>
        <w:rPr>
          <w:rFonts w:ascii="맑은 고딕" w:hAnsi="맑은 고딕" w:eastAsia="맑은 고딕"/>
          <w:b w:val="0"/>
          <w:color w:val="0F172A"/>
          <w:sz w:val="21"/>
        </w:rPr>
        <w:t>: 기대수익률($\mu$)과 샤프지수를 극대화하는 마코위츠 평균-분산(MVO), 블랙-리터만(BL), 최대 샤프, 로버스트 MVO, 리샘플링 프론티어입니다.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Family C(위험 구조화 5개)</w:t>
      </w:r>
      <w:r>
        <w:rPr>
          <w:rFonts w:ascii="맑은 고딕" w:hAnsi="맑은 고딕" w:eastAsia="맑은 고딕"/>
          <w:b w:val="0"/>
          <w:color w:val="0F172A"/>
          <w:sz w:val="21"/>
        </w:rPr>
        <w:t>: 오차가 큰 기대수익률($\mu$) 추정을 배제하고 공분산($\Sigma$)만으로 위험을 쪼개는 위험균형(Risk Parity), 최대 분산(Max Diversification), 최소 분산, 머신러닝 계층적 위험균형(HRP), 꼬리위험 균형입니다.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Family D(비전통 모델 6개)</w:t>
      </w:r>
      <w:r>
        <w:rPr>
          <w:rFonts w:ascii="맑은 고딕" w:hAnsi="맑은 고딕" w:eastAsia="맑은 고딕"/>
          <w:b w:val="0"/>
          <w:color w:val="0F172A"/>
          <w:sz w:val="21"/>
        </w:rPr>
        <w:t>: 하방 꼬리위험을 통제하거나 체제 전환에 대응하는 통합 포트폴리오 배분(TPA), CVaR 최적화, 소르티노 위험, 최대 엔트로피, 적대적 분산기, 레짐 스위칭 모델입니다."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051C2C"/>
          <w:sz w:val="25"/>
        </w:rPr>
        <w:t>[Page 9] 21개 후보 모델 다계층 평가 프로세스 (07:05 ~ 08:20 | 75초)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/>
          <w:color w:val="051C2C"/>
          <w:sz w:val="20"/>
        </w:rPr>
        <w:t>슬라이드 제목</w:t>
      </w:r>
      <w:r>
        <w:rPr>
          <w:rFonts w:ascii="맑은 고딕" w:hAnsi="맑은 고딕" w:eastAsia="맑은 고딕"/>
          <w:b w:val="0"/>
          <w:color w:val="475569"/>
          <w:sz w:val="20"/>
        </w:rPr>
        <w:t>: 시스템 아키텍처 및 기초데이터 체계 (6단계 평가 플로우차트 &amp; 1·2단계 상세)</w:t>
      </w:r>
    </w:p>
    <w:p>
      <w:pPr>
        <w:spacing w:before="60" w:after="140" w:line="331" w:lineRule="auto"/>
      </w:pPr>
      <w:r>
        <w:rPr>
          <w:rFonts w:ascii="맑은 고딕" w:hAnsi="맑은 고딕" w:eastAsia="맑은 고딕"/>
          <w:b w:val="0"/>
          <w:color w:val="0F172A"/>
          <w:sz w:val="21"/>
        </w:rPr>
        <w:t>"그렇다면 철학이 전혀 다른 이 21개 모델을 시스템이 어떻게 공정하게 평가하고 걸러내는지, 좌측 플로우차트와 우측 수식을 통해 설명드리겠습니다.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1단계(CRO 독립 정량 평가, 가중치 45%)</w:t>
      </w:r>
      <w:r>
        <w:rPr>
          <w:rFonts w:ascii="맑은 고딕" w:hAnsi="맑은 고딕" w:eastAsia="맑은 고딕"/>
          <w:b w:val="0"/>
          <w:color w:val="0F172A"/>
          <w:sz w:val="21"/>
        </w:rPr>
        <w:t>: 우측 상단을 보시면 CRO 에이전트가 모든 후보 포트폴리오에 대해 4가지 정량 지표를 채점합니다.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위험 대비 초과수익인 </w:t>
      </w:r>
      <w:r>
        <w:rPr>
          <w:rFonts w:ascii="맑은 고딕" w:hAnsi="맑은 고딕" w:eastAsia="맑은 고딕"/>
          <w:b/>
          <w:color w:val="0052CC"/>
          <w:sz w:val="21"/>
        </w:rPr>
        <w:t>샤프 지수에 40%</w:t>
      </w:r>
      <w:r>
        <w:rPr>
          <w:rFonts w:ascii="맑은 고딕" w:hAnsi="맑은 고딕" w:eastAsia="맑은 고딕"/>
          <w:b w:val="0"/>
          <w:color w:val="0F172A"/>
          <w:sz w:val="21"/>
        </w:rPr>
        <w:t>,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4대 하드 제약(변동성 밴드, 트래킹 에러, MDD, 주식 비중) 통과 여부인 </w:t>
      </w:r>
      <w:r>
        <w:rPr>
          <w:rFonts w:ascii="맑은 고딕" w:hAnsi="맑은 고딕" w:eastAsia="맑은 고딕"/>
          <w:b/>
          <w:color w:val="0052CC"/>
          <w:sz w:val="21"/>
        </w:rPr>
        <w:t>IPS 규정 준수에 25%</w:t>
      </w:r>
      <w:r>
        <w:rPr>
          <w:rFonts w:ascii="맑은 고딕" w:hAnsi="맑은 고딕" w:eastAsia="맑은 고딕"/>
          <w:b w:val="0"/>
          <w:color w:val="0F172A"/>
          <w:sz w:val="21"/>
        </w:rPr>
        <w:t>,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특정 ETF 쏠림을 막기 위해 정보 엔트로피의 지수함수로 구한 </w:t>
      </w:r>
      <w:r>
        <w:rPr>
          <w:rFonts w:ascii="맑은 고딕" w:hAnsi="맑은 고딕" w:eastAsia="맑은 고딕"/>
          <w:b/>
          <w:color w:val="0052CC"/>
          <w:sz w:val="21"/>
        </w:rPr>
        <w:t>Meucci 유효 분산 자산 수($N_{\text{eff}}$)에 20%</w:t>
      </w:r>
      <w:r>
        <w:rPr>
          <w:rFonts w:ascii="맑은 고딕" w:hAnsi="맑은 고딕" w:eastAsia="맑은 고딕"/>
          <w:b w:val="0"/>
          <w:color w:val="0F172A"/>
          <w:sz w:val="21"/>
        </w:rPr>
        <w:t>,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60/40 벤치마크 대비 괴리율인 </w:t>
      </w:r>
      <w:r>
        <w:rPr>
          <w:rFonts w:ascii="맑은 고딕" w:hAnsi="맑은 고딕" w:eastAsia="맑은 고딕"/>
          <w:b/>
          <w:color w:val="0052CC"/>
          <w:sz w:val="21"/>
        </w:rPr>
        <w:t>트래킹 에러 통제력에 15%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 가중치를 두어 0~1점 사이로 정량 점수(Metric Score)를 산출합니다.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2단계(피어 리뷰) 및 3단계(수정 보르다 투표, 가중치 55%)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: 우측 하단 설명처럼 각 에이전트는 </w:t>
      </w:r>
      <w:r>
        <w:rPr>
          <w:rFonts w:ascii="맑은 고딕" w:hAnsi="맑은 고딕" w:eastAsia="맑은 고딕"/>
          <w:b/>
          <w:color w:val="0052CC"/>
          <w:sz w:val="21"/>
        </w:rPr>
        <w:t>동일 패밀리 내부 심사(Intra-Review)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를 통해 세부 파라미터 민감도를 비판하고, </w:t>
      </w:r>
      <w:r>
        <w:rPr>
          <w:rFonts w:ascii="맑은 고딕" w:hAnsi="맑은 고딕" w:eastAsia="맑은 고딕"/>
          <w:b/>
          <w:color w:val="0052CC"/>
          <w:sz w:val="21"/>
        </w:rPr>
        <w:t>이종 패밀리 간 교차 심사(Inter-Review)</w:t>
      </w:r>
      <w:r>
        <w:rPr>
          <w:rFonts w:ascii="맑은 고딕" w:hAnsi="맑은 고딕" w:eastAsia="맑은 고딕"/>
          <w:b w:val="0"/>
          <w:color w:val="0F172A"/>
          <w:sz w:val="21"/>
        </w:rPr>
        <w:t>를 통해 상대 패밀리의 근본 가정(예: 위험 구조화 모델이 수익률 최적화 모델의 기대수익률 과최적화를 비판)을 검증합니다. 이후 수정 보르다 카운트 투표를 실시해 동료 점수를 매깁니다.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4단계(종합 점수 합산)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: 동료 보르다 투표 점수 </w:t>
      </w:r>
      <w:r>
        <w:rPr>
          <w:rFonts w:ascii="맑은 고딕" w:hAnsi="맑은 고딕" w:eastAsia="맑은 고딕"/>
          <w:b/>
          <w:color w:val="0052CC"/>
          <w:sz w:val="21"/>
        </w:rPr>
        <w:t>55%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와 CRO 정량 점수 </w:t>
      </w:r>
      <w:r>
        <w:rPr>
          <w:rFonts w:ascii="맑은 고딕" w:hAnsi="맑은 고딕" w:eastAsia="맑은 고딕"/>
          <w:b/>
          <w:color w:val="0052CC"/>
          <w:sz w:val="21"/>
        </w:rPr>
        <w:t>45%</w:t>
      </w:r>
      <w:r>
        <w:rPr>
          <w:rFonts w:ascii="맑은 고딕" w:hAnsi="맑은 고딕" w:eastAsia="맑은 고딕"/>
          <w:b w:val="0"/>
          <w:color w:val="0F172A"/>
          <w:sz w:val="21"/>
        </w:rPr>
        <w:t>를 합산해 1위부터 21위까지 종합 랭킹을 산출합니다.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5단계(IPS 규정 하드 필터링 — 핵심 게이팅)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: 종합 점수가 아무리 높아도, 기관 IPS가 정한 </w:t>
      </w:r>
      <w:r>
        <w:rPr>
          <w:rFonts w:ascii="맑은 고딕" w:hAnsi="맑은 고딕" w:eastAsia="맑은 고딕"/>
          <w:b/>
          <w:color w:val="0052CC"/>
          <w:sz w:val="21"/>
        </w:rPr>
        <w:t>사전 변동성 허용 밴드 `[8.0% ~ 12.0%]`를 벗어난 후보는 CRO 거부권(Veto)으로 즉시 배제</w:t>
      </w:r>
      <w:r>
        <w:rPr>
          <w:rFonts w:ascii="맑은 고딕" w:hAnsi="맑은 고딕" w:eastAsia="맑은 고딕"/>
          <w:b w:val="0"/>
          <w:color w:val="0F172A"/>
          <w:sz w:val="21"/>
        </w:rPr>
        <w:t>합니다.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6단계(최종 앙상블)</w:t>
      </w:r>
      <w:r>
        <w:rPr>
          <w:rFonts w:ascii="맑은 고딕" w:hAnsi="맑은 고딕" w:eastAsia="맑은 고딕"/>
          <w:b w:val="0"/>
          <w:color w:val="0F172A"/>
          <w:sz w:val="21"/>
        </w:rPr>
        <w:t>: 적격 판정을 받아 살아남은 모델들만 트래킹 에러의 역수($1/\text{TE}$) 비중으로 가중 결합해 최종 SAA를 확정합니다."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051C2C"/>
          <w:sz w:val="25"/>
        </w:rPr>
        <w:t>[Page 10] [실화면 1] 메인 대시보드 및 핵심 거버넌스 지표 (08:20 ~ 09:20 | 60초)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/>
          <w:color w:val="051C2C"/>
          <w:sz w:val="20"/>
        </w:rPr>
        <w:t>슬라이드 제목</w:t>
      </w:r>
      <w:r>
        <w:rPr>
          <w:rFonts w:ascii="맑은 고딕" w:hAnsi="맑은 고딕" w:eastAsia="맑은 고딕"/>
          <w:b w:val="0"/>
          <w:color w:val="475569"/>
          <w:sz w:val="20"/>
        </w:rPr>
        <w:t>: 메인 대시보드 및 핵심 거버넌스 지표 (실화면)</w:t>
      </w:r>
    </w:p>
    <w:p>
      <w:pPr>
        <w:spacing w:before="60" w:after="140" w:line="331" w:lineRule="auto"/>
      </w:pPr>
      <w:r>
        <w:rPr>
          <w:rFonts w:ascii="맑은 고딕" w:hAnsi="맑은 고딕" w:eastAsia="맑은 고딕"/>
          <w:b w:val="0"/>
          <w:color w:val="0F172A"/>
          <w:sz w:val="21"/>
        </w:rPr>
        <w:t>"지금부터는 실제 배포된 웹 애플리케이션 화면을 보며 결과를 설명드리겠습니다.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우측 캡쳐 화면 상단을 보시면 </w:t>
      </w:r>
      <w:r>
        <w:rPr>
          <w:rFonts w:ascii="맑은 고딕" w:hAnsi="맑은 고딕" w:eastAsia="맑은 고딕"/>
          <w:b/>
          <w:color w:val="0052CC"/>
          <w:sz w:val="21"/>
        </w:rPr>
        <w:t>‘거버넌스: L3’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 배지와 함께 초록색 배너로 </w:t>
      </w:r>
      <w:r>
        <w:rPr>
          <w:rFonts w:ascii="맑은 고딕" w:hAnsi="맑은 고딕" w:eastAsia="맑은 고딕"/>
          <w:b/>
          <w:color w:val="0052CC"/>
          <w:sz w:val="21"/>
        </w:rPr>
        <w:t>‘IPS 적격 심사 통과 — 적격 2/21, 제외된 19개 사유’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가 표시됩니다. 21개 모델 중 IPS 하드 제약을 완벽히 통과한 </w:t>
      </w:r>
      <w:r>
        <w:rPr>
          <w:rFonts w:ascii="맑은 고딕" w:hAnsi="맑은 고딕" w:eastAsia="맑은 고딕"/>
          <w:b/>
          <w:color w:val="0052CC"/>
          <w:sz w:val="21"/>
        </w:rPr>
        <w:t>시가총액 가중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과 </w:t>
      </w:r>
      <w:r>
        <w:rPr>
          <w:rFonts w:ascii="맑은 고딕" w:hAnsi="맑은 고딕" w:eastAsia="맑은 고딕"/>
          <w:b/>
          <w:color w:val="0052CC"/>
          <w:sz w:val="21"/>
        </w:rPr>
        <w:t>통합 포트폴리오 배분(TPA)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 단 2개 모델만 결합되었다는 뜻입니다.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>• 중단에는 앞서 설명드린 1단계 거시 국면(후기 사이클·스태그플레이션 위험, 신뢰도 82%, 침체확률 32%)부터 6단계 CIO 앙상블까지의 실시간 파이프라인 스테퍼가 작동하고 있습니다.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하단 6개 KPI 카드를 보시면, 최종 포트폴리오의 </w:t>
      </w:r>
      <w:r>
        <w:rPr>
          <w:rFonts w:ascii="맑은 고딕" w:hAnsi="맑은 고딕" w:eastAsia="맑은 고딕"/>
          <w:b/>
          <w:color w:val="0052CC"/>
          <w:sz w:val="21"/>
        </w:rPr>
        <w:t>예상 명목수익률은 5.75%(실질 +3.3%)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, </w:t>
      </w:r>
      <w:r>
        <w:rPr>
          <w:rFonts w:ascii="맑은 고딕" w:hAnsi="맑은 고딕" w:eastAsia="맑은 고딕"/>
          <w:b/>
          <w:color w:val="0052CC"/>
          <w:sz w:val="21"/>
        </w:rPr>
        <w:t>사전 연간변동성은 8.85%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로 기관의 </w:t>
      </w:r>
      <w:r>
        <w:rPr>
          <w:rFonts w:ascii="Consolas" w:hAnsi="Consolas" w:eastAsia="Consolas"/>
          <w:b/>
          <w:color w:val="B91C1C"/>
          <w:sz w:val="20"/>
        </w:rPr>
        <w:t>[8%~12%]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 변동성 밴드를 정확히 충족합니다.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또한 </w:t>
      </w:r>
      <w:r>
        <w:rPr>
          <w:rFonts w:ascii="맑은 고딕" w:hAnsi="맑은 고딕" w:eastAsia="맑은 고딕"/>
          <w:b/>
          <w:color w:val="0052CC"/>
          <w:sz w:val="21"/>
        </w:rPr>
        <w:t>샤프 지수는 0.231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로 전통 60/40 벤치마크(0.219)를 상회하며, </w:t>
      </w:r>
      <w:r>
        <w:rPr>
          <w:rFonts w:ascii="맑은 고딕" w:hAnsi="맑은 고딕" w:eastAsia="맑은 고딕"/>
          <w:b/>
          <w:color w:val="0052CC"/>
          <w:sz w:val="21"/>
        </w:rPr>
        <w:t>예상 최대낙폭(MDD)은 -18.59%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, </w:t>
      </w:r>
      <w:r>
        <w:rPr>
          <w:rFonts w:ascii="맑은 고딕" w:hAnsi="맑은 고딕" w:eastAsia="맑은 고딕"/>
          <w:b/>
          <w:color w:val="0052CC"/>
          <w:sz w:val="21"/>
        </w:rPr>
        <w:t>사전 트래킹 에러는 0.77%(한도 6% 이내)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, </w:t>
      </w:r>
      <w:r>
        <w:rPr>
          <w:rFonts w:ascii="맑은 고딕" w:hAnsi="맑은 고딕" w:eastAsia="맑은 고딕"/>
          <w:b/>
          <w:color w:val="0052CC"/>
          <w:sz w:val="21"/>
        </w:rPr>
        <w:t>유효 분산 자산 수는 10.2개</w:t>
      </w:r>
      <w:r>
        <w:rPr>
          <w:rFonts w:ascii="맑은 고딕" w:hAnsi="맑은 고딕" w:eastAsia="맑은 고딕"/>
          <w:b w:val="0"/>
          <w:color w:val="0F172A"/>
          <w:sz w:val="21"/>
        </w:rPr>
        <w:t>로 우수한 다변화와 안정성을 달성했습니다."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051C2C"/>
          <w:sz w:val="25"/>
        </w:rPr>
        <w:t>[Page 11] [실화면 2] 대자산군 배분 및 60/40 벤치마크 비교 (09:20 ~ 10:15 | 55초)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/>
          <w:color w:val="051C2C"/>
          <w:sz w:val="20"/>
        </w:rPr>
        <w:t>슬라이드 제목</w:t>
      </w:r>
      <w:r>
        <w:rPr>
          <w:rFonts w:ascii="맑은 고딕" w:hAnsi="맑은 고딕" w:eastAsia="맑은 고딕"/>
          <w:b w:val="0"/>
          <w:color w:val="475569"/>
          <w:sz w:val="20"/>
        </w:rPr>
        <w:t>: 대자산군 배분 및 60/40 벤치마크 비교 (실화면)</w:t>
      </w:r>
    </w:p>
    <w:p>
      <w:pPr>
        <w:spacing w:before="60" w:after="140" w:line="331" w:lineRule="auto"/>
      </w:pPr>
      <w:r>
        <w:rPr>
          <w:rFonts w:ascii="맑은 고딕" w:hAnsi="맑은 고딕" w:eastAsia="맑은 고딕"/>
          <w:b w:val="0"/>
          <w:color w:val="0F172A"/>
          <w:sz w:val="21"/>
        </w:rPr>
        <w:t>"두 번째 실화면은 대자산군별 배분 도넛 차트와 60/40 벤치마크 비교 바 차트입니다.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좌측 도넛 차트를 보시면 최종 권고 비중은 </w:t>
      </w:r>
      <w:r>
        <w:rPr>
          <w:rFonts w:ascii="맑은 고딕" w:hAnsi="맑은 고딕" w:eastAsia="맑은 고딕"/>
          <w:b/>
          <w:color w:val="0052CC"/>
          <w:sz w:val="21"/>
        </w:rPr>
        <w:t>주식군 56.49%, 채권군 40.71%, 실물자산(금·원자재·리츠) 1.65%, 현금 버퍼(초단기채) 1.17%</w:t>
      </w:r>
      <w:r>
        <w:rPr>
          <w:rFonts w:ascii="맑은 고딕" w:hAnsi="맑은 고딕" w:eastAsia="맑은 고딕"/>
          <w:b w:val="0"/>
          <w:color w:val="0F172A"/>
          <w:sz w:val="21"/>
        </w:rPr>
        <w:t>입니다.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전 세계 연기금의 기준점인 </w:t>
      </w:r>
      <w:r>
        <w:rPr>
          <w:rFonts w:ascii="맑은 고딕" w:hAnsi="맑은 고딕" w:eastAsia="맑은 고딕"/>
          <w:b/>
          <w:color w:val="0052CC"/>
          <w:sz w:val="21"/>
        </w:rPr>
        <w:t>전통 60/40 벤치마크(주식 60%, 채권 40%, 실물·현금 0%)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와 비교하면, 1단계 거시 에이전트가 ‘후기 사이클 및 스태그플레이션 위험’을 경고했기 때문에 </w:t>
      </w:r>
      <w:r>
        <w:rPr>
          <w:rFonts w:ascii="맑은 고딕" w:hAnsi="맑은 고딕" w:eastAsia="맑은 고딕"/>
          <w:b/>
          <w:color w:val="0052CC"/>
          <w:sz w:val="21"/>
        </w:rPr>
        <w:t>고평가된 주식 비중을 60%에서 56.49%로 3.51%p 언더웨이트</w:t>
      </w:r>
      <w:r>
        <w:rPr>
          <w:rFonts w:ascii="맑은 고딕" w:hAnsi="맑은 고딕" w:eastAsia="맑은 고딕"/>
          <w:b w:val="0"/>
          <w:color w:val="0F172A"/>
          <w:sz w:val="21"/>
        </w:rPr>
        <w:t>하고, 그만큼을 채권 듀레이션과 인플레이션 헤지용 실물자산(1.65%), 유동성 현금 버퍼(1.17%)로 재배치했습니다.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우측 막대그래프를 보시면 이러한 방어적 조정을 통해 전통 60/40 대비 기대수익률과 변동성은 유사한 수준을 유지하면서도, </w:t>
      </w:r>
      <w:r>
        <w:rPr>
          <w:rFonts w:ascii="맑은 고딕" w:hAnsi="맑은 고딕" w:eastAsia="맑은 고딕"/>
          <w:b/>
          <w:color w:val="0052CC"/>
          <w:sz w:val="21"/>
        </w:rPr>
        <w:t>위기 시 예상 최대낙폭(MDD)을 기존 60/40의 -34.3%에서 -18.59%로 절반 가까이 축소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시켰고, 벤치마크 대비 </w:t>
      </w:r>
      <w:r>
        <w:rPr>
          <w:rFonts w:ascii="맑은 고딕" w:hAnsi="맑은 고딕" w:eastAsia="맑은 고딕"/>
          <w:b/>
          <w:color w:val="0052CC"/>
          <w:sz w:val="21"/>
        </w:rPr>
        <w:t>사전 트래킹 에러는 0.77%</w:t>
      </w:r>
      <w:r>
        <w:rPr>
          <w:rFonts w:ascii="맑은 고딕" w:hAnsi="맑은 고딕" w:eastAsia="맑은 고딕"/>
          <w:b w:val="0"/>
          <w:color w:val="0F172A"/>
          <w:sz w:val="21"/>
        </w:rPr>
        <w:t>로 통제하여 이탈 위험 없이 하방 방어력을 극대화했습니다."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051C2C"/>
          <w:sz w:val="25"/>
        </w:rPr>
        <w:t>[Page 12] [실화면 3] 18개 자산군별 최종 권고 비중 (Exhibit 11) (10:15 ~ 11:10 | 55초)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/>
          <w:color w:val="051C2C"/>
          <w:sz w:val="20"/>
        </w:rPr>
        <w:t>슬라이드 제목</w:t>
      </w:r>
      <w:r>
        <w:rPr>
          <w:rFonts w:ascii="맑은 고딕" w:hAnsi="맑은 고딕" w:eastAsia="맑은 고딕"/>
          <w:b w:val="0"/>
          <w:color w:val="475569"/>
          <w:sz w:val="20"/>
        </w:rPr>
        <w:t>: 18개 자산군별 최종 권고 비중 및 21개 후보군 (Exhibit 11)</w:t>
      </w:r>
    </w:p>
    <w:p>
      <w:pPr>
        <w:spacing w:before="60" w:after="140" w:line="331" w:lineRule="auto"/>
      </w:pPr>
      <w:r>
        <w:rPr>
          <w:rFonts w:ascii="맑은 고딕" w:hAnsi="맑은 고딕" w:eastAsia="맑은 고딕"/>
          <w:b w:val="0"/>
          <w:color w:val="0F172A"/>
          <w:sz w:val="21"/>
        </w:rPr>
        <w:t>"세 번째 실화면은 18개 개별 ETF 단위의 최종 목표 비중과 리스크 기여도(Risk Contribution), 그리고 60/40 벤치마크 대비 액티브 틸트(Active Tilt) 테이블입니다.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표의 첫 번째 줄을 보시면 </w:t>
      </w:r>
      <w:r>
        <w:rPr>
          <w:rFonts w:ascii="맑은 고딕" w:hAnsi="맑은 고딕" w:eastAsia="맑은 고딕"/>
          <w:b/>
          <w:color w:val="0052CC"/>
          <w:sz w:val="21"/>
        </w:rPr>
        <w:t>미국 대형주(`SPY`)가 28.56%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로 가장 큰 비중을 차지하며, 포트폴리오 전체 변동성에 미치는 </w:t>
      </w:r>
      <w:r>
        <w:rPr>
          <w:rFonts w:ascii="맑은 고딕" w:hAnsi="맑은 고딕" w:eastAsia="맑은 고딕"/>
          <w:b/>
          <w:color w:val="0052CC"/>
          <w:sz w:val="21"/>
        </w:rPr>
        <w:t>한계 위험 기여도(Risk Contribution)는 45.25%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입니다. 다만 60/40 벤치마크(35%) 대비해서는 </w:t>
      </w:r>
      <w:r>
        <w:rPr>
          <w:rFonts w:ascii="맑은 고딕" w:hAnsi="맑은 고딕" w:eastAsia="맑은 고딕"/>
          <w:b/>
          <w:color w:val="0052CC"/>
          <w:sz w:val="21"/>
        </w:rPr>
        <w:t>-6.4%p 언더웨이트</w:t>
      </w:r>
      <w:r>
        <w:rPr>
          <w:rFonts w:ascii="맑은 고딕" w:hAnsi="맑은 고딕" w:eastAsia="맑은 고딕"/>
          <w:b w:val="0"/>
          <w:color w:val="0F172A"/>
          <w:sz w:val="21"/>
        </w:rPr>
        <w:t>하여 대형주 밸류에이션(CAPE 25.4배) 부담을 줄였습니다.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두 번째 줄인 </w:t>
      </w:r>
      <w:r>
        <w:rPr>
          <w:rFonts w:ascii="맑은 고딕" w:hAnsi="맑은 고딕" w:eastAsia="맑은 고딕"/>
          <w:b/>
          <w:color w:val="0052CC"/>
          <w:sz w:val="21"/>
        </w:rPr>
        <w:t>미국 중기국채(`IEF`)는 16.57%</w:t>
      </w:r>
      <w:r>
        <w:rPr>
          <w:rFonts w:ascii="맑은 고딕" w:hAnsi="맑은 고딕" w:eastAsia="맑은 고딕"/>
          <w:b w:val="0"/>
          <w:color w:val="0F172A"/>
          <w:sz w:val="21"/>
        </w:rPr>
        <w:t>로 배정되어, 위험 기여도는 2.5%에 불과하지만 주식 시장 급락 시 포트폴리오를 방어하는 핵심 안전판 역할을 수행합니다.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이어서 </w:t>
      </w:r>
      <w:r>
        <w:rPr>
          <w:rFonts w:ascii="맑은 고딕" w:hAnsi="맑은 고딕" w:eastAsia="맑은 고딕"/>
          <w:b/>
          <w:color w:val="0052CC"/>
          <w:sz w:val="21"/>
        </w:rPr>
        <w:t>미국 성장주(`VUG`)와 가치주(`VTV`)를 각각 9.41%씩 균형 배분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했고, </w:t>
      </w:r>
      <w:r>
        <w:rPr>
          <w:rFonts w:ascii="맑은 고딕" w:hAnsi="맑은 고딕" w:eastAsia="맑은 고딕"/>
          <w:b/>
          <w:color w:val="0052CC"/>
          <w:sz w:val="21"/>
        </w:rPr>
        <w:t>미국 중소형주(`IWM`) 5.59%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, </w:t>
      </w:r>
      <w:r>
        <w:rPr>
          <w:rFonts w:ascii="맑은 고딕" w:hAnsi="맑은 고딕" w:eastAsia="맑은 고딕"/>
          <w:b/>
          <w:color w:val="0052CC"/>
          <w:sz w:val="21"/>
        </w:rPr>
        <w:t>단기국채(`SHY`)·장기국채(`TLT`)·투자등급 회사채(`LQD`)를 각각 5.09%</w:t>
      </w:r>
      <w:r>
        <w:rPr>
          <w:rFonts w:ascii="맑은 고딕" w:hAnsi="맑은 고딕" w:eastAsia="맑은 고딕"/>
          <w:b w:val="0"/>
          <w:color w:val="0F172A"/>
          <w:sz w:val="21"/>
        </w:rPr>
        <w:t>씩 고르게 배치했습니다.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또한 기존 60/40에는 0%였던 </w:t>
      </w:r>
      <w:r>
        <w:rPr>
          <w:rFonts w:ascii="맑은 고딕" w:hAnsi="맑은 고딕" w:eastAsia="맑은 고딕"/>
          <w:b/>
          <w:color w:val="0052CC"/>
          <w:sz w:val="21"/>
        </w:rPr>
        <w:t>선진국 주식(`EFA` 1.76%), 신흥국 주식(`EEM` 1.76%), 해외 회사채(`PICB` 1.26%)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 등을 편입하여 글로벌 분산 효과를 높였습니다."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051C2C"/>
          <w:sz w:val="25"/>
        </w:rPr>
        <w:t>[Page 13] [실화면 4] 전략 심의: 수정 보르다 투표 및 IPS 적격 필터링 (11:10 ~ 12:25 | 75초)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/>
          <w:color w:val="051C2C"/>
          <w:sz w:val="20"/>
        </w:rPr>
        <w:t>슬라이드 제목</w:t>
      </w:r>
      <w:r>
        <w:rPr>
          <w:rFonts w:ascii="맑은 고딕" w:hAnsi="맑은 고딕" w:eastAsia="맑은 고딕"/>
          <w:b w:val="0"/>
          <w:color w:val="475569"/>
          <w:sz w:val="20"/>
        </w:rPr>
        <w:t>: 전략 심의: 수정 보르다 투표 및 IPS 적격 필터링 (Exhibit 9)</w:t>
      </w:r>
    </w:p>
    <w:p>
      <w:pPr>
        <w:spacing w:before="60" w:after="140" w:line="331" w:lineRule="auto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"네 번째 실화면은 본 논문의 하이라이트인 </w:t>
      </w:r>
      <w:r>
        <w:rPr>
          <w:rFonts w:ascii="맑은 고딕" w:hAnsi="맑은 고딕" w:eastAsia="맑은 고딕"/>
          <w:b/>
          <w:color w:val="0052CC"/>
          <w:sz w:val="21"/>
        </w:rPr>
        <w:t>전략 심의 탭(수정 보르다 투표 리더보드)</w:t>
      </w:r>
      <w:r>
        <w:rPr>
          <w:rFonts w:ascii="맑은 고딕" w:hAnsi="맑은 고딕" w:eastAsia="맑은 고딕"/>
          <w:b w:val="0"/>
          <w:color w:val="0F172A"/>
          <w:sz w:val="21"/>
        </w:rPr>
        <w:t>입니다. 이 장표가 저희 중간발표에서 가장 중요한 시사점을 담고 있습니다.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>• 우측 하단 리더보드 표를 보시면, 21개 모델 중 동료 투표(55%)와 정량 점수(45%)를 합산한 종합 점수에서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1위는 최대 분산 포트폴리오</w:t>
      </w:r>
      <w:r>
        <w:rPr>
          <w:rFonts w:ascii="맑은 고딕" w:hAnsi="맑은 고딕" w:eastAsia="맑은 고딕"/>
          <w:b w:val="0"/>
          <w:color w:val="0F172A"/>
          <w:sz w:val="21"/>
        </w:rPr>
        <w:t>(보르다 +96표, 종합 0.759),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2위는 블랙-리터만 모형</w:t>
      </w:r>
      <w:r>
        <w:rPr>
          <w:rFonts w:ascii="맑은 고딕" w:hAnsi="맑은 고딕" w:eastAsia="맑은 고딕"/>
          <w:b w:val="0"/>
          <w:color w:val="0F172A"/>
          <w:sz w:val="21"/>
        </w:rPr>
        <w:t>(보르다 +76표, 종합 0.727),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3위는 위험균형(Risk Parity)</w:t>
      </w:r>
      <w:r>
        <w:rPr>
          <w:rFonts w:ascii="맑은 고딕" w:hAnsi="맑은 고딕" w:eastAsia="맑은 고딕"/>
          <w:b w:val="0"/>
          <w:color w:val="0F172A"/>
          <w:sz w:val="21"/>
        </w:rPr>
        <w:t>(보르다 +42표, 종합 0.598)이 차지했습니다.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>• 후기 사이클 불확실성 국면이다 보니, 에이전트들이 위험 구조화 모델(Family C)과 블랙-리터만(Family B)에 압도적인 표를 던진 것입니다.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그런데 표의 맨 오른쪽 ‘IPS 적격성’ 열을 보시면 1위, 2위, 3위, 5위가 모두 빨간색 X(탈락) 처리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되어 있습니다. 이유가 무엇일까요? 바로 왼쪽의 </w:t>
      </w:r>
      <w:r>
        <w:rPr>
          <w:rFonts w:ascii="맑은 고딕" w:hAnsi="맑은 고딕" w:eastAsia="맑은 고딕"/>
          <w:b/>
          <w:color w:val="0052CC"/>
          <w:sz w:val="21"/>
        </w:rPr>
        <w:t>‘변동성’ 열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을 보시면 </w:t>
      </w:r>
      <w:r>
        <w:rPr>
          <w:rFonts w:ascii="맑은 고딕" w:hAnsi="맑은 고딕" w:eastAsia="맑은 고딕"/>
          <w:b/>
          <w:color w:val="0052CC"/>
          <w:sz w:val="21"/>
        </w:rPr>
        <w:t>1위 최대분산은 2.7%, 2위 블랙-리터만은 6.9%, 3위 위험균형은 6.5%, 5위 HRP는 3.3%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로, 채권과 저변동성 자산에 비중을 많이 실어 </w:t>
      </w:r>
      <w:r>
        <w:rPr>
          <w:rFonts w:ascii="맑은 고딕" w:hAnsi="맑은 고딕" w:eastAsia="맑은 고딕"/>
          <w:b/>
          <w:color w:val="0052CC"/>
          <w:sz w:val="21"/>
        </w:rPr>
        <w:t>기관 IPS가 정한 최소 변동성 하한선인 8.0%에 미달</w:t>
      </w:r>
      <w:r>
        <w:rPr>
          <w:rFonts w:ascii="맑은 고딕" w:hAnsi="맑은 고딕" w:eastAsia="맑은 고딕"/>
          <w:b w:val="0"/>
          <w:color w:val="0F172A"/>
          <w:sz w:val="21"/>
        </w:rPr>
        <w:t>했기 때문입니다.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연기금은 장기 실질수익률 목표를 달성하기 위해 지나치게 소극적인 저위험 운용(8% 미만)도 규정 위반으로 금지합니다. 따라서 CRO 에이전트가 원칙대로 거부권을 행사해 이들을 모두 탈락시켰고, 변동성 밴드 </w:t>
      </w:r>
      <w:r>
        <w:rPr>
          <w:rFonts w:ascii="Consolas" w:hAnsi="Consolas" w:eastAsia="Consolas"/>
          <w:b/>
          <w:color w:val="B91C1C"/>
          <w:sz w:val="20"/>
        </w:rPr>
        <w:t>[8%~12%]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를 정확히 맞춘 </w:t>
      </w:r>
      <w:r>
        <w:rPr>
          <w:rFonts w:ascii="맑은 고딕" w:hAnsi="맑은 고딕" w:eastAsia="맑은 고딕"/>
          <w:b/>
          <w:color w:val="0052CC"/>
          <w:sz w:val="21"/>
        </w:rPr>
        <w:t>4위 TPA(변동성 8.3%, 초록색 체크)와 6위 시가총액 가중(변동성 9.2%, 초록색 체크) 단 2개 모델만 적격 통과</w:t>
      </w:r>
      <w:r>
        <w:rPr>
          <w:rFonts w:ascii="맑은 고딕" w:hAnsi="맑은 고딕" w:eastAsia="맑은 고딕"/>
          <w:b w:val="0"/>
          <w:color w:val="0F172A"/>
          <w:sz w:val="21"/>
        </w:rPr>
        <w:t>하여 최종 앙상블로 결합되었습니다.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또한 화면 상단 좌측의 빨간색 카드를 보시면 </w:t>
      </w:r>
      <w:r>
        <w:rPr>
          <w:rFonts w:ascii="맑은 고딕" w:hAnsi="맑은 고딕" w:eastAsia="맑은 고딕"/>
          <w:b/>
          <w:color w:val="0052CC"/>
          <w:sz w:val="21"/>
        </w:rPr>
        <w:t>‘적대적 분산 에이전트(Adversarial Diversifier)’</w:t>
      </w:r>
      <w:r>
        <w:rPr>
          <w:rFonts w:ascii="맑은 고딕" w:hAnsi="맑은 고딕" w:eastAsia="맑은 고딕"/>
          <w:b w:val="0"/>
          <w:color w:val="0F172A"/>
          <w:sz w:val="21"/>
        </w:rPr>
        <w:t>가 표시됩니다. 이 모델은 위원회 다수파 의견과 가장 직교(반대)되는 포트폴리오를 짜도록 설계되어 동료 투표에서는 -36표로 최하위를 기록했지만, 집단사고(Groupthink)의 사각지대를 견제하는 소수의견으로 공식 기록되었습니다."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051C2C"/>
          <w:sz w:val="25"/>
        </w:rPr>
        <w:t>[Page 14] 04 향후 계획: 현재 이슈 및 검토 과제 (12:25 ~ 13:30 | 65초)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/>
          <w:color w:val="051C2C"/>
          <w:sz w:val="20"/>
        </w:rPr>
        <w:t>슬라이드 제목</w:t>
      </w:r>
      <w:r>
        <w:rPr>
          <w:rFonts w:ascii="맑은 고딕" w:hAnsi="맑은 고딕" w:eastAsia="맑은 고딕"/>
          <w:b w:val="0"/>
          <w:color w:val="475569"/>
          <w:sz w:val="20"/>
        </w:rPr>
        <w:t>: 현재 이슈 및 검토 과제</w:t>
      </w:r>
    </w:p>
    <w:p>
      <w:pPr>
        <w:spacing w:before="60" w:after="140" w:line="331" w:lineRule="auto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"방금 보신 실화면 결과와 현업 선배님의 피드백을 바탕으로 도출한 </w:t>
      </w:r>
      <w:r>
        <w:rPr>
          <w:rFonts w:ascii="맑은 고딕" w:hAnsi="맑은 고딕" w:eastAsia="맑은 고딕"/>
          <w:b/>
          <w:color w:val="0052CC"/>
          <w:sz w:val="21"/>
        </w:rPr>
        <w:t>현재 시스템의 4대 핵심 이슈와 해결 과제</w:t>
      </w:r>
      <w:r>
        <w:rPr>
          <w:rFonts w:ascii="맑은 고딕" w:hAnsi="맑은 고딕" w:eastAsia="맑은 고딕"/>
          <w:b w:val="0"/>
          <w:color w:val="0F172A"/>
          <w:sz w:val="21"/>
        </w:rPr>
        <w:t>입니다.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1. </w:t>
      </w:r>
      <w:r>
        <w:rPr>
          <w:rFonts w:ascii="맑은 고딕" w:hAnsi="맑은 고딕" w:eastAsia="맑은 고딕"/>
          <w:b/>
          <w:color w:val="0052CC"/>
          <w:sz w:val="21"/>
        </w:rPr>
        <w:t>첫째, 타깃 변동성 매칭(Volatility Scaling) 도입입니다.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 앞서 보르다 투표 1~3위를 차지한 최대분산, 블랙-리터만, 위험균형 모델은 샤프지수와 분산 구조가 매우 훌륭함에도 단순히 비차입(Unlevered) 상태의 변동성이 8%보다 낮다는 이유로 탈락했습니다. 실제 기관에서는 이러한 저변동성 우수 포트폴리오를 버리지 않고, 현금 비중을 줄이거나 선물 오버레이(레버리지)를 사용해 </w:t>
      </w:r>
      <w:r>
        <w:rPr>
          <w:rFonts w:ascii="맑은 고딕" w:hAnsi="맑은 고딕" w:eastAsia="맑은 고딕"/>
          <w:b/>
          <w:color w:val="0052CC"/>
          <w:sz w:val="21"/>
        </w:rPr>
        <w:t>목표 변동성(예: 9~10%)으로 스케일링(확대)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한 뒤 투자합니다. 기말에는 이 </w:t>
      </w:r>
      <w:r>
        <w:rPr>
          <w:rFonts w:ascii="맑은 고딕" w:hAnsi="맑은 고딕" w:eastAsia="맑은 고딕"/>
          <w:b/>
          <w:color w:val="0052CC"/>
          <w:sz w:val="21"/>
        </w:rPr>
        <w:t>Vol Scaling 모듈</w:t>
      </w:r>
      <w:r>
        <w:rPr>
          <w:rFonts w:ascii="맑은 고딕" w:hAnsi="맑은 고딕" w:eastAsia="맑은 고딕"/>
          <w:b w:val="0"/>
          <w:color w:val="0F172A"/>
          <w:sz w:val="21"/>
        </w:rPr>
        <w:t>을 탑재해 상위 알파 모델들을 앙상블에 복원하겠습니다.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2. </w:t>
      </w:r>
      <w:r>
        <w:rPr>
          <w:rFonts w:ascii="맑은 고딕" w:hAnsi="맑은 고딕" w:eastAsia="맑은 고딕"/>
          <w:b/>
          <w:color w:val="0052CC"/>
          <w:sz w:val="21"/>
        </w:rPr>
        <w:t>둘째, 회전율(Turnover) 및 거래비용 제약 추가입니다.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 현재 백테스트는 분기 리밸런싱 시 매매 수수료와 슬리피지(Slippage) 같은 마찰 비용이 반영되지 않은 세전(Gross) 기준입니다. 기말까지 연간 회전율 상한 제약식과 거래비용 차감 후 순수익률(Net Return) 계산 로직을 추가하겠습니다.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3. </w:t>
      </w:r>
      <w:r>
        <w:rPr>
          <w:rFonts w:ascii="맑은 고딕" w:hAnsi="맑은 고딕" w:eastAsia="맑은 고딕"/>
          <w:b/>
          <w:color w:val="0052CC"/>
          <w:sz w:val="21"/>
        </w:rPr>
        <w:t>셋째, 원/달러 환헤지(FX Hedge) 모듈 구축입니다.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 현재 18개 ETF가 모두 미국 달러화 표시 자산이어서 원화 기준 투자자인 국내 연기금 관점에서는 환율 변동 위험에 100% 노출(환오픈)되어 있습니다. 환헤지 비율(0~100%)과 스왑 포인트를 반영하는 통화 관리 모듈을 추가하겠습니다.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4. </w:t>
      </w:r>
      <w:r>
        <w:rPr>
          <w:rFonts w:ascii="맑은 고딕" w:hAnsi="맑은 고딕" w:eastAsia="맑은 고딕"/>
          <w:b/>
          <w:color w:val="0052CC"/>
          <w:sz w:val="21"/>
        </w:rPr>
        <w:t>넷째, AI 시스템 거버넌스 포지셔닝 확립입니다.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 연기금의 법적 수탁자 책임(Fiduciary Duty)은 AI가 질 수 없으므로, 본 시스템을 인간 위원회의 시나리오 시뮬레이션과 의사결정을 보좌하는 </w:t>
      </w:r>
      <w:r>
        <w:rPr>
          <w:rFonts w:ascii="맑은 고딕" w:hAnsi="맑은 고딕" w:eastAsia="맑은 고딕"/>
          <w:b/>
          <w:color w:val="0052CC"/>
          <w:sz w:val="21"/>
        </w:rPr>
        <w:t>L3 AI Co-Pilot(DSS)</w:t>
      </w:r>
      <w:r>
        <w:rPr>
          <w:rFonts w:ascii="맑은 고딕" w:hAnsi="맑은 고딕" w:eastAsia="맑은 고딕"/>
          <w:b w:val="0"/>
          <w:color w:val="0F172A"/>
          <w:sz w:val="21"/>
        </w:rPr>
        <w:t>으로 명확히 자리매김하겠습니다."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051C2C"/>
          <w:sz w:val="25"/>
        </w:rPr>
        <w:t>[Page 15] 04 향후 계획: 기말 로드맵 (13:30 ~ 14:20 | 50초)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/>
          <w:color w:val="051C2C"/>
          <w:sz w:val="20"/>
        </w:rPr>
        <w:t>슬라이드 제목</w:t>
      </w:r>
      <w:r>
        <w:rPr>
          <w:rFonts w:ascii="맑은 고딕" w:hAnsi="맑은 고딕" w:eastAsia="맑은 고딕"/>
          <w:b w:val="0"/>
          <w:color w:val="475569"/>
          <w:sz w:val="20"/>
        </w:rPr>
        <w:t>: 기말 로드맵 (Phase 1 ~ Phase 4)</w:t>
      </w:r>
    </w:p>
    <w:p>
      <w:pPr>
        <w:spacing w:before="60" w:after="140" w:line="331" w:lineRule="auto"/>
      </w:pPr>
      <w:r>
        <w:rPr>
          <w:rFonts w:ascii="맑은 고딕" w:hAnsi="맑은 고딕" w:eastAsia="맑은 고딕"/>
          <w:b w:val="0"/>
          <w:color w:val="0F172A"/>
          <w:sz w:val="21"/>
        </w:rPr>
        <w:t>"기말 발표까지 남은 8주간의 4단계 실행 로드맵입니다.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Phase 1(1~2주차)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에는 방금 말씀드린 </w:t>
      </w:r>
      <w:r>
        <w:rPr>
          <w:rFonts w:ascii="맑은 고딕" w:hAnsi="맑은 고딕" w:eastAsia="맑은 고딕"/>
          <w:b/>
          <w:color w:val="0052CC"/>
          <w:sz w:val="21"/>
        </w:rPr>
        <w:t>타깃 변동성 매칭(Vol Scaling) 엔진</w:t>
      </w:r>
      <w:r>
        <w:rPr>
          <w:rFonts w:ascii="맑은 고딕" w:hAnsi="맑은 고딕" w:eastAsia="맑은 고딕"/>
          <w:b w:val="0"/>
          <w:color w:val="0F172A"/>
          <w:sz w:val="21"/>
        </w:rPr>
        <w:t>을 수리적으로 구현하여, 블랙-리터만과 위험균형 모델이 IPS 변동성 밴드(8~12%) 안으로 들어와 적격 심사를 통과하도록 고도화합니다.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Phase 2(3~4주차)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에는 국내 연기금 실무에 맞춘 </w:t>
      </w:r>
      <w:r>
        <w:rPr>
          <w:rFonts w:ascii="맑은 고딕" w:hAnsi="맑은 고딕" w:eastAsia="맑은 고딕"/>
          <w:b/>
          <w:color w:val="0052CC"/>
          <w:sz w:val="21"/>
        </w:rPr>
        <w:t>원/달러 환헤지(FX Hedge) 룰 엔진</w:t>
      </w:r>
      <w:r>
        <w:rPr>
          <w:rFonts w:ascii="맑은 고딕" w:hAnsi="맑은 고딕" w:eastAsia="맑은 고딕"/>
          <w:b w:val="0"/>
          <w:color w:val="0F172A"/>
          <w:sz w:val="21"/>
        </w:rPr>
        <w:t xml:space="preserve">과 </w:t>
      </w:r>
      <w:r>
        <w:rPr>
          <w:rFonts w:ascii="맑은 고딕" w:hAnsi="맑은 고딕" w:eastAsia="맑은 고딕"/>
          <w:b/>
          <w:color w:val="0052CC"/>
          <w:sz w:val="21"/>
        </w:rPr>
        <w:t>리밸런싱 회전율(Turnover) 제약식, 거래비용 모델</w:t>
      </w:r>
      <w:r>
        <w:rPr>
          <w:rFonts w:ascii="맑은 고딕" w:hAnsi="맑은 고딕" w:eastAsia="맑은 고딕"/>
          <w:b w:val="0"/>
          <w:color w:val="0F172A"/>
          <w:sz w:val="21"/>
        </w:rPr>
        <w:t>을 백엔드에 탑재하고 FRED 거시 API를 실시간 연동합니다.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Phase 3(5~6주차)</w:t>
      </w:r>
      <w:r>
        <w:rPr>
          <w:rFonts w:ascii="맑은 고딕" w:hAnsi="맑은 고딕" w:eastAsia="맑은 고딕"/>
          <w:b w:val="0"/>
          <w:color w:val="0F172A"/>
          <w:sz w:val="21"/>
        </w:rPr>
        <w:t>에는 거시 에이전트와 CIO 에이전트에 실제 LLM API(Gemini/Claude)를 연동하여, 금리 충격이나 스태그플레이션 시나리오 입력 시 투자위원회 안건 보고서가 실시간으로 생성되는 Co-Pilot 워크플로우를 완성합니다.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Phase 4(7~8주차)</w:t>
      </w:r>
      <w:r>
        <w:rPr>
          <w:rFonts w:ascii="맑은 고딕" w:hAnsi="맑은 고딕" w:eastAsia="맑은 고딕"/>
          <w:b w:val="0"/>
          <w:color w:val="0F172A"/>
          <w:sz w:val="21"/>
        </w:rPr>
        <w:t>에는 거래비용을 차감한 159개월 다구간 순수익률 백테스트를 통해 전통 60/40 및 개별 단일 모델 대비 앙상블의 우위를 최종 입증하겠습니다."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051C2C"/>
          <w:sz w:val="25"/>
        </w:rPr>
        <w:t>[Page 16] 04 향후 계획: 기말 목표 산출물 및 결언 (14:20 ~ 15:00 | 40초)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/>
          <w:color w:val="051C2C"/>
          <w:sz w:val="20"/>
        </w:rPr>
        <w:t>슬라이드 제목</w:t>
      </w:r>
      <w:r>
        <w:rPr>
          <w:rFonts w:ascii="맑은 고딕" w:hAnsi="맑은 고딕" w:eastAsia="맑은 고딕"/>
          <w:b w:val="0"/>
          <w:color w:val="475569"/>
          <w:sz w:val="20"/>
        </w:rPr>
        <w:t>: 기말 목표 산출물 및 결언 + Q&amp;A</w:t>
      </w:r>
    </w:p>
    <w:p>
      <w:pPr>
        <w:spacing w:before="60" w:after="140" w:line="331" w:lineRule="auto"/>
      </w:pPr>
      <w:r>
        <w:rPr>
          <w:rFonts w:ascii="맑은 고딕" w:hAnsi="맑은 고딕" w:eastAsia="맑은 고딕"/>
          <w:b w:val="0"/>
          <w:color w:val="0F172A"/>
          <w:sz w:val="21"/>
        </w:rPr>
        <w:t>"마지막 장표입니다. 기말 최종 산출물로는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1. 인간 CIO와 투자위원회를 보좌하는 </w:t>
      </w:r>
      <w:r>
        <w:rPr>
          <w:rFonts w:ascii="맑은 고딕" w:hAnsi="맑은 고딕" w:eastAsia="맑은 고딕"/>
          <w:b/>
          <w:color w:val="0052CC"/>
          <w:sz w:val="21"/>
        </w:rPr>
        <w:t>L3 수준 AI Co-Pilot 웹 플랫폼</w:t>
      </w:r>
      <w:r>
        <w:rPr>
          <w:rFonts w:ascii="맑은 고딕" w:hAnsi="맑은 고딕" w:eastAsia="맑은 고딕"/>
          <w:b w:val="0"/>
          <w:color w:val="0F172A"/>
          <w:sz w:val="21"/>
        </w:rPr>
        <w:t>,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2. 타깃 변동성 매칭과 환헤지·회전율 제약이 완비된 </w:t>
      </w:r>
      <w:r>
        <w:rPr>
          <w:rFonts w:ascii="맑은 고딕" w:hAnsi="맑은 고딕" w:eastAsia="맑은 고딕"/>
          <w:b/>
          <w:color w:val="0052CC"/>
          <w:sz w:val="21"/>
        </w:rPr>
        <w:t>기관급 수리 최적화 엔진</w:t>
      </w:r>
      <w:r>
        <w:rPr>
          <w:rFonts w:ascii="맑은 고딕" w:hAnsi="맑은 고딕" w:eastAsia="맑은 고딕"/>
          <w:b w:val="0"/>
          <w:color w:val="0F172A"/>
          <w:sz w:val="21"/>
        </w:rPr>
        <w:t>,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3. 누구나 접속해 검증할 수 있는 </w:t>
      </w:r>
      <w:r>
        <w:rPr>
          <w:rFonts w:ascii="맑은 고딕" w:hAnsi="맑은 고딕" w:eastAsia="맑은 고딕"/>
          <w:b/>
          <w:color w:val="0052CC"/>
          <w:sz w:val="21"/>
        </w:rPr>
        <w:t>24시간 글로벌 클라우드 라이브 데모(`self-driving-portfolio.onrender.com`)</w:t>
      </w:r>
      <w:r>
        <w:rPr>
          <w:rFonts w:ascii="맑은 고딕" w:hAnsi="맑은 고딕" w:eastAsia="맑은 고딕"/>
          <w:b w:val="0"/>
          <w:color w:val="0F172A"/>
          <w:sz w:val="21"/>
        </w:rPr>
        <w:t>,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4. 그리고 </w:t>
      </w:r>
      <w:r>
        <w:rPr>
          <w:rFonts w:ascii="맑은 고딕" w:hAnsi="맑은 고딕" w:eastAsia="맑은 고딕"/>
          <w:b/>
          <w:color w:val="0052CC"/>
          <w:sz w:val="21"/>
        </w:rPr>
        <w:t>159개월 장기 실증 백테스트 보고서와 GitHub 오픈소스 코드베이스</w:t>
      </w:r>
      <w:r>
        <w:rPr>
          <w:rFonts w:ascii="맑은 고딕" w:hAnsi="맑은 고딕" w:eastAsia="맑은 고딕"/>
          <w:b w:val="0"/>
          <w:color w:val="0F172A"/>
          <w:sz w:val="21"/>
        </w:rPr>
        <w:t>를 제출하겠습니다.</w:t>
      </w:r>
    </w:p>
    <w:p>
      <w:pPr>
        <w:spacing w:before="60" w:after="140" w:line="331" w:lineRule="auto"/>
      </w:pPr>
      <w:r>
        <w:rPr>
          <w:rFonts w:ascii="맑은 고딕" w:hAnsi="맑은 고딕" w:eastAsia="맑은 고딕"/>
          <w:b w:val="0"/>
          <w:color w:val="0F172A"/>
          <w:sz w:val="21"/>
        </w:rPr>
        <w:t>이상으로 발표를 마치겠습니다. 경청해 주셔서 감사합니다. 질문 주시면 답변드리겠습니다."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0052CC"/>
          <w:sz w:val="29"/>
        </w:rPr>
        <w:t>■ Part 2. 교수님 질문 대비 심층 Q&amp;A 방어 가이드 (12대 핵심 예상 질문)</w:t>
      </w:r>
    </w:p>
    <w:p>
      <w:pPr>
        <w:spacing w:before="60" w:after="140" w:line="331" w:lineRule="auto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교수님들은 크게 </w:t>
      </w:r>
      <w:r>
        <w:rPr>
          <w:rFonts w:ascii="맑은 고딕" w:hAnsi="맑은 고딕" w:eastAsia="맑은 고딕"/>
          <w:b/>
          <w:color w:val="0052CC"/>
          <w:sz w:val="21"/>
        </w:rPr>
        <w:t>① 왜 상위 모델이 탈락했는가(IPS 변동성 하한), ② 파이썬이 다 계산하는데 왜 LLM/에이전트가 필요한가, ③ 데이터와 백테스트에 전방 편향(Look-ahead Bias)은 없는가, ④ 수리 공식(OAS, BL, TE, MDD)의 세부 원리</w:t>
      </w:r>
      <w:r>
        <w:rPr>
          <w:rFonts w:ascii="맑은 고딕" w:hAnsi="맑은 고딕" w:eastAsia="맑은 고딕"/>
          <w:b w:val="0"/>
          <w:color w:val="0F172A"/>
          <w:sz w:val="21"/>
        </w:rPr>
        <w:t>를 질문하십니다. 아래 답변을 숙지하시면 어떤 질문도 완벽히 방어할 수 있습니다.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051C2C"/>
          <w:sz w:val="25"/>
        </w:rPr>
        <w:t>[영역 1] 보르다 투표 · IPS 탈락 · 변동성 매칭 관련 질문 (출제 확률 1순위)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B91C1C"/>
          <w:sz w:val="23"/>
        </w:rPr>
        <w:t>▶ Q1. "슬라이드 13(Exhibit 9)을 보면 보르다 투표 1위(최대분산 2.7%), 2위(블랙-리터만 6.9%), 3위(위험균형 6.5%)가 전부 탈락했다. 원래 변동성은 낮을수록 좋은 것 아닌가? 왜 8% 하한선을 두어 우수한 모델을 다 떨어뜨렸는가?"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핵심 방어 논리</w:t>
      </w:r>
      <w:r>
        <w:rPr>
          <w:rFonts w:ascii="맑은 고딕" w:hAnsi="맑은 고딕" w:eastAsia="맑은 고딕"/>
          <w:b w:val="0"/>
          <w:color w:val="0F172A"/>
          <w:sz w:val="21"/>
        </w:rPr>
        <w:t>: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 w:val="0"/>
          <w:color w:val="475569"/>
          <w:sz w:val="20"/>
        </w:rPr>
        <w:t xml:space="preserve">"개인 투자자에게는 변동성이 낮을수록 좋지만, </w:t>
      </w:r>
      <w:r>
        <w:rPr>
          <w:rFonts w:ascii="맑은 고딕" w:hAnsi="맑은 고딕" w:eastAsia="맑은 고딕"/>
          <w:b/>
          <w:color w:val="051C2C"/>
          <w:sz w:val="20"/>
        </w:rPr>
        <w:t>국민연금 같은 기관 투자자(연기금)에게는 ‘변동성 하한선(Minimum Volatility Floor, 8%)’이 필수적인 IPS 규정</w:t>
      </w:r>
      <w:r>
        <w:rPr>
          <w:rFonts w:ascii="맑은 고딕" w:hAnsi="맑은 고딕" w:eastAsia="맑은 고딕"/>
          <w:b w:val="0"/>
          <w:color w:val="475569"/>
          <w:sz w:val="20"/>
        </w:rPr>
        <w:t>입니다.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 w:val="0"/>
          <w:color w:val="475569"/>
          <w:sz w:val="20"/>
        </w:rPr>
        <w:t xml:space="preserve">연기금은 매년 지급해야 하는 연금 부채가 있기 때문에 </w:t>
      </w:r>
      <w:r>
        <w:rPr>
          <w:rFonts w:ascii="맑은 고딕" w:hAnsi="맑은 고딕" w:eastAsia="맑은 고딕"/>
          <w:b/>
          <w:color w:val="051C2C"/>
          <w:sz w:val="20"/>
        </w:rPr>
        <w:t>장기 목표 실질수익률(CPI + 3.5%, 명목 6.0%)</w:t>
      </w:r>
      <w:r>
        <w:rPr>
          <w:rFonts w:ascii="맑은 고딕" w:hAnsi="맑은 고딕" w:eastAsia="맑은 고딕"/>
          <w:b w:val="0"/>
          <w:color w:val="475569"/>
          <w:sz w:val="20"/>
        </w:rPr>
        <w:t>을 달성해야 합니다. 만약 에이전트가 리스크를 피하겠다고 단기국채나 현금만 잔뜩 편입해 변동성을 2.7%(최대분산)나 3.3%(HRP)로 낮춰버리면, 당장 안전해 보이지만 장기적으로 기금 고갈(Shortfall Risk)이 발생합니다.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 w:val="0"/>
          <w:color w:val="475569"/>
          <w:sz w:val="20"/>
        </w:rPr>
        <w:t xml:space="preserve">따라서 </w:t>
      </w:r>
      <w:r>
        <w:rPr>
          <w:rFonts w:ascii="맑은 고딕" w:hAnsi="맑은 고딕" w:eastAsia="맑은 고딕"/>
          <w:b/>
          <w:color w:val="051C2C"/>
          <w:sz w:val="20"/>
        </w:rPr>
        <w:t>‘지나치게 소극적인 운용을 금지하기 위해 최소 8% 이상의 위험 예산을 반드시 사용하라’는 기관 규정이 작동</w:t>
      </w:r>
      <w:r>
        <w:rPr>
          <w:rFonts w:ascii="맑은 고딕" w:hAnsi="맑은 고딕" w:eastAsia="맑은 고딕"/>
          <w:b w:val="0"/>
          <w:color w:val="475569"/>
          <w:sz w:val="20"/>
        </w:rPr>
        <w:t xml:space="preserve">하여 CRO 에이전트가 원칙대로 거부권(Veto)을 행사한 것입니다. 이는 저희 시스템이 수익률이나 투표 점수보다 </w:t>
      </w:r>
      <w:r>
        <w:rPr>
          <w:rFonts w:ascii="맑은 고딕" w:hAnsi="맑은 고딕" w:eastAsia="맑은 고딕"/>
          <w:b/>
          <w:color w:val="051C2C"/>
          <w:sz w:val="20"/>
        </w:rPr>
        <w:t>기관의 거버넌스 규율을 타협 없이 우선시함을 입증하는 핵심 결과</w:t>
      </w:r>
      <w:r>
        <w:rPr>
          <w:rFonts w:ascii="맑은 고딕" w:hAnsi="맑은 고딕" w:eastAsia="맑은 고딕"/>
          <w:b w:val="0"/>
          <w:color w:val="475569"/>
          <w:sz w:val="20"/>
        </w:rPr>
        <w:t>입니다."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B91C1C"/>
          <w:sz w:val="23"/>
        </w:rPr>
        <w:t>▶ Q2. "그렇다면 19개나 탈락하고 2개(TPA, 시총가중)만 남은 건 너무 비효율적이지 않나? 기말에 도입하겠다는 '타깃 변동성 매칭(Vol Scaling)'은 수리적으로 어떻게 작동하는가?"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핵심 방어 논리</w:t>
      </w:r>
      <w:r>
        <w:rPr>
          <w:rFonts w:ascii="맑은 고딕" w:hAnsi="맑은 고딕" w:eastAsia="맑은 고딕"/>
          <w:b w:val="0"/>
          <w:color w:val="0F172A"/>
          <w:sz w:val="21"/>
        </w:rPr>
        <w:t>: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 w:val="0"/>
          <w:color w:val="475569"/>
          <w:sz w:val="20"/>
        </w:rPr>
        <w:t xml:space="preserve">"정확한 지적이십니다. 최대분산(샤프 0.29)이나 블랙-리터만(샤프 0.31)은 위험 대비 수익률(샤프 지수) 자체는 가장 뛰어난 모델들입니다. 단지 </w:t>
      </w:r>
      <w:r>
        <w:rPr>
          <w:rFonts w:ascii="맑은 고딕" w:hAnsi="맑은 고딕" w:eastAsia="맑은 고딕"/>
          <w:b/>
          <w:color w:val="051C2C"/>
          <w:sz w:val="20"/>
        </w:rPr>
        <w:t>레버리지를 쓰지 않은 순수 비중 합($\sum w_i = 1$) 상태에서 채권 비중이 높아 변동성이 6%대</w:t>
      </w:r>
      <w:r>
        <w:rPr>
          <w:rFonts w:ascii="맑은 고딕" w:hAnsi="맑은 고딕" w:eastAsia="맑은 고딕"/>
          <w:b w:val="0"/>
          <w:color w:val="475569"/>
          <w:sz w:val="20"/>
        </w:rPr>
        <w:t>로 나왔을 뿐입니다.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 w:val="0"/>
          <w:color w:val="475569"/>
          <w:sz w:val="20"/>
        </w:rPr>
        <w:t xml:space="preserve">기말에 도입할 </w:t>
      </w:r>
      <w:r>
        <w:rPr>
          <w:rFonts w:ascii="맑은 고딕" w:hAnsi="맑은 고딕" w:eastAsia="맑은 고딕"/>
          <w:b/>
          <w:color w:val="051C2C"/>
          <w:sz w:val="20"/>
        </w:rPr>
        <w:t>타깃 변동성 매칭(Volatility Scaling)</w:t>
      </w:r>
      <w:r>
        <w:rPr>
          <w:rFonts w:ascii="맑은 고딕" w:hAnsi="맑은 고딕" w:eastAsia="맑은 고딕"/>
          <w:b w:val="0"/>
          <w:color w:val="475569"/>
          <w:sz w:val="20"/>
        </w:rPr>
        <w:t>은 두 가지 방식으로 구현됩니다.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 w:val="0"/>
          <w:color w:val="475569"/>
          <w:sz w:val="20"/>
        </w:rPr>
        <w:t xml:space="preserve">1) </w:t>
      </w:r>
      <w:r>
        <w:rPr>
          <w:rFonts w:ascii="맑은 고딕" w:hAnsi="맑은 고딕" w:eastAsia="맑은 고딕"/>
          <w:b/>
          <w:color w:val="051C2C"/>
          <w:sz w:val="20"/>
        </w:rPr>
        <w:t>비차입 리스케일링(Cash-Buffer Scaling)</w:t>
      </w:r>
      <w:r>
        <w:rPr>
          <w:rFonts w:ascii="맑은 고딕" w:hAnsi="맑은 고딕" w:eastAsia="맑은 고딕"/>
          <w:b w:val="0"/>
          <w:color w:val="475569"/>
          <w:sz w:val="20"/>
        </w:rPr>
        <w:t>: 모델 내부의 현금·단기채 비중을 줄이고 위험자산(주식·크레딧) 비중을 비례 확대하여 포트폴리오 변동성($\sigma_p$)을 목표치(예: 9.0%)에 맞추는 방식,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 w:val="0"/>
          <w:color w:val="475569"/>
          <w:sz w:val="20"/>
        </w:rPr>
        <w:t xml:space="preserve">2) </w:t>
      </w:r>
      <w:r>
        <w:rPr>
          <w:rFonts w:ascii="맑은 고딕" w:hAnsi="맑은 고딕" w:eastAsia="맑은 고딕"/>
          <w:b/>
          <w:color w:val="051C2C"/>
          <w:sz w:val="20"/>
        </w:rPr>
        <w:t>목표 변동성 제약식 직접 주입</w:t>
      </w:r>
      <w:r>
        <w:rPr>
          <w:rFonts w:ascii="맑은 고딕" w:hAnsi="맑은 고딕" w:eastAsia="맑은 고딕"/>
          <w:b w:val="0"/>
          <w:color w:val="475569"/>
          <w:sz w:val="20"/>
        </w:rPr>
        <w:t>: 최적화 목적함수 단계에서 $\sqrt{w^T \Sigma w} \ge 0.08$ 부등식 제약을 직접 걸어 처음부터 8~12% 밴드 안에서 최적 해를 찾도록 하는 방식입니다. 이를 통해 기말에는 블랙-리터만과 위험균형 모델을 적격 후보로 복원할 계획입니다."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B91C1C"/>
          <w:sz w:val="23"/>
        </w:rPr>
        <w:t>▶ Q3. "6단계에서 최종 포트폴리오를 합칠 때, 왜 보르다 투표 점수 비례로 안 합치고 '역추적오차(Inverse Tracking Error, $1/\text{TE}$)' 가중치로 결합했는가?"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핵심 방어 논리</w:t>
      </w:r>
      <w:r>
        <w:rPr>
          <w:rFonts w:ascii="맑은 고딕" w:hAnsi="맑은 고딕" w:eastAsia="맑은 고딕"/>
          <w:b w:val="0"/>
          <w:color w:val="0F172A"/>
          <w:sz w:val="21"/>
        </w:rPr>
        <w:t>: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 w:val="0"/>
          <w:color w:val="475569"/>
          <w:sz w:val="20"/>
        </w:rPr>
        <w:t xml:space="preserve">"보르다 투표 점수는 5단계에서 </w:t>
      </w:r>
      <w:r>
        <w:rPr>
          <w:rFonts w:ascii="맑은 고딕" w:hAnsi="맑은 고딕" w:eastAsia="맑은 고딕"/>
          <w:b/>
          <w:color w:val="051C2C"/>
          <w:sz w:val="20"/>
        </w:rPr>
        <w:t>‘어떤 모델이 이번 거시 국면에 가장 적합한가’를 심사하고 상위 후보를 선별하는 거버넌스 평가 도구</w:t>
      </w:r>
      <w:r>
        <w:rPr>
          <w:rFonts w:ascii="맑은 고딕" w:hAnsi="맑은 고딕" w:eastAsia="맑은 고딕"/>
          <w:b w:val="0"/>
          <w:color w:val="475569"/>
          <w:sz w:val="20"/>
        </w:rPr>
        <w:t>입니다.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 w:val="0"/>
          <w:color w:val="475569"/>
          <w:sz w:val="20"/>
        </w:rPr>
        <w:t xml:space="preserve">반면 6단계에서 실제 자금을 배분할 때는 기관 CIO 관점에서 </w:t>
      </w:r>
      <w:r>
        <w:rPr>
          <w:rFonts w:ascii="맑은 고딕" w:hAnsi="맑은 고딕" w:eastAsia="맑은 고딕"/>
          <w:b/>
          <w:color w:val="051C2C"/>
          <w:sz w:val="20"/>
        </w:rPr>
        <w:t>벤치마크(60/40) 대비 액티브 이탈 위험(Tracking Error)예산을 통제하는 것</w:t>
      </w:r>
      <w:r>
        <w:rPr>
          <w:rFonts w:ascii="맑은 고딕" w:hAnsi="맑은 고딕" w:eastAsia="맑은 고딕"/>
          <w:b w:val="0"/>
          <w:color w:val="475569"/>
          <w:sz w:val="20"/>
        </w:rPr>
        <w:t xml:space="preserve">이 가장 중요합니다. 따라서 적격 심사를 통과한 모델들 중에서 벤치마크 대비 추적오차($\text{TE}_k$)가 작은 모델에 역수($1/\text{TE}_k$) 비례로 더 높은 가중치를 부여함으로써, 최종 합성 포트폴리오의 사전 트래킹 에러를 </w:t>
      </w:r>
      <w:r>
        <w:rPr>
          <w:rFonts w:ascii="맑은 고딕" w:hAnsi="맑은 고딕" w:eastAsia="맑은 고딕"/>
          <w:b/>
          <w:color w:val="051C2C"/>
          <w:sz w:val="20"/>
        </w:rPr>
        <w:t>0.77%</w:t>
      </w:r>
      <w:r>
        <w:rPr>
          <w:rFonts w:ascii="맑은 고딕" w:hAnsi="맑은 고딕" w:eastAsia="맑은 고딕"/>
          <w:b w:val="0"/>
          <w:color w:val="475569"/>
          <w:sz w:val="20"/>
        </w:rPr>
        <w:t>(IPS 한도 6.0% 이내)로 매우 안정적으로 묶어둘 수 있었습니다."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B91C1C"/>
          <w:sz w:val="23"/>
        </w:rPr>
        <w:t>▶ Q4. "슬라이드 13 상단에 있는 '적대적 분산 에이전트(Adversarial Diversifier)'는 보르다 투표에서 -36표로 꼴찌인데 왜 만들어 둔 것인가?"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핵심 방어 논리</w:t>
      </w:r>
      <w:r>
        <w:rPr>
          <w:rFonts w:ascii="맑은 고딕" w:hAnsi="맑은 고딕" w:eastAsia="맑은 고딕"/>
          <w:b w:val="0"/>
          <w:color w:val="0F172A"/>
          <w:sz w:val="21"/>
        </w:rPr>
        <w:t>: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 w:val="0"/>
          <w:color w:val="475569"/>
          <w:sz w:val="20"/>
        </w:rPr>
        <w:t xml:space="preserve">"인간 투자위원회에서 흔히 발생하는 </w:t>
      </w:r>
      <w:r>
        <w:rPr>
          <w:rFonts w:ascii="맑은 고딕" w:hAnsi="맑은 고딕" w:eastAsia="맑은 고딕"/>
          <w:b/>
          <w:color w:val="051C2C"/>
          <w:sz w:val="20"/>
        </w:rPr>
        <w:t>집단사고(Groupthink)와 확증 편향을 막기 위한 제도적 레드팀(Red Team) 장치</w:t>
      </w:r>
      <w:r>
        <w:rPr>
          <w:rFonts w:ascii="맑은 고딕" w:hAnsi="맑은 고딕" w:eastAsia="맑은 고딕"/>
          <w:b w:val="0"/>
          <w:color w:val="475569"/>
          <w:sz w:val="20"/>
        </w:rPr>
        <w:t>입니다.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 w:val="0"/>
          <w:color w:val="475569"/>
          <w:sz w:val="20"/>
        </w:rPr>
        <w:t xml:space="preserve">모든 에이전트가 ‘지금은 스태그플레이션이니 채권과 대형주만 사자’고 한 방향으로 몰릴 때, 적대적 분산기는 다수파 평균 비중 벡터와 내적(코사인 유사도)이 가장 작도록, 즉 </w:t>
      </w:r>
      <w:r>
        <w:rPr>
          <w:rFonts w:ascii="맑은 고딕" w:hAnsi="맑은 고딕" w:eastAsia="맑은 고딕"/>
          <w:b/>
          <w:color w:val="051C2C"/>
          <w:sz w:val="20"/>
        </w:rPr>
        <w:t>컨센서스와 가장 직교(Orthogonal)하는 반대 포트폴리오</w:t>
      </w:r>
      <w:r>
        <w:rPr>
          <w:rFonts w:ascii="맑은 고딕" w:hAnsi="맑은 고딕" w:eastAsia="맑은 고딕"/>
          <w:b w:val="0"/>
          <w:color w:val="475569"/>
          <w:sz w:val="20"/>
        </w:rPr>
        <w:t>를 의도적으로 생성합니다.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 w:val="0"/>
          <w:color w:val="475569"/>
          <w:sz w:val="20"/>
        </w:rPr>
        <w:t xml:space="preserve">동료 에이전트들의 생각과 정반대이다 보니 동료 투표에서는 당연히 최하위(-36표)를 받지만, 이는 모델의 결함이 아니라 </w:t>
      </w:r>
      <w:r>
        <w:rPr>
          <w:rFonts w:ascii="맑은 고딕" w:hAnsi="맑은 고딕" w:eastAsia="맑은 고딕"/>
          <w:b/>
          <w:color w:val="051C2C"/>
          <w:sz w:val="20"/>
        </w:rPr>
        <w:t>다수파의 사각지대(Blind Spot)를 헤지하기 위해 의도된 설계</w:t>
      </w:r>
      <w:r>
        <w:rPr>
          <w:rFonts w:ascii="맑은 고딕" w:hAnsi="맑은 고딕" w:eastAsia="맑은 고딕"/>
          <w:b w:val="0"/>
          <w:color w:val="475569"/>
          <w:sz w:val="20"/>
        </w:rPr>
        <w:t>입니다."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051C2C"/>
          <w:sz w:val="25"/>
        </w:rPr>
        <w:t>[영역 2] AI 에이전트 아키텍처 및 LLM 역할 관련 질문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B91C1C"/>
          <w:sz w:val="23"/>
        </w:rPr>
        <w:t>▶ Q5. "수치 계산을 전부 파이썬(NumPy/SciPy) 코드가 수행한다면, 굳이 멀티 에이전트나 LLM이라고 부를 이유가 있는가? 그냥 파이썬 최적화 패키지 돌리는 것과 무엇이 다른가?"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핵심 방어 논리</w:t>
      </w:r>
      <w:r>
        <w:rPr>
          <w:rFonts w:ascii="맑은 고딕" w:hAnsi="맑은 고딕" w:eastAsia="맑은 고딕"/>
          <w:b w:val="0"/>
          <w:color w:val="0F172A"/>
          <w:sz w:val="21"/>
        </w:rPr>
        <w:t>: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 w:val="0"/>
          <w:color w:val="475569"/>
          <w:sz w:val="20"/>
        </w:rPr>
        <w:t xml:space="preserve">"단순히 21개 최적화 수식을 돌리는 것은 일반 파이썬 스크립트로도 가능하지만, 기존 정량(Quant) 시스템은 </w:t>
      </w:r>
      <w:r>
        <w:rPr>
          <w:rFonts w:ascii="맑은 고딕" w:hAnsi="맑은 고딕" w:eastAsia="맑은 고딕"/>
          <w:b/>
          <w:color w:val="051C2C"/>
          <w:sz w:val="20"/>
        </w:rPr>
        <w:t>① 거시 국면을 어떻게 해석해 기대수익률(CMA)에 반영할 것인가, ② 왜 특정 밸류에이션(예: 미국 성장주 CAPE 31.2배)을 할인해야 하는가, ③ 모델 간 상충하는 가정을 어떻게 상호 비판하고 이사회가 납득할 수 있는 투자 메모로 설득할 것인가</w:t>
      </w:r>
      <w:r>
        <w:rPr>
          <w:rFonts w:ascii="맑은 고딕" w:hAnsi="맑은 고딕" w:eastAsia="맑은 고딕"/>
          <w:b w:val="0"/>
          <w:color w:val="475569"/>
          <w:sz w:val="20"/>
        </w:rPr>
        <w:t>를 수행하지 못합니다.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 w:val="0"/>
          <w:color w:val="475569"/>
          <w:sz w:val="20"/>
        </w:rPr>
        <w:t>반대로 LLM에게 수학 최적화를 직접 시키면 비중 합이 100%가 안 되거나 공분산 역행렬을 틀리는 환각(Hallucination)이 발생합니다.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 w:val="0"/>
          <w:color w:val="475569"/>
          <w:sz w:val="20"/>
        </w:rPr>
        <w:t xml:space="preserve">따라서 본 논문과 저희 시스템의 핵심 혁신은 </w:t>
      </w:r>
      <w:r>
        <w:rPr>
          <w:rFonts w:ascii="맑은 고딕" w:hAnsi="맑은 고딕" w:eastAsia="맑은 고딕"/>
          <w:b/>
          <w:color w:val="051C2C"/>
          <w:sz w:val="20"/>
        </w:rPr>
        <w:t>‘정량적 수리 연산은 파이썬 도구(Tool)에 100% 위임하고, LLM 에이전트는 거시 레짐 판단·CMA 밸류에이션 심사(LLM-as-Judge)·피어 리뷰 비판·이사회 거버넌스 보고서 작성이라는 정성적 의사결정 오케스트레이션을 전담’</w:t>
      </w:r>
      <w:r>
        <w:rPr>
          <w:rFonts w:ascii="맑은 고딕" w:hAnsi="맑은 고딕" w:eastAsia="맑은 고딕"/>
          <w:b w:val="0"/>
          <w:color w:val="475569"/>
          <w:sz w:val="20"/>
        </w:rPr>
        <w:t>하도록 결합한 데 있습니다."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B91C1C"/>
          <w:sz w:val="23"/>
        </w:rPr>
        <w:t>▶ Q6. "현재 배포된 웹 데모(`onrender.com`)에서는 실제 LLM API가 매번 호출되는가?"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핵심 방어 논리</w:t>
      </w:r>
      <w:r>
        <w:rPr>
          <w:rFonts w:ascii="맑은 고딕" w:hAnsi="맑은 고딕" w:eastAsia="맑은 고딕"/>
          <w:b w:val="0"/>
          <w:color w:val="0F172A"/>
          <w:sz w:val="21"/>
        </w:rPr>
        <w:t>: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 w:val="0"/>
          <w:color w:val="475569"/>
          <w:sz w:val="20"/>
        </w:rPr>
        <w:t xml:space="preserve">"현재 중간발표 버전의 클라우드 배포 환경에서는 </w:t>
      </w:r>
      <w:r>
        <w:rPr>
          <w:rFonts w:ascii="맑은 고딕" w:hAnsi="맑은 고딕" w:eastAsia="맑은 고딕"/>
          <w:b/>
          <w:color w:val="051C2C"/>
          <w:sz w:val="20"/>
        </w:rPr>
        <w:t>누구나 API 키 비용이나 응답 지연(Latency 2~3분) 없이 1초 만에 IPS 슬라이더를 조작하며 실시간 테스트</w:t>
      </w:r>
      <w:r>
        <w:rPr>
          <w:rFonts w:ascii="맑은 고딕" w:hAnsi="맑은 고딕" w:eastAsia="맑은 고딕"/>
          <w:b w:val="0"/>
          <w:color w:val="475569"/>
          <w:sz w:val="20"/>
        </w:rPr>
        <w:t>할 수 있도록, 논문 Section 4의 거시 시나리오와 Judge 심사 규칙을 결정론적 룰 엔진과 하이브리드 템플릿으로 내장해 두었습니다.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 w:val="0"/>
          <w:color w:val="475569"/>
          <w:sz w:val="20"/>
        </w:rPr>
        <w:t>기말 로드맵 Phase 3(5~6주차)에서 거시 에이전트와 CIO 에이전트에 Gemini/Claude 실시간 API 호출 모드를 선택형 스위치로 연동하여, 실시간 뉴스 및 FRED 지표 해석 기능을 완비할 예정입니다."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051C2C"/>
          <w:sz w:val="25"/>
        </w:rPr>
        <w:t>[영역 3] 데이터 · 수리 모형(CMA, 공분산, 백테스트) 관련 질문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B91C1C"/>
          <w:sz w:val="23"/>
        </w:rPr>
        <w:t>▶ Q7. "기초데이터로 야후 파이낸스 159개월(2013~2026) 월간 수익률을 썼다고 했는데, 2단계의 10년 기대수익률(CMA)은 단순 과거 159개월 평균 수익률인가?"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핵심 방어 논리</w:t>
      </w:r>
      <w:r>
        <w:rPr>
          <w:rFonts w:ascii="맑은 고딕" w:hAnsi="맑은 고딕" w:eastAsia="맑은 고딕"/>
          <w:b w:val="0"/>
          <w:color w:val="0F172A"/>
          <w:sz w:val="21"/>
        </w:rPr>
        <w:t>: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 w:val="0"/>
          <w:color w:val="475569"/>
          <w:sz w:val="20"/>
        </w:rPr>
        <w:t>"아닙니다. 만약 단순 과거 평균 수익률을 그대로 쓰면 최근 10년간 많이 오른 미국 성장주(</w:t>
      </w:r>
      <w:r>
        <w:rPr>
          <w:rFonts w:ascii="Consolas" w:hAnsi="Consolas" w:eastAsia="Consolas"/>
          <w:b/>
          <w:color w:val="B91C1C"/>
          <w:sz w:val="19"/>
        </w:rPr>
        <w:t>VUG</w:t>
      </w:r>
      <w:r>
        <w:rPr>
          <w:rFonts w:ascii="맑은 고딕" w:hAnsi="맑은 고딕" w:eastAsia="맑은 고딕"/>
          <w:b w:val="0"/>
          <w:color w:val="475569"/>
          <w:sz w:val="20"/>
        </w:rPr>
        <w:t>) 같은 고평가 자산에 100% 몰리는 ‘백미러 운전’ 오류가 발생합니다.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 w:val="0"/>
          <w:color w:val="475569"/>
          <w:sz w:val="20"/>
        </w:rPr>
        <w:t xml:space="preserve">저희 시스템에서 </w:t>
      </w:r>
      <w:r>
        <w:rPr>
          <w:rFonts w:ascii="맑은 고딕" w:hAnsi="맑은 고딕" w:eastAsia="맑은 고딕"/>
          <w:b/>
          <w:color w:val="051C2C"/>
          <w:sz w:val="20"/>
        </w:rPr>
        <w:t>159개월 실데이터는 실증 백테스트(사후 성과 검증)와 자산군 변동성·상관구조 검증</w:t>
      </w:r>
      <w:r>
        <w:rPr>
          <w:rFonts w:ascii="맑은 고딕" w:hAnsi="맑은 고딕" w:eastAsia="맑은 고딕"/>
          <w:b w:val="0"/>
          <w:color w:val="475569"/>
          <w:sz w:val="20"/>
        </w:rPr>
        <w:t xml:space="preserve">에 사용되며, </w:t>
      </w:r>
      <w:r>
        <w:rPr>
          <w:rFonts w:ascii="맑은 고딕" w:hAnsi="맑은 고딕" w:eastAsia="맑은 고딕"/>
          <w:b/>
          <w:color w:val="051C2C"/>
          <w:sz w:val="20"/>
        </w:rPr>
        <w:t>2단계의 10년 기대수익률(CMA)은 논문 Exhibit 3에 따라 7가지 전향적(Forward-looking) 모델</w:t>
      </w:r>
      <w:r>
        <w:rPr>
          <w:rFonts w:ascii="맑은 고딕" w:hAnsi="맑은 고딕" w:eastAsia="맑은 고딕"/>
          <w:b w:val="0"/>
          <w:color w:val="475569"/>
          <w:sz w:val="20"/>
        </w:rPr>
        <w:t xml:space="preserve">—①역사적 ERP, ②거시국면 조정, ③블랙-리터만 균형, ④역 고든 성장 모형(배당+성장-멀티플 수축), ⑤CAPE 역수 기반 내재 ERP, ⑥서베이 컨센서스, ⑦신뢰도 가중 Auto-Blend—을 계산한 뒤, </w:t>
      </w:r>
      <w:r>
        <w:rPr>
          <w:rFonts w:ascii="맑은 고딕" w:hAnsi="맑은 고딕" w:eastAsia="맑은 고딕"/>
          <w:b/>
          <w:color w:val="051C2C"/>
          <w:sz w:val="20"/>
        </w:rPr>
        <w:t>심사역(CMA Judge) 에이전트가 현재 CAPE 밸류에이션(예: 성장주 31.2배 고평가 시 -2.0%p 할인)을 심사하여 확정한 미래 기대수익률</w:t>
      </w:r>
      <w:r>
        <w:rPr>
          <w:rFonts w:ascii="맑은 고딕" w:hAnsi="맑은 고딕" w:eastAsia="맑은 고딕"/>
          <w:b w:val="0"/>
          <w:color w:val="475569"/>
          <w:sz w:val="20"/>
        </w:rPr>
        <w:t>입니다."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B91C1C"/>
          <w:sz w:val="23"/>
        </w:rPr>
        <w:t>▶ Q8. "3단계 공분산 행렬 추정에서 왜 표본 공분산(Sample Covariance)을 그대로 안 쓰고 Ledoit-Wolf OAS 수축(Shrinkage) 기법을 썼는가?"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핵심 방어 논리</w:t>
      </w:r>
      <w:r>
        <w:rPr>
          <w:rFonts w:ascii="맑은 고딕" w:hAnsi="맑은 고딕" w:eastAsia="맑은 고딕"/>
          <w:b w:val="0"/>
          <w:color w:val="0F172A"/>
          <w:sz w:val="21"/>
        </w:rPr>
        <w:t>: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 w:val="0"/>
          <w:color w:val="475569"/>
          <w:sz w:val="20"/>
        </w:rPr>
        <w:t>"자산 개수가 18개이면 추정해야 할 공분산 원소가 $18 \times 19 / 2 = 171$개에 달합니다. 표본 공분산 행렬($S$)을 그대로 쓰면 특정 기간의 노이즈(극단치) 때문에 행렬의 조건수(Condition Number)가 나빠져, 마코위츠(MVO)나 블랙-리터만에서 역행렬($\Sigma^{-1}$)을 구할 때 비중이 극단적으로 튀는 오차 증폭 현상이 발생합니다.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 w:val="0"/>
          <w:color w:val="475569"/>
          <w:sz w:val="20"/>
        </w:rPr>
        <w:t xml:space="preserve">이를 방지하기 위해 표본 상관계수 행렬에 </w:t>
      </w:r>
      <w:r>
        <w:rPr>
          <w:rFonts w:ascii="맑은 고딕" w:hAnsi="맑은 고딕" w:eastAsia="맑은 고딕"/>
          <w:b/>
          <w:color w:val="051C2C"/>
          <w:sz w:val="20"/>
        </w:rPr>
        <w:t>평균 상관계수 타깃 행렬($F$)을 20%($\alpha = 0.20$) 혼합하는 Ledoit-Wolf 수축 기법</w:t>
      </w:r>
      <w:r>
        <w:rPr>
          <w:rFonts w:ascii="맑은 고딕" w:hAnsi="맑은 고딕" w:eastAsia="맑은 고딕"/>
          <w:b w:val="0"/>
          <w:color w:val="475569"/>
          <w:sz w:val="20"/>
        </w:rPr>
        <w:t>($\Sigma_{\text{shrunk}} = 0.8 S + 0.2 F$)을 적용하고, 후기 사이클 스트레스 요인($1.10$배)을 반영해 표본 외(Out-of-sample) 안정성을 확보했습니다."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B91C1C"/>
          <w:sz w:val="23"/>
        </w:rPr>
        <w:t>▶ Q9. "사전 예상 MDD(-18.59%)는 어떻게 계산한 것이며, 왜 60/40 벤치마크(-34.3%)보다 훨씬 양호한가?"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핵심 방어 논리</w:t>
      </w:r>
      <w:r>
        <w:rPr>
          <w:rFonts w:ascii="맑은 고딕" w:hAnsi="맑은 고딕" w:eastAsia="맑은 고딕"/>
          <w:b w:val="0"/>
          <w:color w:val="0F172A"/>
          <w:sz w:val="21"/>
        </w:rPr>
        <w:t>: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 w:val="0"/>
          <w:color w:val="475569"/>
          <w:sz w:val="20"/>
        </w:rPr>
        <w:t>"사전 예상 MDD는 포트폴리오를 구성하는 시점에 사전 연간 변동성($\sigma_p = 8.85\%$)을 바탕으로 브라운 운동 및 정규분포 꼬리위험 계수($2.2\sigma$)를 적용해 추정한 사전적(Ex-ante) 최대 낙폭 추정치입니다($-8.85\% \times 2.2 \approx -18.59\%$).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 w:val="0"/>
          <w:color w:val="475569"/>
          <w:sz w:val="20"/>
        </w:rPr>
        <w:t xml:space="preserve">반면 비교 기준인 전통 60/40의 -34.3%는 과거 주요 금융위기 및 스태그플레이션 국면에서 주식(60%)과 채권(40%)이 동반 하락할 때 기록된 역사적 스트레스 낙폭 기준치입니다. 실제 저희가 2013~2026년 159개월 야후 파이낸스 실데이터로 분기 리밸런싱 백테스트를 돌려본 </w:t>
      </w:r>
      <w:r>
        <w:rPr>
          <w:rFonts w:ascii="맑은 고딕" w:hAnsi="맑은 고딕" w:eastAsia="맑은 고딕"/>
          <w:b/>
          <w:color w:val="051C2C"/>
          <w:sz w:val="20"/>
        </w:rPr>
        <w:t>사후 실현 MDD 역시 -18.92%</w:t>
      </w:r>
      <w:r>
        <w:rPr>
          <w:rFonts w:ascii="맑은 고딕" w:hAnsi="맑은 고딕" w:eastAsia="맑은 고딕"/>
          <w:b w:val="0"/>
          <w:color w:val="475569"/>
          <w:sz w:val="20"/>
        </w:rPr>
        <w:t>로 나와, 사전 추정치(-18.59%)가 실제 데이터와도 매우 높은 정합성을 보임을 확인했습니다."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051C2C"/>
          <w:sz w:val="25"/>
        </w:rPr>
        <w:t>[영역 4] 기관 운용 실무 및 포지셔닝 관련 질문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B91C1C"/>
          <w:sz w:val="23"/>
        </w:rPr>
        <w:t>▶ Q10. "거시 국면(스태그플레이션)을 판단해서 주식을 56.49%로 줄이고 현금과 실물자산을 늘렸다면, 이건 장기 전략적 자산배분(SAA)이 아니라 단기 전술적 자산배분(TAA) 아닌가?"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핵심 방어 논리</w:t>
      </w:r>
      <w:r>
        <w:rPr>
          <w:rFonts w:ascii="맑은 고딕" w:hAnsi="맑은 고딕" w:eastAsia="맑은 고딕"/>
          <w:b w:val="0"/>
          <w:color w:val="0F172A"/>
          <w:sz w:val="21"/>
        </w:rPr>
        <w:t>: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 w:val="0"/>
          <w:color w:val="475569"/>
          <w:sz w:val="20"/>
        </w:rPr>
        <w:t xml:space="preserve">"매우 중요한 실무적 포인트입니다. 전통적인 의미에서 연 단위로 고정되는 정적 SAA와 달리, 최근 글로벌 연기금(캐나다 CPP, 싱가포르 GIC 등)과 앤드류 앙 교수의 논문은 거시 레짐(Regime) 전환을 반영하는 </w:t>
      </w:r>
      <w:r>
        <w:rPr>
          <w:rFonts w:ascii="맑은 고딕" w:hAnsi="맑은 고딕" w:eastAsia="맑은 고딕"/>
          <w:b/>
          <w:color w:val="051C2C"/>
          <w:sz w:val="20"/>
        </w:rPr>
        <w:t>동적 전략적 자산배분(Dynamic SAA) 또는 중기 정책 포트폴리오 조정</w:t>
      </w:r>
      <w:r>
        <w:rPr>
          <w:rFonts w:ascii="맑은 고딕" w:hAnsi="맑은 고딕" w:eastAsia="맑은 고딕"/>
          <w:b w:val="0"/>
          <w:color w:val="475569"/>
          <w:sz w:val="20"/>
        </w:rPr>
        <w:t xml:space="preserve"> 개념을 채택하고 있습니다.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 w:val="0"/>
          <w:color w:val="475569"/>
          <w:sz w:val="20"/>
        </w:rPr>
        <w:t xml:space="preserve">다만 저희도 기관 실무 관점에서 이 시스템이 잦은 매매를 유발하는 단기 TAA로 오인되지 않도록, 분기별 정기 리밸런싱과 엄격한 트래킹 에러 한도(0.77% &lt; 6.0%)를 두어 60/40 기준점 근처에서 움직이도록 통제했으며, 포지셔닝 또한 </w:t>
      </w:r>
      <w:r>
        <w:rPr>
          <w:rFonts w:ascii="맑은 고딕" w:hAnsi="맑은 고딕" w:eastAsia="맑은 고딕"/>
          <w:b/>
          <w:color w:val="051C2C"/>
          <w:sz w:val="20"/>
        </w:rPr>
        <w:t>투자위원회의 SAA/DAA 시나리오 분석을 지원하는 AI Co-Pilot</w:t>
      </w:r>
      <w:r>
        <w:rPr>
          <w:rFonts w:ascii="맑은 고딕" w:hAnsi="맑은 고딕" w:eastAsia="맑은 고딕"/>
          <w:b w:val="0"/>
          <w:color w:val="475569"/>
          <w:sz w:val="20"/>
        </w:rPr>
        <w:t>으로 정의했습니다."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B91C1C"/>
          <w:sz w:val="23"/>
        </w:rPr>
        <w:t>▶ Q11. "백테스트 기간(2013~2026) 동안 비중을 어떻게 적용했나? 미래 데이터를 보고 과거를 테스트한 전방 편향(Look-ahead Bias)은 없는가?"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핵심 방어 논리</w:t>
      </w:r>
      <w:r>
        <w:rPr>
          <w:rFonts w:ascii="맑은 고딕" w:hAnsi="맑은 고딕" w:eastAsia="맑은 고딕"/>
          <w:b w:val="0"/>
          <w:color w:val="0F172A"/>
          <w:sz w:val="21"/>
        </w:rPr>
        <w:t>: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 w:val="0"/>
          <w:color w:val="475569"/>
          <w:sz w:val="20"/>
        </w:rPr>
        <w:t xml:space="preserve">"현재 구현된 Phase 3 백테스트는 파이프라인이 도출한 전략별 목표 비중(Target Weights)이 과거 2013년 7월부터 2026년 9월까지 159개월의 실제 시장 국면(2015년 중국 증시 충격, 2020년 코로나 팬데믹, 2022년 인플레이션·금리 급등기 포함)을 통과할 때 분기별 리밸런싱(매 3개월 복원) 조건에서 어떤 위험·수익 궤적을 그리는지 검증한 </w:t>
      </w:r>
      <w:r>
        <w:rPr>
          <w:rFonts w:ascii="맑은 고딕" w:hAnsi="맑은 고딕" w:eastAsia="맑은 고딕"/>
          <w:b/>
          <w:color w:val="051C2C"/>
          <w:sz w:val="20"/>
        </w:rPr>
        <w:t>고정 비중 사후 스트레스 시뮬레이션</w:t>
      </w:r>
      <w:r>
        <w:rPr>
          <w:rFonts w:ascii="맑은 고딕" w:hAnsi="맑은 고딕" w:eastAsia="맑은 고딕"/>
          <w:b w:val="0"/>
          <w:color w:val="475569"/>
          <w:sz w:val="20"/>
        </w:rPr>
        <w:t>입니다.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 w:val="0"/>
          <w:color w:val="475569"/>
          <w:sz w:val="20"/>
        </w:rPr>
        <w:t xml:space="preserve">기말 Phase 4에서는 매 분기 시점($t$)까지의 데이터만 사용하여 공분산과 비중을 순차적으로 다시 추정하는 </w:t>
      </w:r>
      <w:r>
        <w:rPr>
          <w:rFonts w:ascii="맑은 고딕" w:hAnsi="맑은 고딕" w:eastAsia="맑은 고딕"/>
          <w:b/>
          <w:color w:val="051C2C"/>
          <w:sz w:val="20"/>
        </w:rPr>
        <w:t>롤링 윈도우 표본 외(Rolling Out-of-Sample) 백테스트</w:t>
      </w:r>
      <w:r>
        <w:rPr>
          <w:rFonts w:ascii="맑은 고딕" w:hAnsi="맑은 고딕" w:eastAsia="맑은 고딕"/>
          <w:b w:val="0"/>
          <w:color w:val="475569"/>
          <w:sz w:val="20"/>
        </w:rPr>
        <w:t>와 거래비용 차감 모델을 추가하여 전방 편향을 완전히 제거한 실증 결과를 제시할 계획입니다."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B91C1C"/>
          <w:sz w:val="23"/>
        </w:rPr>
        <w:t>▶ Q12. "국내 연기금(국민연금 등)에 이 시스템을 적용한다면 가장 먼저 보완해야 할 점은 무엇인가?"</w:t>
      </w:r>
    </w:p>
    <w:p>
      <w:pPr>
        <w:spacing w:before="40" w:after="80" w:line="331" w:lineRule="auto"/>
        <w:ind w:left="259"/>
      </w:pPr>
      <w:r>
        <w:rPr>
          <w:rFonts w:ascii="맑은 고딕" w:hAnsi="맑은 고딕" w:eastAsia="맑은 고딕"/>
          <w:b w:val="0"/>
          <w:color w:val="0F172A"/>
          <w:sz w:val="21"/>
        </w:rPr>
        <w:t xml:space="preserve">• </w:t>
      </w:r>
      <w:r>
        <w:rPr>
          <w:rFonts w:ascii="맑은 고딕" w:hAnsi="맑은 고딕" w:eastAsia="맑은 고딕"/>
          <w:b/>
          <w:color w:val="0052CC"/>
          <w:sz w:val="21"/>
        </w:rPr>
        <w:t>핵심 방어 논리</w:t>
      </w:r>
      <w:r>
        <w:rPr>
          <w:rFonts w:ascii="맑은 고딕" w:hAnsi="맑은 고딕" w:eastAsia="맑은 고딕"/>
          <w:b w:val="0"/>
          <w:color w:val="0F172A"/>
          <w:sz w:val="21"/>
        </w:rPr>
        <w:t>: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 w:val="0"/>
          <w:color w:val="475569"/>
          <w:sz w:val="20"/>
        </w:rPr>
        <w:t xml:space="preserve">"슬라이드 14에서 핵심 과제로 제시한 </w:t>
      </w:r>
      <w:r>
        <w:rPr>
          <w:rFonts w:ascii="맑은 고딕" w:hAnsi="맑은 고딕" w:eastAsia="맑은 고딕"/>
          <w:b/>
          <w:color w:val="051C2C"/>
          <w:sz w:val="20"/>
        </w:rPr>
        <w:t>‘원/달러 환헤지(FX Hedge) 모듈’</w:t>
      </w:r>
      <w:r>
        <w:rPr>
          <w:rFonts w:ascii="맑은 고딕" w:hAnsi="맑은 고딕" w:eastAsia="맑은 고딕"/>
          <w:b w:val="0"/>
          <w:color w:val="475569"/>
          <w:sz w:val="20"/>
        </w:rPr>
        <w:t xml:space="preserve">과 </w:t>
      </w:r>
      <w:r>
        <w:rPr>
          <w:rFonts w:ascii="맑은 고딕" w:hAnsi="맑은 고딕" w:eastAsia="맑은 고딕"/>
          <w:b/>
          <w:color w:val="051C2C"/>
          <w:sz w:val="20"/>
        </w:rPr>
        <w:t>‘거래비용/회전율 제약’</w:t>
      </w:r>
      <w:r>
        <w:rPr>
          <w:rFonts w:ascii="맑은 고딕" w:hAnsi="맑은 고딕" w:eastAsia="맑은 고딕"/>
          <w:b w:val="0"/>
          <w:color w:val="475569"/>
          <w:sz w:val="20"/>
        </w:rPr>
        <w:t>입니다.</w:t>
      </w:r>
    </w:p>
    <w:p>
      <w:pPr>
        <w:spacing w:before="40" w:after="80" w:line="331" w:lineRule="auto"/>
        <w:ind w:left="360"/>
      </w:pPr>
      <w:r>
        <w:rPr>
          <w:rFonts w:ascii="맑은 고딕" w:hAnsi="맑은 고딕" w:eastAsia="맑은 고딕"/>
          <w:b w:val="0"/>
          <w:color w:val="475569"/>
          <w:sz w:val="20"/>
        </w:rPr>
        <w:t xml:space="preserve">현재 18개 ETF는 모두 달러 표시 자산이므로, 미국 기관 투자자에게는 환위험이 없지만 원화 기준 부채를 가진 국내 연기금에게는 원/달러 환율 변동성이 포트폴리오 전체 변동성을 좌우하게 됩니다. 특히 위기 시 달러 강세가 주식 하락을 방어해 주는 </w:t>
      </w:r>
      <w:r>
        <w:rPr>
          <w:rFonts w:ascii="맑은 고딕" w:hAnsi="맑은 고딕" w:eastAsia="맑은 고딕"/>
          <w:b/>
          <w:color w:val="051C2C"/>
          <w:sz w:val="20"/>
        </w:rPr>
        <w:t>자연 헤지(Natural Hedge) 효과</w:t>
      </w:r>
      <w:r>
        <w:rPr>
          <w:rFonts w:ascii="맑은 고딕" w:hAnsi="맑은 고딕" w:eastAsia="맑은 고딕"/>
          <w:b w:val="0"/>
          <w:color w:val="475569"/>
          <w:sz w:val="20"/>
        </w:rPr>
        <w:t>가 있으므로, 기말에는 자산군별 최적 환헤지 비율(예: 해외주식 0% 환오픈, 해외채권 80~100% 환헤지)을 수리 엔진의 공분산 행렬에 직접 반영할 계획입니다."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