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FEC" w:rsidRPr="00050DEE" w:rsidRDefault="00F85FEC" w:rsidP="00050DEE">
      <w:pPr>
        <w:jc w:val="both"/>
        <w:rPr>
          <w:rFonts w:ascii="Verdana" w:hAnsi="Verdana"/>
        </w:rPr>
      </w:pPr>
      <w:r w:rsidRPr="00050DEE">
        <w:rPr>
          <w:rFonts w:ascii="Verdana" w:hAnsi="Verdana"/>
        </w:rPr>
        <w:t>6</w:t>
      </w:r>
    </w:p>
    <w:p w:rsidR="00F85FEC" w:rsidRPr="00050DEE" w:rsidRDefault="00F85FEC" w:rsidP="00050DEE">
      <w:pPr>
        <w:jc w:val="both"/>
        <w:rPr>
          <w:rFonts w:ascii="Verdana" w:hAnsi="Verdana"/>
        </w:rPr>
      </w:pPr>
      <w:r w:rsidRPr="00050DEE">
        <w:rPr>
          <w:rFonts w:ascii="Verdana" w:hAnsi="Verdana"/>
        </w:rPr>
        <w:t>a)</w:t>
      </w:r>
    </w:p>
    <w:p w:rsidR="00C20B7B" w:rsidRPr="00050DEE" w:rsidRDefault="00C20B7B" w:rsidP="00050DEE">
      <w:pPr>
        <w:jc w:val="both"/>
        <w:rPr>
          <w:rFonts w:ascii="Verdana" w:hAnsi="Verdana"/>
          <w:b/>
        </w:rPr>
      </w:pPr>
      <w:r w:rsidRPr="00050DEE">
        <w:rPr>
          <w:rFonts w:ascii="Verdana" w:hAnsi="Verdana"/>
          <w:b/>
        </w:rPr>
        <w:t>Exponentially weighted moving average models</w:t>
      </w:r>
    </w:p>
    <w:p w:rsidR="00437EA6" w:rsidRPr="00050DEE" w:rsidRDefault="00C20B7B" w:rsidP="00050DEE">
      <w:pPr>
        <w:jc w:val="both"/>
        <w:rPr>
          <w:rFonts w:ascii="Verdana" w:hAnsi="Verdana"/>
          <w:lang w:val="en-US"/>
        </w:rPr>
      </w:pPr>
      <w:r w:rsidRPr="00050DEE">
        <w:rPr>
          <w:rFonts w:ascii="Verdana" w:hAnsi="Verdana"/>
        </w:rPr>
        <w:t xml:space="preserve">The exponentially weighted moving average (EWMA) is essentially a simple extension of the historical average volatility measure, which allows more recent observations to have a stronger impact on the forecast of volatility than older data points. Under </w:t>
      </w:r>
      <w:proofErr w:type="gramStart"/>
      <w:r w:rsidRPr="00050DEE">
        <w:rPr>
          <w:rFonts w:ascii="Verdana" w:hAnsi="Verdana"/>
        </w:rPr>
        <w:t>an</w:t>
      </w:r>
      <w:proofErr w:type="gramEnd"/>
      <w:r w:rsidRPr="00050DEE">
        <w:rPr>
          <w:rFonts w:ascii="Verdana" w:hAnsi="Verdana"/>
        </w:rPr>
        <w:t xml:space="preserve"> EWMA specification, the latest observation carries the largest weight, and weights associated with previous observations decline exponentially over time. This approach has two advantages over the simple historical model. First, volatility is in practice likely to be affected more by recent events, which carry more weight, than events further in the past. </w:t>
      </w:r>
      <w:proofErr w:type="gramStart"/>
      <w:r w:rsidRPr="00050DEE">
        <w:rPr>
          <w:rFonts w:ascii="Verdana" w:hAnsi="Verdana"/>
        </w:rPr>
        <w:t>Second, the effect on volatility of a single given observation declines at an exponential rate as weights attached to recent events fall.</w:t>
      </w:r>
      <w:proofErr w:type="gramEnd"/>
      <w:r w:rsidRPr="00050DEE">
        <w:rPr>
          <w:rFonts w:ascii="Verdana" w:hAnsi="Verdana"/>
        </w:rPr>
        <w:t xml:space="preserve"> On the other hand, the simple historical approach could lead to an abrupt change in volatility once the shock falls out of the measurement sample. And if the shock is still included in a relatively long measurement sample period, then an abnormally large observation will imply that the forecast will remain at an artificially high level even if the market is subsequently tranquil. The exponentially weighted</w:t>
      </w:r>
      <w:r w:rsidR="00437EA6" w:rsidRPr="00050DEE">
        <w:rPr>
          <w:rFonts w:ascii="Verdana" w:hAnsi="Verdana"/>
        </w:rPr>
        <w:t xml:space="preserve"> </w:t>
      </w:r>
      <w:r w:rsidR="00F85FEC" w:rsidRPr="00050DEE">
        <w:rPr>
          <w:rFonts w:ascii="Verdana" w:hAnsi="Verdana"/>
          <w:lang w:val="en-US"/>
        </w:rPr>
        <w:t xml:space="preserve">moving average model can be expressed in several ways, e.g. </w:t>
      </w:r>
    </w:p>
    <w:p w:rsidR="00437EA6" w:rsidRPr="00050DEE" w:rsidRDefault="00F85FEC" w:rsidP="00CD2FCC">
      <w:pPr>
        <w:spacing w:after="0" w:line="240" w:lineRule="atLeast"/>
        <w:jc w:val="center"/>
        <w:rPr>
          <w:rFonts w:ascii="Verdana" w:hAnsi="Verdana"/>
          <w:lang w:val="en-US"/>
        </w:rPr>
      </w:pPr>
      <w:r w:rsidRPr="00050DEE">
        <w:rPr>
          <w:rFonts w:ascii="Verdana" w:hAnsi="Verdana"/>
          <w:lang w:val="en-US"/>
        </w:rPr>
        <w:br/>
      </w:r>
      <w:r w:rsidR="001F5444" w:rsidRPr="00050DEE">
        <w:rPr>
          <w:rFonts w:ascii="Verdana" w:hAnsi="Verdana"/>
          <w:lang w:val="en-US"/>
        </w:rPr>
        <w:br/>
      </w:r>
      <m:oMath>
        <m:sSubSup>
          <m:sSubSupPr>
            <m:ctrlPr>
              <w:rPr>
                <w:rFonts w:ascii="Cambria Math" w:hAnsi="Verdana"/>
                <w:lang w:val="en-US"/>
              </w:rPr>
            </m:ctrlPr>
          </m:sSubSupPr>
          <m:e>
            <m:r>
              <m:rPr>
                <m:sty m:val="p"/>
              </m:rPr>
              <w:rPr>
                <w:rFonts w:ascii="Cambria Math" w:hAnsi="Verdana"/>
                <w:lang w:val="en-US"/>
              </w:rPr>
              <m:t>σ</m:t>
            </m:r>
          </m:e>
          <m:sub>
            <m:r>
              <m:rPr>
                <m:sty m:val="p"/>
              </m:rPr>
              <w:rPr>
                <w:rFonts w:ascii="Cambria Math" w:hAnsi="Verdana"/>
                <w:lang w:val="en-US"/>
              </w:rPr>
              <m:t>t</m:t>
            </m:r>
          </m:sub>
          <m:sup>
            <m:r>
              <m:rPr>
                <m:sty m:val="p"/>
              </m:rPr>
              <w:rPr>
                <w:rFonts w:ascii="Cambria Math" w:hAnsi="Verdana"/>
                <w:lang w:val="en-US"/>
              </w:rPr>
              <m:t>2</m:t>
            </m:r>
          </m:sup>
        </m:sSubSup>
        <m:r>
          <m:rPr>
            <m:sty m:val="p"/>
          </m:rPr>
          <w:rPr>
            <w:rFonts w:ascii="Cambria Math" w:hAnsi="Verdana"/>
            <w:vertAlign w:val="superscript"/>
            <w:lang w:val="en-US"/>
          </w:rPr>
          <m:t xml:space="preserve"> </m:t>
        </m:r>
        <m:r>
          <m:rPr>
            <m:sty m:val="p"/>
          </m:rPr>
          <w:rPr>
            <w:rFonts w:ascii="Cambria Math" w:hAnsi="Verdana"/>
            <w:lang w:val="en-US"/>
          </w:rPr>
          <m:t xml:space="preserve">= </m:t>
        </m:r>
        <m:d>
          <m:dPr>
            <m:ctrlPr>
              <w:rPr>
                <w:rFonts w:ascii="Cambria Math" w:hAnsi="Verdana"/>
                <w:lang w:val="en-US"/>
              </w:rPr>
            </m:ctrlPr>
          </m:dPr>
          <m:e>
            <m:r>
              <m:rPr>
                <m:sty m:val="p"/>
              </m:rPr>
              <w:rPr>
                <w:rFonts w:ascii="Cambria Math" w:hAnsi="Verdana"/>
                <w:lang w:val="en-US"/>
              </w:rPr>
              <m:t xml:space="preserve">1 </m:t>
            </m:r>
            <m:r>
              <m:rPr>
                <m:sty m:val="p"/>
              </m:rPr>
              <w:rPr>
                <w:rFonts w:ascii="Cambria Math" w:hAnsi="Verdana"/>
                <w:lang w:val="en-US"/>
              </w:rPr>
              <m:t>–</m:t>
            </m:r>
            <m:r>
              <m:rPr>
                <m:sty m:val="p"/>
              </m:rPr>
              <w:rPr>
                <w:rFonts w:ascii="Cambria Math" w:hAnsi="Verdana"/>
                <w:lang w:val="en-US"/>
              </w:rPr>
              <m:t xml:space="preserve"> </m:t>
            </m:r>
            <m:r>
              <m:rPr>
                <m:sty m:val="p"/>
              </m:rPr>
              <w:rPr>
                <w:rFonts w:ascii="Cambria Math" w:hAnsi="Verdana"/>
                <w:lang w:val="en-US"/>
              </w:rPr>
              <m:t>λ</m:t>
            </m:r>
          </m:e>
        </m:d>
        <m:nary>
          <m:naryPr>
            <m:chr m:val="∑"/>
            <m:ctrlPr>
              <w:rPr>
                <w:rFonts w:ascii="Cambria Math" w:eastAsiaTheme="minorEastAsia" w:hAnsi="Verdana"/>
                <w:i/>
                <w:lang w:val="en-US"/>
              </w:rPr>
            </m:ctrlPr>
          </m:naryPr>
          <m:sub>
            <m:r>
              <w:rPr>
                <w:rFonts w:ascii="Cambria Math" w:hAnsi="Cambria Math"/>
                <w:lang w:val="en-US"/>
              </w:rPr>
              <m:t>i</m:t>
            </m:r>
            <m:r>
              <w:rPr>
                <w:rFonts w:ascii="Cambria Math" w:hAnsi="Verdana"/>
                <w:lang w:val="en-US"/>
              </w:rPr>
              <m:t>=0</m:t>
            </m:r>
          </m:sub>
          <m:sup>
            <m:r>
              <w:rPr>
                <w:rFonts w:ascii="Verdana" w:hAnsi="Verdana"/>
                <w:lang w:val="en-US"/>
              </w:rPr>
              <m:t>∞</m:t>
            </m:r>
          </m:sup>
          <m:e>
            <m:sSup>
              <m:sSupPr>
                <m:ctrlPr>
                  <w:rPr>
                    <w:rFonts w:ascii="Cambria Math" w:eastAsiaTheme="minorEastAsia" w:hAnsi="Verdana"/>
                    <w:i/>
                    <w:lang w:val="en-US"/>
                  </w:rPr>
                </m:ctrlPr>
              </m:sSupPr>
              <m:e>
                <m:r>
                  <w:rPr>
                    <w:rFonts w:ascii="Cambria Math" w:eastAsiaTheme="minorEastAsia" w:hAnsi="Cambria Math"/>
                    <w:lang w:val="en-US"/>
                  </w:rPr>
                  <m:t>λ</m:t>
                </m:r>
              </m:e>
              <m:sup>
                <m:r>
                  <w:rPr>
                    <w:rFonts w:ascii="Cambria Math" w:eastAsiaTheme="minorEastAsia" w:hAnsi="Verdana"/>
                    <w:lang w:val="en-US"/>
                  </w:rPr>
                  <m:t>f</m:t>
                </m:r>
                <m:r>
                  <w:rPr>
                    <w:rFonts w:ascii="Verdana" w:eastAsiaTheme="minorEastAsia" w:hAnsi="Verdana"/>
                    <w:lang w:val="en-US"/>
                  </w:rPr>
                  <m:t>-</m:t>
                </m:r>
                <m:r>
                  <w:rPr>
                    <w:rFonts w:ascii="Cambria Math" w:eastAsiaTheme="minorEastAsia" w:hAnsi="Verdana"/>
                    <w:lang w:val="en-US"/>
                  </w:rPr>
                  <m:t>1</m:t>
                </m:r>
              </m:sup>
            </m:sSup>
            <m:r>
              <w:rPr>
                <w:rFonts w:ascii="Cambria Math" w:eastAsiaTheme="minorEastAsia" w:hAnsi="Verdana"/>
                <w:lang w:val="en-US"/>
              </w:rPr>
              <m:t>(</m:t>
            </m:r>
            <m:sSub>
              <m:sSubPr>
                <m:ctrlPr>
                  <w:rPr>
                    <w:rFonts w:ascii="Cambria Math" w:eastAsiaTheme="minorEastAsia" w:hAnsi="Verdana"/>
                    <w:i/>
                    <w:lang w:val="en-US"/>
                  </w:rPr>
                </m:ctrlPr>
              </m:sSubPr>
              <m:e>
                <m:r>
                  <w:rPr>
                    <w:rFonts w:ascii="Cambria Math" w:eastAsiaTheme="minorEastAsia" w:hAnsi="Verdana"/>
                    <w:lang w:val="en-US"/>
                  </w:rPr>
                  <m:t>r</m:t>
                </m:r>
              </m:e>
              <m:sub>
                <m:r>
                  <w:rPr>
                    <w:rFonts w:ascii="Cambria Math" w:eastAsiaTheme="minorEastAsia" w:hAnsi="Verdana"/>
                    <w:lang w:val="en-US"/>
                  </w:rPr>
                  <m:t>t</m:t>
                </m:r>
                <m:r>
                  <w:rPr>
                    <w:rFonts w:ascii="Verdana" w:eastAsiaTheme="minorEastAsia" w:hAnsi="Verdana"/>
                    <w:lang w:val="en-US"/>
                  </w:rPr>
                  <m:t>-</m:t>
                </m:r>
                <m:r>
                  <w:rPr>
                    <w:rFonts w:ascii="Cambria Math" w:eastAsiaTheme="minorEastAsia" w:hAnsi="Verdana"/>
                    <w:lang w:val="en-US"/>
                  </w:rPr>
                  <m:t>i</m:t>
                </m:r>
              </m:sub>
            </m:sSub>
          </m:e>
        </m:nary>
        <m:r>
          <w:rPr>
            <w:rFonts w:ascii="Verdana" w:eastAsiaTheme="minorEastAsia" w:hAnsi="Verdana"/>
            <w:lang w:val="en-US"/>
          </w:rPr>
          <m:t>-</m:t>
        </m:r>
        <m:r>
          <w:rPr>
            <w:rFonts w:ascii="Cambria Math" w:eastAsiaTheme="minorEastAsia" w:hAnsi="Verdana"/>
            <w:lang w:val="en-US"/>
          </w:rPr>
          <m:t xml:space="preserve"> </m:t>
        </m:r>
        <m:acc>
          <m:accPr>
            <m:chr m:val="̅"/>
            <m:ctrlPr>
              <w:rPr>
                <w:rFonts w:ascii="Cambria Math" w:eastAsiaTheme="minorEastAsia" w:hAnsi="Verdana"/>
                <w:i/>
                <w:lang w:val="en-US"/>
              </w:rPr>
            </m:ctrlPr>
          </m:accPr>
          <m:e>
            <m:r>
              <w:rPr>
                <w:rFonts w:ascii="Cambria Math" w:eastAsiaTheme="minorEastAsia" w:hAnsi="Verdana"/>
                <w:lang w:val="en-US"/>
              </w:rPr>
              <m:t>r</m:t>
            </m:r>
          </m:e>
        </m:acc>
        <m:r>
          <w:rPr>
            <w:rFonts w:ascii="Cambria Math" w:eastAsiaTheme="minorEastAsia" w:hAnsi="Verdana"/>
            <w:lang w:val="en-US"/>
          </w:rPr>
          <m:t>)</m:t>
        </m:r>
      </m:oMath>
      <w:r w:rsidR="00CD2FCC">
        <w:rPr>
          <w:rFonts w:ascii="Verdana" w:eastAsiaTheme="minorEastAsia" w:hAnsi="Verdana"/>
          <w:lang w:val="en-US"/>
        </w:rPr>
        <w:t xml:space="preserve">    </w:t>
      </w:r>
      <w:proofErr w:type="gramStart"/>
      <w:r w:rsidR="00783C8D">
        <w:rPr>
          <w:rFonts w:ascii="Verdana" w:eastAsiaTheme="minorEastAsia" w:hAnsi="Verdana"/>
          <w:lang w:val="en-US"/>
        </w:rPr>
        <w:t>with</w:t>
      </w:r>
      <w:proofErr w:type="gramEnd"/>
      <w:r w:rsidR="00783C8D">
        <w:rPr>
          <w:rFonts w:ascii="Verdana" w:eastAsiaTheme="minorEastAsia" w:hAnsi="Verdana"/>
          <w:lang w:val="en-US"/>
        </w:rPr>
        <w:t xml:space="preserve">  λ</w:t>
      </w:r>
      <w:r w:rsidR="00CD2FCC">
        <w:rPr>
          <w:rFonts w:ascii="Verdana" w:eastAsiaTheme="minorEastAsia" w:hAnsi="Verdana"/>
          <w:lang w:val="en-US"/>
        </w:rPr>
        <w:t xml:space="preserve"> (0 &lt; λ &lt; 1)</w:t>
      </w:r>
    </w:p>
    <w:p w:rsidR="00CD2FCC" w:rsidRDefault="00F85FEC" w:rsidP="00050DEE">
      <w:pPr>
        <w:jc w:val="both"/>
        <w:rPr>
          <w:rFonts w:ascii="Verdana" w:hAnsi="Verdana"/>
          <w:lang w:val="en-US"/>
        </w:rPr>
      </w:pPr>
      <w:r w:rsidRPr="00050DEE">
        <w:rPr>
          <w:rFonts w:ascii="Verdana" w:hAnsi="Verdana"/>
          <w:lang w:val="en-US"/>
        </w:rPr>
        <w:br/>
      </w:r>
      <w:proofErr w:type="gramStart"/>
      <w:r w:rsidRPr="00050DEE">
        <w:rPr>
          <w:rFonts w:ascii="Verdana" w:hAnsi="Verdana"/>
          <w:lang w:val="en-US"/>
        </w:rPr>
        <w:t>where</w:t>
      </w:r>
      <w:proofErr w:type="gramEnd"/>
      <w:r w:rsidRPr="00050DEE">
        <w:rPr>
          <w:rFonts w:ascii="Verdana" w:hAnsi="Verdana"/>
          <w:lang w:val="en-US"/>
        </w:rPr>
        <w:t xml:space="preserve"> </w:t>
      </w:r>
      <m:oMath>
        <m:sSubSup>
          <m:sSubSupPr>
            <m:ctrlPr>
              <w:rPr>
                <w:rFonts w:ascii="Cambria Math" w:hAnsi="Verdana"/>
                <w:lang w:val="en-US"/>
              </w:rPr>
            </m:ctrlPr>
          </m:sSubSupPr>
          <m:e>
            <m:r>
              <m:rPr>
                <m:sty m:val="p"/>
              </m:rPr>
              <w:rPr>
                <w:rFonts w:ascii="Cambria Math" w:hAnsi="Verdana"/>
                <w:lang w:val="en-US"/>
              </w:rPr>
              <m:t>σ</m:t>
            </m:r>
          </m:e>
          <m:sub>
            <m:r>
              <m:rPr>
                <m:sty m:val="p"/>
              </m:rPr>
              <w:rPr>
                <w:rFonts w:ascii="Cambria Math" w:hAnsi="Verdana"/>
                <w:lang w:val="en-US"/>
              </w:rPr>
              <m:t>t</m:t>
            </m:r>
          </m:sub>
          <m:sup>
            <m:r>
              <m:rPr>
                <m:sty m:val="p"/>
              </m:rPr>
              <w:rPr>
                <w:rFonts w:ascii="Cambria Math" w:hAnsi="Verdana"/>
                <w:lang w:val="en-US"/>
              </w:rPr>
              <m:t>2</m:t>
            </m:r>
          </m:sup>
        </m:sSubSup>
        <m:r>
          <m:rPr>
            <m:sty m:val="p"/>
          </m:rPr>
          <w:rPr>
            <w:rFonts w:ascii="Cambria Math" w:hAnsi="Verdana"/>
            <w:lang w:val="en-US"/>
          </w:rPr>
          <m:t xml:space="preserve"> </m:t>
        </m:r>
      </m:oMath>
      <w:r w:rsidRPr="00050DEE">
        <w:rPr>
          <w:rFonts w:ascii="Verdana" w:hAnsi="Verdana"/>
          <w:lang w:val="en-US"/>
        </w:rPr>
        <w:t>is the estimate of the variance for period t, which also becomes the forecast of future volatility for all periods,</w:t>
      </w:r>
      <w:r w:rsidRPr="00050DEE">
        <w:rPr>
          <w:rFonts w:ascii="Verdana" w:hAnsi="Verdana"/>
          <w:i/>
          <w:lang w:val="en-US"/>
        </w:rPr>
        <w:t xml:space="preserve"> </w:t>
      </w:r>
      <m:oMath>
        <m:acc>
          <m:accPr>
            <m:chr m:val="̅"/>
            <m:ctrlPr>
              <w:rPr>
                <w:rFonts w:ascii="Cambria Math" w:eastAsiaTheme="minorEastAsia" w:hAnsi="Verdana"/>
                <w:i/>
                <w:lang w:val="en-US"/>
              </w:rPr>
            </m:ctrlPr>
          </m:accPr>
          <m:e>
            <m:r>
              <w:rPr>
                <w:rFonts w:ascii="Cambria Math" w:eastAsiaTheme="minorEastAsia" w:hAnsi="Verdana"/>
                <w:lang w:val="en-US"/>
              </w:rPr>
              <m:t>r</m:t>
            </m:r>
          </m:e>
        </m:acc>
      </m:oMath>
      <w:r w:rsidRPr="00050DEE">
        <w:rPr>
          <w:rFonts w:ascii="Verdana" w:hAnsi="Verdana"/>
          <w:lang w:val="en-US"/>
        </w:rPr>
        <w:t xml:space="preserve"> is the average return estimated over the observations and </w:t>
      </w:r>
      <w:r w:rsidR="00050DEE">
        <w:rPr>
          <w:rFonts w:ascii="Verdana" w:hAnsi="Verdana"/>
          <w:lang w:val="en-US"/>
        </w:rPr>
        <w:t>λ is the ‘decay factor’</w:t>
      </w:r>
      <w:r w:rsidRPr="00050DEE">
        <w:rPr>
          <w:rFonts w:ascii="Verdana" w:hAnsi="Verdana"/>
          <w:lang w:val="en-US"/>
        </w:rPr>
        <w:t xml:space="preserve">, which determines how much weight is given to recent versus older observations. </w:t>
      </w:r>
    </w:p>
    <w:p w:rsidR="00CD2FCC" w:rsidRDefault="00CD2FCC" w:rsidP="00050DEE">
      <w:pPr>
        <w:jc w:val="both"/>
        <w:rPr>
          <w:rFonts w:ascii="Verdana" w:hAnsi="Verdana"/>
          <w:lang w:val="en-US"/>
        </w:rPr>
      </w:pPr>
    </w:p>
    <w:p w:rsidR="00CD2FCC" w:rsidRDefault="00CD2FCC" w:rsidP="00050DEE">
      <w:pPr>
        <w:jc w:val="both"/>
        <w:rPr>
          <w:rFonts w:ascii="Verdana" w:hAnsi="Verdana"/>
          <w:lang w:val="en-US"/>
        </w:rPr>
      </w:pPr>
      <w:r>
        <w:rPr>
          <w:rFonts w:ascii="Verdana" w:hAnsi="Verdana"/>
          <w:lang w:val="en-US"/>
        </w:rPr>
        <w:t>b)</w:t>
      </w:r>
    </w:p>
    <w:p w:rsidR="00F85FEC" w:rsidRDefault="00F85FEC" w:rsidP="00050DEE">
      <w:pPr>
        <w:jc w:val="both"/>
        <w:rPr>
          <w:rFonts w:ascii="Verdana" w:hAnsi="Verdana"/>
          <w:lang w:val="en-US"/>
        </w:rPr>
      </w:pPr>
      <w:r w:rsidRPr="00050DEE">
        <w:rPr>
          <w:rFonts w:ascii="Verdana" w:hAnsi="Verdana"/>
          <w:lang w:val="en-US"/>
        </w:rPr>
        <w:t xml:space="preserve">The decay factor could be estimated, but in many studies is set at 0.94 as recommended by </w:t>
      </w:r>
      <w:proofErr w:type="spellStart"/>
      <w:r w:rsidRPr="00050DEE">
        <w:rPr>
          <w:rFonts w:ascii="Verdana" w:hAnsi="Verdana"/>
          <w:lang w:val="en-US"/>
        </w:rPr>
        <w:t>RiskMetrics</w:t>
      </w:r>
      <w:proofErr w:type="spellEnd"/>
      <w:r w:rsidRPr="00050DEE">
        <w:rPr>
          <w:rFonts w:ascii="Verdana" w:hAnsi="Verdana"/>
          <w:lang w:val="en-US"/>
        </w:rPr>
        <w:t xml:space="preserve">, producers of popular risk measurement software. </w:t>
      </w:r>
    </w:p>
    <w:p w:rsidR="00CD2FCC" w:rsidRDefault="00CD2FCC" w:rsidP="00CD2FCC">
      <w:pPr>
        <w:jc w:val="center"/>
        <w:rPr>
          <w:rFonts w:ascii="Verdana" w:eastAsiaTheme="minorEastAsia" w:hAnsi="Verdana"/>
        </w:rPr>
      </w:pPr>
      <w:r>
        <w:rPr>
          <w:rFonts w:ascii="Verdana" w:hAnsi="Verdana"/>
          <w:lang w:val="en-US"/>
        </w:rPr>
        <w:t xml:space="preserve">m = </w:t>
      </w:r>
      <m:oMath>
        <m:f>
          <m:fPr>
            <m:ctrlPr>
              <w:rPr>
                <w:rFonts w:ascii="Cambria Math" w:hAnsi="Cambria Math"/>
                <w:i/>
              </w:rPr>
            </m:ctrlPr>
          </m:fPr>
          <m:num>
            <m:r>
              <m:rPr>
                <m:sty m:val="p"/>
              </m:rPr>
              <w:rPr>
                <w:rFonts w:ascii="Cambria Math" w:hAnsi="Cambria Math"/>
              </w:rPr>
              <m:t>ln⁡</m:t>
            </m:r>
            <m:r>
              <w:rPr>
                <w:rFonts w:ascii="Cambria Math" w:hAnsi="Cambria Math"/>
              </w:rPr>
              <m:t>(2)</m:t>
            </m:r>
          </m:num>
          <m:den>
            <m:r>
              <m:rPr>
                <m:sty m:val="p"/>
              </m:rPr>
              <w:rPr>
                <w:rFonts w:ascii="Cambria Math" w:hAnsi="Cambria Math"/>
              </w:rPr>
              <m:t>ln⁡</m:t>
            </m:r>
            <m:r>
              <w:rPr>
                <w:rFonts w:ascii="Cambria Math" w:hAnsi="Cambria Math"/>
              </w:rPr>
              <m:t>(λ)</m:t>
            </m:r>
          </m:den>
        </m:f>
      </m:oMath>
      <w:r>
        <w:rPr>
          <w:rFonts w:ascii="Verdana" w:eastAsiaTheme="minorEastAsia" w:hAnsi="Verdana"/>
        </w:rPr>
        <w:t xml:space="preserve">    </w:t>
      </w:r>
      <w:r w:rsidR="00783C8D">
        <w:rPr>
          <w:rFonts w:ascii="Verdana" w:eastAsiaTheme="minorEastAsia" w:hAnsi="Verdana"/>
        </w:rPr>
        <w:t>or  λ</w:t>
      </w:r>
      <w:r>
        <w:rPr>
          <w:rFonts w:ascii="Verdana" w:eastAsiaTheme="minorEastAsia" w:hAnsi="Verdana"/>
        </w:rPr>
        <w:t xml:space="preserve"> = </w:t>
      </w:r>
      <m:oMath>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(2)</m:t>
                </m:r>
              </m:num>
              <m:den>
                <m:r>
                  <w:rPr>
                    <w:rFonts w:ascii="Cambria Math" w:eastAsiaTheme="minorEastAsia" w:hAnsi="Cambria Math"/>
                  </w:rPr>
                  <m:t>m</m:t>
                </m:r>
              </m:den>
            </m:f>
          </m:sup>
        </m:sSup>
      </m:oMath>
    </w:p>
    <w:p w:rsidR="00A66C32" w:rsidRPr="00050DEE" w:rsidRDefault="00783C8D" w:rsidP="00783C8D">
      <w:pPr>
        <w:rPr>
          <w:rFonts w:ascii="Verdana" w:hAnsi="Verdana"/>
        </w:rPr>
      </w:pPr>
      <w:r>
        <w:rPr>
          <w:rFonts w:ascii="Verdana" w:hAnsi="Verdana"/>
        </w:rPr>
        <w:t xml:space="preserve">If we change λ from 95% to 85% with will </w:t>
      </w:r>
      <w:proofErr w:type="gramStart"/>
      <w:r>
        <w:rPr>
          <w:rFonts w:ascii="Verdana" w:hAnsi="Verdana"/>
        </w:rPr>
        <w:t>effect</w:t>
      </w:r>
      <w:proofErr w:type="gramEnd"/>
      <w:r>
        <w:rPr>
          <w:rFonts w:ascii="Verdana" w:hAnsi="Verdana"/>
        </w:rPr>
        <w:t xml:space="preserve"> m, how many days are relevant. For e.g. </w:t>
      </w:r>
      <w:r>
        <w:rPr>
          <w:rFonts w:ascii="Verdana" w:eastAsiaTheme="minorEastAsia" w:hAnsi="Verdana"/>
        </w:rPr>
        <w:t>λ</w:t>
      </w:r>
      <w:r w:rsidR="00162A68">
        <w:rPr>
          <w:rFonts w:ascii="Verdana" w:eastAsiaTheme="minorEastAsia" w:hAnsi="Verdana"/>
        </w:rPr>
        <w:t xml:space="preserve"> = 95% then</w:t>
      </w:r>
      <w:r>
        <w:rPr>
          <w:rFonts w:ascii="Verdana" w:eastAsiaTheme="minorEastAsia" w:hAnsi="Verdana"/>
        </w:rPr>
        <w:t xml:space="preserve"> m =</w:t>
      </w:r>
      <w:r w:rsidR="00B15393">
        <w:rPr>
          <w:rFonts w:ascii="Verdana" w:eastAsiaTheme="minorEastAsia" w:hAnsi="Verdana"/>
        </w:rPr>
        <w:t xml:space="preserve"> 13 days, and λ = 8</w:t>
      </w:r>
      <w:r w:rsidR="00162A68">
        <w:rPr>
          <w:rFonts w:ascii="Verdana" w:eastAsiaTheme="minorEastAsia" w:hAnsi="Verdana"/>
        </w:rPr>
        <w:t>5% then</w:t>
      </w:r>
      <w:r w:rsidR="00B15393">
        <w:rPr>
          <w:rFonts w:ascii="Verdana" w:eastAsiaTheme="minorEastAsia" w:hAnsi="Verdana"/>
        </w:rPr>
        <w:t xml:space="preserve"> m = 4 days</w:t>
      </w:r>
      <w:r w:rsidR="00162A68">
        <w:rPr>
          <w:rFonts w:ascii="Verdana" w:eastAsiaTheme="minorEastAsia" w:hAnsi="Verdana"/>
        </w:rPr>
        <w:t>.</w:t>
      </w:r>
      <w:r w:rsidR="00B15393">
        <w:rPr>
          <w:rFonts w:ascii="Verdana" w:eastAsiaTheme="minorEastAsia" w:hAnsi="Verdana"/>
        </w:rPr>
        <w:t xml:space="preserve"> </w:t>
      </w:r>
    </w:p>
    <w:sectPr w:rsidR="00A66C32" w:rsidRPr="00050DEE" w:rsidSect="00783C8D">
      <w:pgSz w:w="11906" w:h="16838"/>
      <w:pgMar w:top="1440" w:right="1274"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20B7B"/>
    <w:rsid w:val="00050DEE"/>
    <w:rsid w:val="00162A68"/>
    <w:rsid w:val="001F5444"/>
    <w:rsid w:val="003A7BD9"/>
    <w:rsid w:val="00437EA6"/>
    <w:rsid w:val="00783C8D"/>
    <w:rsid w:val="00A66C32"/>
    <w:rsid w:val="00B15393"/>
    <w:rsid w:val="00C20B7B"/>
    <w:rsid w:val="00CD2FCC"/>
    <w:rsid w:val="00F85FE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B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5FEC"/>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BalloonText">
    <w:name w:val="Balloon Text"/>
    <w:basedOn w:val="Normal"/>
    <w:link w:val="BalloonTextChar"/>
    <w:uiPriority w:val="99"/>
    <w:semiHidden/>
    <w:unhideWhenUsed/>
    <w:rsid w:val="00437E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EA6"/>
    <w:rPr>
      <w:rFonts w:ascii="Tahoma" w:hAnsi="Tahoma" w:cs="Tahoma"/>
      <w:sz w:val="16"/>
      <w:szCs w:val="16"/>
    </w:rPr>
  </w:style>
  <w:style w:type="character" w:styleId="PlaceholderText">
    <w:name w:val="Placeholder Text"/>
    <w:basedOn w:val="DefaultParagraphFont"/>
    <w:uiPriority w:val="99"/>
    <w:semiHidden/>
    <w:rsid w:val="00437EA6"/>
    <w:rPr>
      <w:color w:val="808080"/>
    </w:rPr>
  </w:style>
</w:styles>
</file>

<file path=word/webSettings.xml><?xml version="1.0" encoding="utf-8"?>
<w:webSettings xmlns:r="http://schemas.openxmlformats.org/officeDocument/2006/relationships" xmlns:w="http://schemas.openxmlformats.org/wordprocessingml/2006/main">
  <w:divs>
    <w:div w:id="70884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plamen</dc:creator>
  <cp:lastModifiedBy>plamen</cp:lastModifiedBy>
  <cp:revision>3</cp:revision>
  <cp:lastPrinted>2009-03-05T13:53:00Z</cp:lastPrinted>
  <dcterms:created xsi:type="dcterms:W3CDTF">2009-03-05T12:40:00Z</dcterms:created>
  <dcterms:modified xsi:type="dcterms:W3CDTF">2009-03-05T13:58:00Z</dcterms:modified>
</cp:coreProperties>
</file>