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Work Permit Agreement for Italy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PARTIES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GB"/>
        </w:rPr>
        <w:t>1</w:t>
      </w: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 xml:space="preserve">st  Party: 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>Whose Passport No is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>2nd Party: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>Whose Passport No is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 xml:space="preserve">This Work Permit agreement for italy  is entered into on 01/01/2024- , 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>By and between 1st Party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 xml:space="preserve">And 2nd Party: 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singl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superscript"/>
          <w:lang w:val="en-GB"/>
        </w:rPr>
        <w:t>Consideration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  <w:t xml:space="preserve"> The  Parties agree that the 1st Party will provide the services attached hereunder, Whereas the client will in return provide compensation for such services and expertise.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32"/>
          <w:szCs w:val="32"/>
          <w:u w:val="none"/>
          <w:vertAlign w:val="superscrip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F549C"/>
    <w:rsid w:val="481F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2023-12-14T05:32:00Z</dcterms:created>
  <dc:creator>IT PRO</dc:creator>
  <cp:lastModifiedBy>IT PRO</cp:lastModifiedBy>
  <dcterms:modified xsi:type="dcterms:W3CDTF">2023-12-14T08:18:34Z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74B159963EC44CF1AE327B95C6F0195D_11</vt:lpwstr>
  </property>
</Properties>
</file>