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Country Macro Socio-Economic Performance Index</w:t>
      </w:r>
    </w:p>
    <w:p>
      <w:pPr>
        <w:spacing w:after="40"/>
      </w:pPr>
      <w:r>
        <w:rPr>
          <w:rFonts w:ascii="Calibri" w:cs="Calibri" w:eastAsia="Calibri" w:hAnsi="Calibri"/>
          <w:color w:val="595959"/>
          <w:sz w:val="26"/>
          <w:szCs w:val="26"/>
        </w:rPr>
        <w:t xml:space="preserve">Indicator Specification</w:t>
      </w:r>
    </w:p>
    <w:p>
      <w:pPr>
        <w:pBdr>
          <w:bottom w:val="single" w:color="1F4E79" w:sz="12" w:space="6"/>
        </w:pBdr>
        <w:spacing w:after="240"/>
      </w:pPr>
      <w:r>
        <w:rPr>
          <w:rFonts w:ascii="Calibri" w:cs="Calibri" w:eastAsia="Calibri" w:hAnsi="Calibri"/>
          <w:i/>
          <w:iCs/>
          <w:color w:val="595959"/>
          <w:sz w:val="20"/>
          <w:szCs w:val="20"/>
        </w:rPr>
        <w:t xml:space="preserve">Index version 1.0</w:t>
      </w:r>
    </w:p>
    <w:p>
      <w:pPr>
        <w:pStyle w:val="Heading2"/>
        <w:spacing w:after="120" w:before="280"/>
      </w:pPr>
      <w:r>
        <w:rPr>
          <w:rFonts w:ascii="Calibri" w:cs="Calibri" w:eastAsia="Calibri" w:hAnsi="Calibri"/>
          <w:b/>
          <w:bCs/>
          <w:color w:val="1F4E79"/>
          <w:sz w:val="24"/>
          <w:szCs w:val="24"/>
        </w:rPr>
        <w:t xml:space="preserve">Composite formula</w:t>
      </w:r>
    </w:p>
    <w:p>
      <w:pPr>
        <w:shd w:fill="F2F2F2" w:val="clear"/>
        <w:spacing w:after="0" w:before="100"/>
        <w:ind w:left="180" w:right="180"/>
      </w:pPr>
      <w:r>
        <w:rPr>
          <w:rFonts w:ascii="Consolas" w:cs="Consolas" w:eastAsia="Consolas" w:hAnsi="Consolas"/>
          <w:sz w:val="17"/>
          <w:szCs w:val="17"/>
        </w:rPr>
        <w:t xml:space="preserve">Composite Index (0-100) =</w:t>
      </w:r>
    </w:p>
    <w:p>
      <w:pPr>
        <w:shd w:fill="F2F2F2" w:val="clear"/>
        <w:spacing w:after="0" w:before="0"/>
        <w:ind w:left="180" w:right="180"/>
      </w:pPr>
      <w:r>
        <w:rPr>
          <w:rFonts w:ascii="Consolas" w:cs="Consolas" w:eastAsia="Consolas" w:hAnsi="Consolas"/>
          <w:sz w:val="17"/>
          <w:szCs w:val="17"/>
        </w:rPr>
        <w:t xml:space="preserve">    100 x ( 0.25 x norm_income</w:t>
      </w:r>
    </w:p>
    <w:p>
      <w:pPr>
        <w:shd w:fill="F2F2F2" w:val="clear"/>
        <w:spacing w:after="0" w:before="0"/>
        <w:ind w:left="180" w:right="180"/>
      </w:pPr>
      <w:r>
        <w:rPr>
          <w:rFonts w:ascii="Consolas" w:cs="Consolas" w:eastAsia="Consolas" w:hAnsi="Consolas"/>
          <w:sz w:val="17"/>
          <w:szCs w:val="17"/>
        </w:rPr>
        <w:t xml:space="preserve">          + 0.25 x norm_fragility</w:t>
      </w:r>
    </w:p>
    <w:p>
      <w:pPr>
        <w:shd w:fill="F2F2F2" w:val="clear"/>
        <w:spacing w:after="0" w:before="0"/>
        <w:ind w:left="180" w:right="180"/>
      </w:pPr>
      <w:r>
        <w:rPr>
          <w:rFonts w:ascii="Consolas" w:cs="Consolas" w:eastAsia="Consolas" w:hAnsi="Consolas"/>
          <w:sz w:val="17"/>
          <w:szCs w:val="17"/>
        </w:rPr>
        <w:t xml:space="preserve">          + 0.25 x norm_debt_risk</w:t>
      </w:r>
    </w:p>
    <w:p>
      <w:pPr>
        <w:shd w:fill="F2F2F2" w:val="clear"/>
        <w:spacing w:after="160" w:before="0"/>
        <w:ind w:left="180" w:right="180"/>
      </w:pPr>
      <w:r>
        <w:rPr>
          <w:rFonts w:ascii="Consolas" w:cs="Consolas" w:eastAsia="Consolas" w:hAnsi="Consolas"/>
          <w:sz w:val="17"/>
          <w:szCs w:val="17"/>
        </w:rPr>
        <w:t xml:space="preserve">          + 0.25 x norm_nonconcessional )</w:t>
      </w:r>
    </w:p>
    <w:p>
      <w:pPr>
        <w:spacing w:after="120"/>
      </w:pPr>
      <w:r>
        <w:rPr>
          <w:rFonts w:ascii="Calibri" w:cs="Calibri" w:eastAsia="Calibri" w:hAnsi="Calibri"/>
          <w:sz w:val="20"/>
          <w:szCs w:val="20"/>
        </w:rPr>
        <w:t xml:space="preserve">Equal weighting, 25% per indicator. All components are oriented so higher = better before weighting.</w:t>
      </w:r>
    </w:p>
    <w:p>
      <w:pPr>
        <w:pStyle w:val="Heading2"/>
        <w:spacing w:after="120" w:before="280"/>
      </w:pPr>
      <w:r>
        <w:rPr>
          <w:rFonts w:ascii="Calibri" w:cs="Calibri" w:eastAsia="Calibri" w:hAnsi="Calibri"/>
          <w:b/>
          <w:bCs/>
          <w:color w:val="1F4E79"/>
          <w:sz w:val="24"/>
          <w:szCs w:val="24"/>
        </w:rPr>
        <w:t xml:space="preserve">Scope</w:t>
      </w:r>
    </w:p>
    <w:p>
      <w:pPr>
        <w:spacing w:after="120"/>
      </w:pPr>
      <w:r>
        <w:rPr>
          <w:rFonts w:ascii="Calibri" w:cs="Calibri" w:eastAsia="Calibri" w:hAnsi="Calibri"/>
          <w:sz w:val="20"/>
          <w:szCs w:val="20"/>
        </w:rPr>
        <w:t xml:space="preserve">The index covers countries in the World Bank's International Debt Statistics (IDS) - roughly 120 low- and middle-income economies (119 plus Guyana at the most recent release). Two of the four components (debt distress proxy, non-concessional debt) are IDS series that do not exist outside that coverage, and the LIC-DSF thresholds and grant-element concessionality the index is built on do not meaningfully apply to high-income economies.</w:t>
      </w:r>
    </w:p>
    <w:p>
      <w:pPr>
        <w:spacing w:after="120"/>
      </w:pPr>
      <w:r>
        <w:rPr>
          <w:rFonts w:ascii="Calibri" w:cs="Calibri" w:eastAsia="Calibri" w:hAnsi="Calibri"/>
          <w:sz w:val="20"/>
          <w:szCs w:val="20"/>
        </w:rPr>
        <w:t xml:space="preserve">Scope is resolved live from the country metadata endpoint, so graduations are picked up automatically:</w:t>
      </w:r>
    </w:p>
    <w:p>
      <w:pPr>
        <w:shd w:fill="F2F2F2" w:val="clear"/>
        <w:spacing w:after="0" w:before="100"/>
        <w:ind w:left="180" w:right="180"/>
      </w:pPr>
      <w:r>
        <w:rPr>
          <w:rFonts w:ascii="Consolas" w:cs="Consolas" w:eastAsia="Consolas" w:hAnsi="Consolas"/>
          <w:sz w:val="17"/>
          <w:szCs w:val="17"/>
        </w:rPr>
        <w:t xml:space="preserve">GET https://api.worldbank.org/v2/country/{iso3}?format=json</w:t>
      </w:r>
    </w:p>
    <w:p>
      <w:pPr>
        <w:shd w:fill="F2F2F2" w:val="clear"/>
        <w:spacing w:after="160" w:before="0"/>
        <w:ind w:left="180" w:right="180"/>
      </w:pPr>
      <w:r>
        <w:rPr>
          <w:rFonts w:ascii="Consolas" w:cs="Consolas" w:eastAsia="Consolas" w:hAnsi="Consolas"/>
          <w:sz w:val="17"/>
          <w:szCs w:val="17"/>
        </w:rPr>
        <w:t xml:space="preserve">    -&gt; lendingType.id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680"/>
        <w:gridCol w:w="2800"/>
      </w:tblGrid>
      <w:tr>
        <w:trPr>
          <w:tblHeader/>
        </w:trPr>
        <w:tc>
          <w:tcPr>
            <w:tcW w:type="dxa" w:w="2600"/>
            <w:shd w:fill="DCE6F1" w:val="clear"/>
            <w:tcMar>
              <w:top w:type="dxa" w:w="80"/>
              <w:left w:type="dxa" w:w="120"/>
              <w:bottom w:type="dxa" w:w="80"/>
              <w:right w:type="dxa" w:w="120"/>
            </w:tcMar>
          </w:tcPr>
          <w:p>
            <w:r>
              <w:rPr>
                <w:rFonts w:ascii="Calibri" w:cs="Calibri" w:eastAsia="Calibri" w:hAnsi="Calibri"/>
                <w:b/>
                <w:bCs/>
                <w:sz w:val="19"/>
                <w:szCs w:val="19"/>
              </w:rPr>
              <w:t xml:space="preserve">lendingType.id</w:t>
            </w:r>
          </w:p>
        </w:tc>
        <w:tc>
          <w:tcPr>
            <w:tcW w:type="dxa" w:w="4680"/>
            <w:shd w:fill="DCE6F1" w:val="clear"/>
            <w:tcMar>
              <w:top w:type="dxa" w:w="80"/>
              <w:left w:type="dxa" w:w="120"/>
              <w:bottom w:type="dxa" w:w="80"/>
              <w:right w:type="dxa" w:w="120"/>
            </w:tcMar>
          </w:tcPr>
          <w:p>
            <w:r>
              <w:rPr>
                <w:rFonts w:ascii="Calibri" w:cs="Calibri" w:eastAsia="Calibri" w:hAnsi="Calibri"/>
                <w:b/>
                <w:bCs/>
                <w:sz w:val="19"/>
                <w:szCs w:val="19"/>
              </w:rPr>
              <w:t xml:space="preserve">Meaning</w:t>
            </w:r>
          </w:p>
        </w:tc>
        <w:tc>
          <w:tcPr>
            <w:tcW w:type="dxa" w:w="2800"/>
            <w:shd w:fill="DCE6F1" w:val="clear"/>
            <w:tcMar>
              <w:top w:type="dxa" w:w="80"/>
              <w:left w:type="dxa" w:w="120"/>
              <w:bottom w:type="dxa" w:w="80"/>
              <w:right w:type="dxa" w:w="120"/>
            </w:tcMar>
          </w:tcPr>
          <w:p>
            <w:r>
              <w:rPr>
                <w:rFonts w:ascii="Calibri" w:cs="Calibri" w:eastAsia="Calibri" w:hAnsi="Calibri"/>
                <w:b/>
                <w:bCs/>
                <w:sz w:val="19"/>
                <w:szCs w:val="19"/>
              </w:rPr>
              <w:t xml:space="preserve">In scope</w:t>
            </w:r>
          </w:p>
        </w:tc>
      </w:tr>
      <w:tr>
        <w:tc>
          <w:tcPr>
            <w:tcW w:type="dxa" w:w="2600"/>
            <w:tcMar>
              <w:top w:type="dxa" w:w="80"/>
              <w:left w:type="dxa" w:w="120"/>
              <w:bottom w:type="dxa" w:w="80"/>
              <w:right w:type="dxa" w:w="120"/>
            </w:tcMar>
          </w:tcPr>
          <w:p>
            <w:pPr>
              <w:spacing w:after="0"/>
            </w:pPr>
            <w:r>
              <w:rPr>
                <w:rFonts w:ascii="Consolas" w:cs="Consolas" w:eastAsia="Consolas" w:hAnsi="Consolas"/>
                <w:sz w:val="18"/>
                <w:szCs w:val="18"/>
              </w:rPr>
              <w:t xml:space="preserve">IBD</w:t>
            </w:r>
          </w:p>
        </w:tc>
        <w:tc>
          <w:tcPr>
            <w:tcW w:type="dxa" w:w="4680"/>
            <w:tcMar>
              <w:top w:type="dxa" w:w="80"/>
              <w:left w:type="dxa" w:w="120"/>
              <w:bottom w:type="dxa" w:w="80"/>
              <w:right w:type="dxa" w:w="120"/>
            </w:tcMar>
          </w:tcPr>
          <w:p>
            <w:r>
              <w:rPr>
                <w:rFonts w:ascii="Calibri" w:cs="Calibri" w:eastAsia="Calibri" w:hAnsi="Calibri"/>
                <w:sz w:val="19"/>
                <w:szCs w:val="19"/>
              </w:rPr>
              <w:t xml:space="preserve">IBRD</w:t>
            </w:r>
          </w:p>
        </w:tc>
        <w:tc>
          <w:tcPr>
            <w:tcW w:type="dxa" w:w="2800"/>
            <w:tcMar>
              <w:top w:type="dxa" w:w="80"/>
              <w:left w:type="dxa" w:w="120"/>
              <w:bottom w:type="dxa" w:w="80"/>
              <w:right w:type="dxa" w:w="120"/>
            </w:tcMar>
          </w:tcPr>
          <w:p>
            <w:r>
              <w:rPr>
                <w:rFonts w:ascii="Calibri" w:cs="Calibri" w:eastAsia="Calibri" w:hAnsi="Calibri"/>
                <w:sz w:val="19"/>
                <w:szCs w:val="19"/>
              </w:rPr>
              <w:t xml:space="preserve">Yes</w:t>
            </w:r>
          </w:p>
        </w:tc>
      </w:tr>
      <w:tr>
        <w:tc>
          <w:tcPr>
            <w:tcW w:type="dxa" w:w="2600"/>
            <w:tcMar>
              <w:top w:type="dxa" w:w="80"/>
              <w:left w:type="dxa" w:w="120"/>
              <w:bottom w:type="dxa" w:w="80"/>
              <w:right w:type="dxa" w:w="120"/>
            </w:tcMar>
          </w:tcPr>
          <w:p>
            <w:pPr>
              <w:spacing w:after="0"/>
            </w:pPr>
            <w:r>
              <w:rPr>
                <w:rFonts w:ascii="Consolas" w:cs="Consolas" w:eastAsia="Consolas" w:hAnsi="Consolas"/>
                <w:sz w:val="18"/>
                <w:szCs w:val="18"/>
              </w:rPr>
              <w:t xml:space="preserve">IDB</w:t>
            </w:r>
          </w:p>
        </w:tc>
        <w:tc>
          <w:tcPr>
            <w:tcW w:type="dxa" w:w="4680"/>
            <w:tcMar>
              <w:top w:type="dxa" w:w="80"/>
              <w:left w:type="dxa" w:w="120"/>
              <w:bottom w:type="dxa" w:w="80"/>
              <w:right w:type="dxa" w:w="120"/>
            </w:tcMar>
          </w:tcPr>
          <w:p>
            <w:r>
              <w:rPr>
                <w:rFonts w:ascii="Calibri" w:cs="Calibri" w:eastAsia="Calibri" w:hAnsi="Calibri"/>
                <w:sz w:val="19"/>
                <w:szCs w:val="19"/>
              </w:rPr>
              <w:t xml:space="preserve">Blend</w:t>
            </w:r>
          </w:p>
        </w:tc>
        <w:tc>
          <w:tcPr>
            <w:tcW w:type="dxa" w:w="2800"/>
            <w:tcMar>
              <w:top w:type="dxa" w:w="80"/>
              <w:left w:type="dxa" w:w="120"/>
              <w:bottom w:type="dxa" w:w="80"/>
              <w:right w:type="dxa" w:w="120"/>
            </w:tcMar>
          </w:tcPr>
          <w:p>
            <w:r>
              <w:rPr>
                <w:rFonts w:ascii="Calibri" w:cs="Calibri" w:eastAsia="Calibri" w:hAnsi="Calibri"/>
                <w:sz w:val="19"/>
                <w:szCs w:val="19"/>
              </w:rPr>
              <w:t xml:space="preserve">Yes</w:t>
            </w:r>
          </w:p>
        </w:tc>
      </w:tr>
      <w:tr>
        <w:tc>
          <w:tcPr>
            <w:tcW w:type="dxa" w:w="2600"/>
            <w:tcMar>
              <w:top w:type="dxa" w:w="80"/>
              <w:left w:type="dxa" w:w="120"/>
              <w:bottom w:type="dxa" w:w="80"/>
              <w:right w:type="dxa" w:w="120"/>
            </w:tcMar>
          </w:tcPr>
          <w:p>
            <w:pPr>
              <w:spacing w:after="0"/>
            </w:pPr>
            <w:r>
              <w:rPr>
                <w:rFonts w:ascii="Consolas" w:cs="Consolas" w:eastAsia="Consolas" w:hAnsi="Consolas"/>
                <w:sz w:val="18"/>
                <w:szCs w:val="18"/>
              </w:rPr>
              <w:t xml:space="preserve">IDX</w:t>
            </w:r>
          </w:p>
        </w:tc>
        <w:tc>
          <w:tcPr>
            <w:tcW w:type="dxa" w:w="4680"/>
            <w:tcMar>
              <w:top w:type="dxa" w:w="80"/>
              <w:left w:type="dxa" w:w="120"/>
              <w:bottom w:type="dxa" w:w="80"/>
              <w:right w:type="dxa" w:w="120"/>
            </w:tcMar>
          </w:tcPr>
          <w:p>
            <w:r>
              <w:rPr>
                <w:rFonts w:ascii="Calibri" w:cs="Calibri" w:eastAsia="Calibri" w:hAnsi="Calibri"/>
                <w:sz w:val="19"/>
                <w:szCs w:val="19"/>
              </w:rPr>
              <w:t xml:space="preserve">IDA</w:t>
            </w:r>
          </w:p>
        </w:tc>
        <w:tc>
          <w:tcPr>
            <w:tcW w:type="dxa" w:w="2800"/>
            <w:tcMar>
              <w:top w:type="dxa" w:w="80"/>
              <w:left w:type="dxa" w:w="120"/>
              <w:bottom w:type="dxa" w:w="80"/>
              <w:right w:type="dxa" w:w="120"/>
            </w:tcMar>
          </w:tcPr>
          <w:p>
            <w:r>
              <w:rPr>
                <w:rFonts w:ascii="Calibri" w:cs="Calibri" w:eastAsia="Calibri" w:hAnsi="Calibri"/>
                <w:sz w:val="19"/>
                <w:szCs w:val="19"/>
              </w:rPr>
              <w:t xml:space="preserve">Yes</w:t>
            </w:r>
          </w:p>
        </w:tc>
      </w:tr>
      <w:tr>
        <w:tc>
          <w:tcPr>
            <w:tcW w:type="dxa" w:w="2600"/>
            <w:tcMar>
              <w:top w:type="dxa" w:w="80"/>
              <w:left w:type="dxa" w:w="120"/>
              <w:bottom w:type="dxa" w:w="80"/>
              <w:right w:type="dxa" w:w="120"/>
            </w:tcMar>
          </w:tcPr>
          <w:p>
            <w:pPr>
              <w:spacing w:after="0"/>
            </w:pPr>
            <w:r>
              <w:rPr>
                <w:rFonts w:ascii="Consolas" w:cs="Consolas" w:eastAsia="Consolas" w:hAnsi="Consolas"/>
                <w:sz w:val="18"/>
                <w:szCs w:val="18"/>
              </w:rPr>
              <w:t xml:space="preserve">LNX</w:t>
            </w:r>
          </w:p>
        </w:tc>
        <w:tc>
          <w:tcPr>
            <w:tcW w:type="dxa" w:w="4680"/>
            <w:tcMar>
              <w:top w:type="dxa" w:w="80"/>
              <w:left w:type="dxa" w:w="120"/>
              <w:bottom w:type="dxa" w:w="80"/>
              <w:right w:type="dxa" w:w="120"/>
            </w:tcMar>
          </w:tcPr>
          <w:p>
            <w:r>
              <w:rPr>
                <w:rFonts w:ascii="Calibri" w:cs="Calibri" w:eastAsia="Calibri" w:hAnsi="Calibri"/>
                <w:sz w:val="19"/>
                <w:szCs w:val="19"/>
              </w:rPr>
              <w:t xml:space="preserve">Not classified</w:t>
            </w:r>
          </w:p>
        </w:tc>
        <w:tc>
          <w:tcPr>
            <w:tcW w:type="dxa" w:w="2800"/>
            <w:tcMar>
              <w:top w:type="dxa" w:w="80"/>
              <w:left w:type="dxa" w:w="120"/>
              <w:bottom w:type="dxa" w:w="80"/>
              <w:right w:type="dxa" w:w="120"/>
            </w:tcMar>
          </w:tcPr>
          <w:p>
            <w:r>
              <w:rPr>
                <w:rFonts w:ascii="Calibri" w:cs="Calibri" w:eastAsia="Calibri" w:hAnsi="Calibri"/>
                <w:sz w:val="19"/>
                <w:szCs w:val="19"/>
              </w:rPr>
              <w:t xml:space="preserve">No</w:t>
            </w:r>
          </w:p>
        </w:tc>
      </w:tr>
    </w:tbl>
    <w:p>
      <w:pPr>
        <w:spacing w:after="100"/>
      </w:pPr>
    </w:p>
    <w:p>
      <w:pPr>
        <w:spacing w:after="120"/>
      </w:pPr>
      <w:r>
        <w:rPr>
          <w:rFonts w:ascii="Calibri" w:cs="Calibri" w:eastAsia="Calibri" w:hAnsi="Calibri"/>
          <w:b/>
          <w:bCs/>
          <w:i/>
          <w:iCs/>
          <w:sz w:val="20"/>
          <w:szCs w:val="20"/>
        </w:rPr>
        <w:t xml:space="preserve">Caveat: </w:t>
      </w:r>
      <w:r>
        <w:rPr>
          <w:rFonts w:ascii="Consolas" w:cs="Consolas" w:eastAsia="Consolas" w:hAnsi="Consolas"/>
          <w:sz w:val="18"/>
          <w:szCs w:val="18"/>
        </w:rPr>
        <w:t xml:space="preserve">lendingType</w:t>
      </w:r>
      <w:r>
        <w:rPr>
          <w:rFonts w:ascii="Calibri" w:cs="Calibri" w:eastAsia="Calibri" w:hAnsi="Calibri"/>
          <w:sz w:val="20"/>
          <w:szCs w:val="20"/>
        </w:rPr>
        <w:t xml:space="preserve"> approximates DRS reporting but is not identical to it. Recently graduated countries may still report for a period, and Guyana is a documented high-income exception that remains in IDS. Any country flagged </w:t>
      </w:r>
      <w:r>
        <w:rPr>
          <w:rFonts w:ascii="Consolas" w:cs="Consolas" w:eastAsia="Consolas" w:hAnsi="Consolas"/>
          <w:sz w:val="18"/>
          <w:szCs w:val="18"/>
        </w:rPr>
        <w:t xml:space="preserve">out_of_scope</w:t>
      </w:r>
      <w:r>
        <w:rPr>
          <w:rFonts w:ascii="Calibri" w:cs="Calibri" w:eastAsia="Calibri" w:hAnsi="Calibri"/>
          <w:sz w:val="20"/>
          <w:szCs w:val="20"/>
        </w:rPr>
        <w:t xml:space="preserve"> that unexpectedly returns debt data is worth reviewing.</w:t>
      </w:r>
    </w:p>
    <w:p>
      <w:pPr>
        <w:pStyle w:val="Heading2"/>
        <w:spacing w:after="120" w:before="280"/>
      </w:pPr>
      <w:r>
        <w:rPr>
          <w:rFonts w:ascii="Calibri" w:cs="Calibri" w:eastAsia="Calibri" w:hAnsi="Calibri"/>
          <w:b/>
          <w:bCs/>
          <w:color w:val="1F4E79"/>
          <w:sz w:val="24"/>
          <w:szCs w:val="24"/>
        </w:rPr>
        <w:t xml:space="preserve">Status and null handling</w:t>
      </w:r>
    </w:p>
    <w:p>
      <w:pPr>
        <w:spacing w:after="120"/>
      </w:pPr>
      <w:r>
        <w:rPr>
          <w:rFonts w:ascii="Calibri" w:cs="Calibri" w:eastAsia="Calibri" w:hAnsi="Calibri"/>
          <w:sz w:val="20"/>
          <w:szCs w:val="20"/>
        </w:rPr>
        <w:t xml:space="preserve">Every requested country appears in the output with a </w:t>
      </w:r>
      <w:r>
        <w:rPr>
          <w:rFonts w:ascii="Consolas" w:cs="Consolas" w:eastAsia="Consolas" w:hAnsi="Consolas"/>
          <w:sz w:val="18"/>
          <w:szCs w:val="18"/>
        </w:rPr>
        <w:t xml:space="preserve">status</w:t>
      </w:r>
      <w:r>
        <w:rPr>
          <w:rFonts w:ascii="Calibri" w:cs="Calibri" w:eastAsia="Calibri" w:hAnsi="Calibri"/>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80"/>
        <w:gridCol w:w="2000"/>
      </w:tblGrid>
      <w:tr>
        <w:trPr>
          <w:tblHeader/>
        </w:trPr>
        <w:tc>
          <w:tcPr>
            <w:tcW w:type="dxa" w:w="2600"/>
            <w:shd w:fill="DCE6F1" w:val="clear"/>
            <w:tcMar>
              <w:top w:type="dxa" w:w="80"/>
              <w:left w:type="dxa" w:w="120"/>
              <w:bottom w:type="dxa" w:w="80"/>
              <w:right w:type="dxa" w:w="120"/>
            </w:tcMar>
          </w:tcPr>
          <w:p>
            <w:r>
              <w:rPr>
                <w:rFonts w:ascii="Calibri" w:cs="Calibri" w:eastAsia="Calibri" w:hAnsi="Calibri"/>
                <w:b/>
                <w:bCs/>
                <w:sz w:val="19"/>
                <w:szCs w:val="19"/>
              </w:rPr>
              <w:t xml:space="preserve">status</w:t>
            </w:r>
          </w:p>
        </w:tc>
        <w:tc>
          <w:tcPr>
            <w:tcW w:type="dxa" w:w="5480"/>
            <w:shd w:fill="DCE6F1" w:val="clear"/>
            <w:tcMar>
              <w:top w:type="dxa" w:w="80"/>
              <w:left w:type="dxa" w:w="120"/>
              <w:bottom w:type="dxa" w:w="80"/>
              <w:right w:type="dxa" w:w="120"/>
            </w:tcMar>
          </w:tcPr>
          <w:p>
            <w:r>
              <w:rPr>
                <w:rFonts w:ascii="Calibri" w:cs="Calibri" w:eastAsia="Calibri" w:hAnsi="Calibri"/>
                <w:b/>
                <w:bCs/>
                <w:sz w:val="19"/>
                <w:szCs w:val="19"/>
              </w:rPr>
              <w:t xml:space="preserve">Meaning</w:t>
            </w:r>
          </w:p>
        </w:tc>
        <w:tc>
          <w:tcPr>
            <w:tcW w:type="dxa" w:w="2000"/>
            <w:shd w:fill="DCE6F1" w:val="clear"/>
            <w:tcMar>
              <w:top w:type="dxa" w:w="80"/>
              <w:left w:type="dxa" w:w="120"/>
              <w:bottom w:type="dxa" w:w="80"/>
              <w:right w:type="dxa" w:w="120"/>
            </w:tcMar>
          </w:tcPr>
          <w:p>
            <w:r>
              <w:rPr>
                <w:rFonts w:ascii="Calibri" w:cs="Calibri" w:eastAsia="Calibri" w:hAnsi="Calibri"/>
                <w:b/>
                <w:bCs/>
                <w:sz w:val="19"/>
                <w:szCs w:val="19"/>
              </w:rPr>
              <w:t xml:space="preserve">Composite</w:t>
            </w:r>
          </w:p>
        </w:tc>
      </w:tr>
      <w:tr>
        <w:tc>
          <w:tcPr>
            <w:tcW w:type="dxa" w:w="2600"/>
            <w:tcMar>
              <w:top w:type="dxa" w:w="80"/>
              <w:left w:type="dxa" w:w="120"/>
              <w:bottom w:type="dxa" w:w="80"/>
              <w:right w:type="dxa" w:w="120"/>
            </w:tcMar>
          </w:tcPr>
          <w:p>
            <w:pPr>
              <w:spacing w:after="0"/>
            </w:pPr>
            <w:r>
              <w:rPr>
                <w:rFonts w:ascii="Consolas" w:cs="Consolas" w:eastAsia="Consolas" w:hAnsi="Consolas"/>
                <w:sz w:val="18"/>
                <w:szCs w:val="18"/>
              </w:rPr>
              <w:t xml:space="preserve">scored</w:t>
            </w:r>
          </w:p>
        </w:tc>
        <w:tc>
          <w:tcPr>
            <w:tcW w:type="dxa" w:w="5480"/>
            <w:tcMar>
              <w:top w:type="dxa" w:w="80"/>
              <w:left w:type="dxa" w:w="120"/>
              <w:bottom w:type="dxa" w:w="80"/>
              <w:right w:type="dxa" w:w="120"/>
            </w:tcMar>
          </w:tcPr>
          <w:p>
            <w:r>
              <w:rPr>
                <w:rFonts w:ascii="Calibri" w:cs="Calibri" w:eastAsia="Calibri" w:hAnsi="Calibri"/>
                <w:sz w:val="19"/>
                <w:szCs w:val="19"/>
              </w:rPr>
              <w:t xml:space="preserve">In scope, all four components present</w:t>
            </w:r>
          </w:p>
        </w:tc>
        <w:tc>
          <w:tcPr>
            <w:tcW w:type="dxa" w:w="2000"/>
            <w:tcMar>
              <w:top w:type="dxa" w:w="80"/>
              <w:left w:type="dxa" w:w="120"/>
              <w:bottom w:type="dxa" w:w="80"/>
              <w:right w:type="dxa" w:w="120"/>
            </w:tcMar>
          </w:tcPr>
          <w:p>
            <w:r>
              <w:rPr>
                <w:rFonts w:ascii="Calibri" w:cs="Calibri" w:eastAsia="Calibri" w:hAnsi="Calibri"/>
                <w:sz w:val="19"/>
                <w:szCs w:val="19"/>
              </w:rPr>
              <w:t xml:space="preserve">0-100</w:t>
            </w:r>
          </w:p>
        </w:tc>
      </w:tr>
      <w:tr>
        <w:tc>
          <w:tcPr>
            <w:tcW w:type="dxa" w:w="2600"/>
            <w:tcMar>
              <w:top w:type="dxa" w:w="80"/>
              <w:left w:type="dxa" w:w="120"/>
              <w:bottom w:type="dxa" w:w="80"/>
              <w:right w:type="dxa" w:w="120"/>
            </w:tcMar>
          </w:tcPr>
          <w:p>
            <w:pPr>
              <w:spacing w:after="0"/>
            </w:pPr>
            <w:r>
              <w:rPr>
                <w:rFonts w:ascii="Consolas" w:cs="Consolas" w:eastAsia="Consolas" w:hAnsi="Consolas"/>
                <w:sz w:val="18"/>
                <w:szCs w:val="18"/>
              </w:rPr>
              <w:t xml:space="preserve">out_of_scope</w:t>
            </w:r>
          </w:p>
        </w:tc>
        <w:tc>
          <w:tcPr>
            <w:tcW w:type="dxa" w:w="5480"/>
            <w:tcMar>
              <w:top w:type="dxa" w:w="80"/>
              <w:left w:type="dxa" w:w="120"/>
              <w:bottom w:type="dxa" w:w="80"/>
              <w:right w:type="dxa" w:w="120"/>
            </w:tcMar>
          </w:tcPr>
          <w:p>
            <w:r>
              <w:rPr>
                <w:rFonts w:ascii="Calibri" w:cs="Calibri" w:eastAsia="Calibri" w:hAnsi="Calibri"/>
                <w:sz w:val="19"/>
                <w:szCs w:val="19"/>
              </w:rPr>
              <w:t xml:space="preserve">Outside IDS coverage; the index does not apply</w:t>
            </w:r>
          </w:p>
        </w:tc>
        <w:tc>
          <w:tcPr>
            <w:tcW w:type="dxa" w:w="2000"/>
            <w:tcMar>
              <w:top w:type="dxa" w:w="80"/>
              <w:left w:type="dxa" w:w="120"/>
              <w:bottom w:type="dxa" w:w="80"/>
              <w:right w:type="dxa" w:w="120"/>
            </w:tcMar>
          </w:tcPr>
          <w:p>
            <w:r>
              <w:rPr>
                <w:rFonts w:ascii="Calibri" w:cs="Calibri" w:eastAsia="Calibri" w:hAnsi="Calibri"/>
                <w:sz w:val="19"/>
                <w:szCs w:val="19"/>
              </w:rPr>
              <w:t xml:space="preserve">null</w:t>
            </w:r>
          </w:p>
        </w:tc>
      </w:tr>
      <w:tr>
        <w:tc>
          <w:tcPr>
            <w:tcW w:type="dxa" w:w="2600"/>
            <w:tcMar>
              <w:top w:type="dxa" w:w="80"/>
              <w:left w:type="dxa" w:w="120"/>
              <w:bottom w:type="dxa" w:w="80"/>
              <w:right w:type="dxa" w:w="120"/>
            </w:tcMar>
          </w:tcPr>
          <w:p>
            <w:pPr>
              <w:spacing w:after="0"/>
            </w:pPr>
            <w:r>
              <w:rPr>
                <w:rFonts w:ascii="Consolas" w:cs="Consolas" w:eastAsia="Consolas" w:hAnsi="Consolas"/>
                <w:sz w:val="18"/>
                <w:szCs w:val="18"/>
              </w:rPr>
              <w:t xml:space="preserve">incomplete_data</w:t>
            </w:r>
          </w:p>
        </w:tc>
        <w:tc>
          <w:tcPr>
            <w:tcW w:type="dxa" w:w="5480"/>
            <w:tcMar>
              <w:top w:type="dxa" w:w="80"/>
              <w:left w:type="dxa" w:w="120"/>
              <w:bottom w:type="dxa" w:w="80"/>
              <w:right w:type="dxa" w:w="120"/>
            </w:tcMar>
          </w:tcPr>
          <w:p>
            <w:r>
              <w:rPr>
                <w:rFonts w:ascii="Calibri" w:cs="Calibri" w:eastAsia="Calibri" w:hAnsi="Calibri"/>
                <w:sz w:val="19"/>
                <w:szCs w:val="19"/>
              </w:rPr>
              <w:t xml:space="preserve">In scope, but 1 or more components missing (see missing_components)</w:t>
            </w:r>
          </w:p>
        </w:tc>
        <w:tc>
          <w:tcPr>
            <w:tcW w:type="dxa" w:w="2000"/>
            <w:tcMar>
              <w:top w:type="dxa" w:w="80"/>
              <w:left w:type="dxa" w:w="120"/>
              <w:bottom w:type="dxa" w:w="80"/>
              <w:right w:type="dxa" w:w="120"/>
            </w:tcMar>
          </w:tcPr>
          <w:p>
            <w:r>
              <w:rPr>
                <w:rFonts w:ascii="Calibri" w:cs="Calibri" w:eastAsia="Calibri" w:hAnsi="Calibri"/>
                <w:sz w:val="19"/>
                <w:szCs w:val="19"/>
              </w:rPr>
              <w:t xml:space="preserve">null</w:t>
            </w:r>
          </w:p>
        </w:tc>
      </w:tr>
    </w:tbl>
    <w:p>
      <w:pPr>
        <w:spacing w:after="100"/>
      </w:pPr>
    </w:p>
    <w:p>
      <w:pPr>
        <w:spacing w:after="120"/>
      </w:pPr>
      <w:r>
        <w:rPr>
          <w:rFonts w:ascii="Calibri" w:cs="Calibri" w:eastAsia="Calibri" w:hAnsi="Calibri"/>
          <w:sz w:val="20"/>
          <w:szCs w:val="20"/>
        </w:rPr>
        <w:t xml:space="preserve">The last two both yield a null composite but mean different things - a scope decision versus a data gap worth investigating. The dashboard should filter on </w:t>
      </w:r>
      <w:r>
        <w:rPr>
          <w:rFonts w:ascii="Consolas" w:cs="Consolas" w:eastAsia="Consolas" w:hAnsi="Consolas"/>
          <w:sz w:val="18"/>
          <w:szCs w:val="18"/>
        </w:rPr>
        <w:t xml:space="preserve">status</w:t>
      </w:r>
      <w:r>
        <w:rPr>
          <w:rFonts w:ascii="Calibri" w:cs="Calibri" w:eastAsia="Calibri" w:hAnsi="Calibri"/>
          <w:sz w:val="20"/>
          <w:szCs w:val="20"/>
        </w:rPr>
        <w:t xml:space="preserve"> rather than on null.</w:t>
      </w:r>
    </w:p>
    <w:p>
      <w:pPr>
        <w:spacing w:after="120"/>
      </w:pPr>
      <w:r>
        <w:rPr>
          <w:rFonts w:ascii="Calibri" w:cs="Calibri" w:eastAsia="Calibri" w:hAnsi="Calibri"/>
          <w:b/>
          <w:bCs/>
          <w:sz w:val="20"/>
          <w:szCs w:val="20"/>
        </w:rPr>
        <w:t xml:space="preserve">Out-of-scope countries are not given a partial score. </w:t>
      </w:r>
      <w:r>
        <w:rPr>
          <w:rFonts w:ascii="Calibri" w:cs="Calibri" w:eastAsia="Calibri" w:hAnsi="Calibri"/>
          <w:sz w:val="20"/>
          <w:szCs w:val="20"/>
        </w:rPr>
        <w:t xml:space="preserve">A score built from only the two available components (income and governance) would be systematically inflated, because the two missing pillars are precisely the ones that could have pulled it down. Such a figure would not be a less precise version of the full score; it would sit in the same column as fully-computed scores while being biased upward.</w:t>
      </w:r>
    </w:p>
    <w:p>
      <w:pPr>
        <w:pStyle w:val="Heading2"/>
        <w:spacing w:after="120" w:before="280"/>
      </w:pPr>
      <w:r>
        <w:rPr>
          <w:rFonts w:ascii="Calibri" w:cs="Calibri" w:eastAsia="Calibri" w:hAnsi="Calibri"/>
          <w:b/>
          <w:bCs/>
          <w:color w:val="1F4E79"/>
          <w:sz w:val="24"/>
          <w:szCs w:val="24"/>
        </w:rPr>
        <w:t xml:space="preserve">Normalization bounds</w:t>
      </w:r>
    </w:p>
    <w:p>
      <w:pPr>
        <w:spacing w:after="120"/>
      </w:pPr>
      <w:r>
        <w:rPr>
          <w:rFonts w:ascii="Calibri" w:cs="Calibri" w:eastAsia="Calibri" w:hAnsi="Calibri"/>
          <w:sz w:val="20"/>
          <w:szCs w:val="20"/>
        </w:rPr>
        <w:t xml:space="preserve">Fixed absolute bounds; out-of-range values clipped to [0,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3000"/>
        <w:gridCol w:w="3000"/>
      </w:tblGrid>
      <w:tr>
        <w:trPr>
          <w:tblHeader/>
        </w:trPr>
        <w:tc>
          <w:tcPr>
            <w:tcW w:type="dxa" w:w="4080"/>
            <w:shd w:fill="DCE6F1" w:val="clear"/>
            <w:tcMar>
              <w:top w:type="dxa" w:w="80"/>
              <w:left w:type="dxa" w:w="120"/>
              <w:bottom w:type="dxa" w:w="80"/>
              <w:right w:type="dxa" w:w="120"/>
            </w:tcMar>
          </w:tcPr>
          <w:p>
            <w:r>
              <w:rPr>
                <w:rFonts w:ascii="Calibri" w:cs="Calibri" w:eastAsia="Calibri" w:hAnsi="Calibri"/>
                <w:b/>
                <w:bCs/>
                <w:sz w:val="19"/>
                <w:szCs w:val="19"/>
              </w:rPr>
              <w:t xml:space="preserve">Component</w:t>
            </w:r>
          </w:p>
        </w:tc>
        <w:tc>
          <w:tcPr>
            <w:tcW w:type="dxa" w:w="3000"/>
            <w:shd w:fill="DCE6F1" w:val="clear"/>
            <w:tcMar>
              <w:top w:type="dxa" w:w="80"/>
              <w:left w:type="dxa" w:w="120"/>
              <w:bottom w:type="dxa" w:w="80"/>
              <w:right w:type="dxa" w:w="120"/>
            </w:tcMar>
          </w:tcPr>
          <w:p>
            <w:r>
              <w:rPr>
                <w:rFonts w:ascii="Calibri" w:cs="Calibri" w:eastAsia="Calibri" w:hAnsi="Calibri"/>
                <w:b/>
                <w:bCs/>
                <w:sz w:val="19"/>
                <w:szCs w:val="19"/>
              </w:rPr>
              <w:t xml:space="preserve">Lower</w:t>
            </w:r>
          </w:p>
        </w:tc>
        <w:tc>
          <w:tcPr>
            <w:tcW w:type="dxa" w:w="3000"/>
            <w:shd w:fill="DCE6F1" w:val="clear"/>
            <w:tcMar>
              <w:top w:type="dxa" w:w="80"/>
              <w:left w:type="dxa" w:w="120"/>
              <w:bottom w:type="dxa" w:w="80"/>
              <w:right w:type="dxa" w:w="120"/>
            </w:tcMar>
          </w:tcPr>
          <w:p>
            <w:r>
              <w:rPr>
                <w:rFonts w:ascii="Calibri" w:cs="Calibri" w:eastAsia="Calibri" w:hAnsi="Calibri"/>
                <w:b/>
                <w:bCs/>
                <w:sz w:val="19"/>
                <w:szCs w:val="19"/>
              </w:rPr>
              <w:t xml:space="preserve">Upper</w:t>
            </w:r>
          </w:p>
        </w:tc>
      </w:tr>
      <w:tr>
        <w:tc>
          <w:tcPr>
            <w:tcW w:type="dxa" w:w="4080"/>
            <w:tcMar>
              <w:top w:type="dxa" w:w="80"/>
              <w:left w:type="dxa" w:w="120"/>
              <w:bottom w:type="dxa" w:w="80"/>
              <w:right w:type="dxa" w:w="120"/>
            </w:tcMar>
          </w:tcPr>
          <w:p>
            <w:r>
              <w:rPr>
                <w:rFonts w:ascii="Calibri" w:cs="Calibri" w:eastAsia="Calibri" w:hAnsi="Calibri"/>
                <w:sz w:val="19"/>
                <w:szCs w:val="19"/>
              </w:rPr>
              <w:t xml:space="preserve">Income (log)</w:t>
            </w:r>
          </w:p>
        </w:tc>
        <w:tc>
          <w:tcPr>
            <w:tcW w:type="dxa" w:w="3000"/>
            <w:tcMar>
              <w:top w:type="dxa" w:w="80"/>
              <w:left w:type="dxa" w:w="120"/>
              <w:bottom w:type="dxa" w:w="80"/>
              <w:right w:type="dxa" w:w="120"/>
            </w:tcMar>
          </w:tcPr>
          <w:p>
            <w:r>
              <w:rPr>
                <w:rFonts w:ascii="Calibri" w:cs="Calibri" w:eastAsia="Calibri" w:hAnsi="Calibri"/>
                <w:sz w:val="19"/>
                <w:szCs w:val="19"/>
              </w:rPr>
              <w:t xml:space="preserve">ln(200)</w:t>
            </w:r>
          </w:p>
        </w:tc>
        <w:tc>
          <w:tcPr>
            <w:tcW w:type="dxa" w:w="3000"/>
            <w:tcMar>
              <w:top w:type="dxa" w:w="80"/>
              <w:left w:type="dxa" w:w="120"/>
              <w:bottom w:type="dxa" w:w="80"/>
              <w:right w:type="dxa" w:w="120"/>
            </w:tcMar>
          </w:tcPr>
          <w:p>
            <w:r>
              <w:rPr>
                <w:rFonts w:ascii="Calibri" w:cs="Calibri" w:eastAsia="Calibri" w:hAnsi="Calibri"/>
                <w:sz w:val="19"/>
                <w:szCs w:val="19"/>
              </w:rPr>
              <w:t xml:space="preserve">ln(150,000)</w:t>
            </w:r>
          </w:p>
        </w:tc>
      </w:tr>
      <w:tr>
        <w:tc>
          <w:tcPr>
            <w:tcW w:type="dxa" w:w="4080"/>
            <w:tcMar>
              <w:top w:type="dxa" w:w="80"/>
              <w:left w:type="dxa" w:w="120"/>
              <w:bottom w:type="dxa" w:w="80"/>
              <w:right w:type="dxa" w:w="120"/>
            </w:tcMar>
          </w:tcPr>
          <w:p>
            <w:r>
              <w:rPr>
                <w:rFonts w:ascii="Calibri" w:cs="Calibri" w:eastAsia="Calibri" w:hAnsi="Calibri"/>
                <w:sz w:val="19"/>
                <w:szCs w:val="19"/>
              </w:rPr>
              <w:t xml:space="preserve">Fragility (WGI avg)</w:t>
            </w:r>
          </w:p>
        </w:tc>
        <w:tc>
          <w:tcPr>
            <w:tcW w:type="dxa" w:w="3000"/>
            <w:tcMar>
              <w:top w:type="dxa" w:w="80"/>
              <w:left w:type="dxa" w:w="120"/>
              <w:bottom w:type="dxa" w:w="80"/>
              <w:right w:type="dxa" w:w="120"/>
            </w:tcMar>
          </w:tcPr>
          <w:p>
            <w:r>
              <w:rPr>
                <w:rFonts w:ascii="Calibri" w:cs="Calibri" w:eastAsia="Calibri" w:hAnsi="Calibri"/>
                <w:sz w:val="19"/>
                <w:szCs w:val="19"/>
              </w:rPr>
              <w:t xml:space="preserve">-2.5</w:t>
            </w:r>
          </w:p>
        </w:tc>
        <w:tc>
          <w:tcPr>
            <w:tcW w:type="dxa" w:w="3000"/>
            <w:tcMar>
              <w:top w:type="dxa" w:w="80"/>
              <w:left w:type="dxa" w:w="120"/>
              <w:bottom w:type="dxa" w:w="80"/>
              <w:right w:type="dxa" w:w="120"/>
            </w:tcMar>
          </w:tcPr>
          <w:p>
            <w:r>
              <w:rPr>
                <w:rFonts w:ascii="Calibri" w:cs="Calibri" w:eastAsia="Calibri" w:hAnsi="Calibri"/>
                <w:sz w:val="19"/>
                <w:szCs w:val="19"/>
              </w:rPr>
              <w:t xml:space="preserve">+2.5</w:t>
            </w:r>
          </w:p>
        </w:tc>
      </w:tr>
      <w:tr>
        <w:tc>
          <w:tcPr>
            <w:tcW w:type="dxa" w:w="4080"/>
            <w:tcMar>
              <w:top w:type="dxa" w:w="80"/>
              <w:left w:type="dxa" w:w="120"/>
              <w:bottom w:type="dxa" w:w="80"/>
              <w:right w:type="dxa" w:w="120"/>
            </w:tcMar>
          </w:tcPr>
          <w:p>
            <w:r>
              <w:rPr>
                <w:rFonts w:ascii="Calibri" w:cs="Calibri" w:eastAsia="Calibri" w:hAnsi="Calibri"/>
                <w:sz w:val="19"/>
                <w:szCs w:val="19"/>
              </w:rPr>
              <w:t xml:space="preserve">Non-concessional debt</w:t>
            </w:r>
          </w:p>
        </w:tc>
        <w:tc>
          <w:tcPr>
            <w:tcW w:type="dxa" w:w="3000"/>
            <w:tcMar>
              <w:top w:type="dxa" w:w="80"/>
              <w:left w:type="dxa" w:w="120"/>
              <w:bottom w:type="dxa" w:w="80"/>
              <w:right w:type="dxa" w:w="120"/>
            </w:tcMar>
          </w:tcPr>
          <w:p>
            <w:r>
              <w:rPr>
                <w:rFonts w:ascii="Calibri" w:cs="Calibri" w:eastAsia="Calibri" w:hAnsi="Calibri"/>
                <w:sz w:val="19"/>
                <w:szCs w:val="19"/>
              </w:rPr>
              <w:t xml:space="preserve">0%</w:t>
            </w:r>
          </w:p>
        </w:tc>
        <w:tc>
          <w:tcPr>
            <w:tcW w:type="dxa" w:w="3000"/>
            <w:tcMar>
              <w:top w:type="dxa" w:w="80"/>
              <w:left w:type="dxa" w:w="120"/>
              <w:bottom w:type="dxa" w:w="80"/>
              <w:right w:type="dxa" w:w="120"/>
            </w:tcMar>
          </w:tcPr>
          <w:p>
            <w:r>
              <w:rPr>
                <w:rFonts w:ascii="Calibri" w:cs="Calibri" w:eastAsia="Calibri" w:hAnsi="Calibri"/>
                <w:sz w:val="19"/>
                <w:szCs w:val="19"/>
              </w:rPr>
              <w:t xml:space="preserve">100%</w:t>
            </w:r>
          </w:p>
        </w:tc>
      </w:tr>
      <w:tr>
        <w:tc>
          <w:tcPr>
            <w:tcW w:type="dxa" w:w="4080"/>
            <w:tcMar>
              <w:top w:type="dxa" w:w="80"/>
              <w:left w:type="dxa" w:w="120"/>
              <w:bottom w:type="dxa" w:w="80"/>
              <w:right w:type="dxa" w:w="120"/>
            </w:tcMar>
          </w:tcPr>
          <w:p>
            <w:r>
              <w:rPr>
                <w:rFonts w:ascii="Calibri" w:cs="Calibri" w:eastAsia="Calibri" w:hAnsi="Calibri"/>
                <w:sz w:val="19"/>
                <w:szCs w:val="19"/>
              </w:rPr>
              <w:t xml:space="preserve">Debt risk</w:t>
            </w:r>
          </w:p>
        </w:tc>
        <w:tc>
          <w:tcPr>
            <w:tcW w:type="dxa" w:w="3000"/>
            <w:tcMar>
              <w:top w:type="dxa" w:w="80"/>
              <w:left w:type="dxa" w:w="120"/>
              <w:bottom w:type="dxa" w:w="80"/>
              <w:right w:type="dxa" w:w="120"/>
            </w:tcMar>
          </w:tcPr>
          <w:p>
            <w:r>
              <w:rPr>
                <w:rFonts w:ascii="Calibri" w:cs="Calibri" w:eastAsia="Calibri" w:hAnsi="Calibri"/>
                <w:sz w:val="19"/>
                <w:szCs w:val="19"/>
              </w:rPr>
              <w:t xml:space="preserve">categorical (0 / 0.5 / 1.0)</w:t>
            </w:r>
          </w:p>
        </w:tc>
        <w:tc>
          <w:tcPr>
            <w:tcW w:type="dxa" w:w="3000"/>
            <w:tcMar>
              <w:top w:type="dxa" w:w="80"/>
              <w:left w:type="dxa" w:w="120"/>
              <w:bottom w:type="dxa" w:w="80"/>
              <w:right w:type="dxa" w:w="120"/>
            </w:tcMar>
          </w:tcPr>
          <w:p>
            <w:r>
              <w:rPr>
                <w:rFonts w:ascii="Calibri" w:cs="Calibri" w:eastAsia="Calibri" w:hAnsi="Calibri"/>
                <w:sz w:val="19"/>
                <w:szCs w:val="19"/>
              </w:rPr>
              <w:t xml:space="preserve">-</w:t>
            </w:r>
          </w:p>
        </w:tc>
      </w:tr>
    </w:tbl>
    <w:p>
      <w:pPr>
        <w:spacing w:after="100"/>
      </w:pPr>
    </w:p>
    <w:p>
      <w:pPr>
        <w:spacing w:after="120"/>
      </w:pPr>
      <w:r>
        <w:rPr>
          <w:rFonts w:ascii="Calibri" w:cs="Calibri" w:eastAsia="Calibri" w:hAnsi="Calibri"/>
          <w:sz w:val="20"/>
          <w:szCs w:val="20"/>
        </w:rPr>
        <w:t xml:space="preserve">Bounds are versioned constants. A change to them requires an index version bump and re-baselining of the historical series.</w:t>
      </w:r>
    </w:p>
    <w:p>
      <w:pPr>
        <w:spacing w:after="120"/>
      </w:pPr>
      <w:r>
        <w:rPr>
          <w:rFonts w:ascii="Calibri" w:cs="Calibri" w:eastAsia="Calibri" w:hAnsi="Calibri"/>
          <w:b/>
          <w:bCs/>
          <w:sz w:val="20"/>
          <w:szCs w:val="20"/>
        </w:rPr>
        <w:t xml:space="preserve">Refresh cadence: </w:t>
      </w:r>
      <w:r>
        <w:rPr>
          <w:rFonts w:ascii="Calibri" w:cs="Calibri" w:eastAsia="Calibri" w:hAnsi="Calibri"/>
          <w:sz w:val="20"/>
          <w:szCs w:val="20"/>
        </w:rPr>
        <w:t xml:space="preserve">WGI and IDS are published annually, so roughly every other six-month refresh will show no change in those components. Surfacing the vintage year per component in the UI avoids flat periods reading as stalled progress.</w:t>
      </w:r>
    </w:p>
    <w:p>
      <w:pPr>
        <w:pBdr>
          <w:bottom w:val="single" w:color="BFBFBF" w:sz="6" w:space="1"/>
        </w:pBdr>
        <w:spacing w:after="200" w:before="200"/>
      </w:pPr>
      <w:r>
        <w:rPr>
          <w:sz w:val="2"/>
          <w:szCs w:val="2"/>
        </w:rPr>
        <w:t xml:space="preserve"/>
      </w:r>
    </w:p>
    <w:p>
      <w:pPr>
        <w:pStyle w:val="Heading1"/>
        <w:spacing w:after="160" w:before="360"/>
      </w:pPr>
      <w:r>
        <w:rPr>
          <w:rFonts w:ascii="Calibri" w:cs="Calibri" w:eastAsia="Calibri" w:hAnsi="Calibri"/>
          <w:b/>
          <w:bCs/>
          <w:color w:val="1F4E79"/>
          <w:sz w:val="30"/>
          <w:szCs w:val="30"/>
        </w:rPr>
        <w:t xml:space="preserve">1.  Per Capita Income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Measures</w:t>
            </w:r>
          </w:p>
        </w:tc>
        <w:tc>
          <w:tcPr>
            <w:tcW w:type="dxa" w:w="7880"/>
            <w:tcMar>
              <w:top w:type="dxa" w:w="80"/>
              <w:left w:type="dxa" w:w="120"/>
              <w:bottom w:type="dxa" w:w="80"/>
              <w:right w:type="dxa" w:w="120"/>
            </w:tcMar>
          </w:tcPr>
          <w:p>
            <w:r>
              <w:rPr>
                <w:rFonts w:ascii="Calibri" w:cs="Calibri" w:eastAsia="Calibri" w:hAnsi="Calibri"/>
                <w:sz w:val="19"/>
                <w:szCs w:val="19"/>
              </w:rPr>
              <w:t xml:space="preserve">Economic output per person - average material living standard and size of the economic base</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Contributes</w:t>
            </w:r>
          </w:p>
        </w:tc>
        <w:tc>
          <w:tcPr>
            <w:tcW w:type="dxa" w:w="7880"/>
            <w:tcMar>
              <w:top w:type="dxa" w:w="80"/>
              <w:left w:type="dxa" w:w="120"/>
              <w:bottom w:type="dxa" w:w="80"/>
              <w:right w:type="dxa" w:w="120"/>
            </w:tcMar>
          </w:tcPr>
          <w:p>
            <w:r>
              <w:rPr>
                <w:rFonts w:ascii="Calibri" w:cs="Calibri" w:eastAsia="Calibri" w:hAnsi="Calibri"/>
                <w:sz w:val="19"/>
                <w:szCs w:val="19"/>
              </w:rPr>
              <w:t xml:space="preserve">Baseline economic strength / wealth component</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Source</w:t>
            </w:r>
          </w:p>
        </w:tc>
        <w:tc>
          <w:tcPr>
            <w:tcW w:type="dxa" w:w="7880"/>
            <w:tcMar>
              <w:top w:type="dxa" w:w="80"/>
              <w:left w:type="dxa" w:w="120"/>
              <w:bottom w:type="dxa" w:w="80"/>
              <w:right w:type="dxa" w:w="120"/>
            </w:tcMar>
          </w:tcPr>
          <w:p>
            <w:r>
              <w:rPr>
                <w:rFonts w:ascii="Calibri" w:cs="Calibri" w:eastAsia="Calibri" w:hAnsi="Calibri"/>
                <w:sz w:val="19"/>
                <w:szCs w:val="19"/>
              </w:rPr>
              <w:t xml:space="preserve">World Bank WDI</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Series</w:t>
            </w:r>
          </w:p>
        </w:tc>
        <w:tc>
          <w:tcPr>
            <w:tcW w:type="dxa" w:w="7880"/>
            <w:tcMar>
              <w:top w:type="dxa" w:w="80"/>
              <w:left w:type="dxa" w:w="120"/>
              <w:bottom w:type="dxa" w:w="80"/>
              <w:right w:type="dxa" w:w="120"/>
            </w:tcMar>
          </w:tcPr>
          <w:p>
            <w:pPr>
              <w:spacing w:after="0"/>
            </w:pPr>
            <w:r>
              <w:rPr>
                <w:rFonts w:ascii="Consolas" w:cs="Consolas" w:eastAsia="Consolas" w:hAnsi="Consolas"/>
                <w:sz w:val="18"/>
                <w:szCs w:val="18"/>
              </w:rPr>
              <w:t xml:space="preserve">NY.GDP.PCAP.CD</w:t>
            </w:r>
            <w:r>
              <w:rPr>
                <w:rFonts w:ascii="Calibri" w:cs="Calibri" w:eastAsia="Calibri" w:hAnsi="Calibri"/>
                <w:sz w:val="20"/>
                <w:szCs w:val="20"/>
              </w:rPr>
              <w:t xml:space="preserve"> - GDP per capita, current US$</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Retrieval</w:t>
            </w:r>
          </w:p>
        </w:tc>
        <w:tc>
          <w:tcPr>
            <w:tcW w:type="dxa" w:w="7880"/>
            <w:tcMar>
              <w:top w:type="dxa" w:w="80"/>
              <w:left w:type="dxa" w:w="120"/>
              <w:bottom w:type="dxa" w:w="80"/>
              <w:right w:type="dxa" w:w="120"/>
            </w:tcMar>
          </w:tcPr>
          <w:p>
            <w:pPr>
              <w:spacing w:after="0"/>
            </w:pPr>
            <w:r>
              <w:rPr>
                <w:rFonts w:ascii="Consolas" w:cs="Consolas" w:eastAsia="Consolas" w:hAnsi="Consolas"/>
                <w:sz w:val="18"/>
                <w:szCs w:val="18"/>
              </w:rPr>
              <w:t xml:space="preserve">GET https://api.worldbank.org/v2/country/{iso3}/indicator/NY.GDP.PCAP.CD?format=json&amp;mrnev=1</w:t>
            </w:r>
            <w:r>
              <w:rPr>
                <w:rFonts w:ascii="Calibri" w:cs="Calibri" w:eastAsia="Calibri" w:hAnsi="Calibri"/>
                <w:sz w:val="20"/>
                <w:szCs w:val="20"/>
              </w:rPr>
              <w:t xml:space="preserve"> (no key required)</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Weight</w:t>
            </w:r>
          </w:p>
        </w:tc>
        <w:tc>
          <w:tcPr>
            <w:tcW w:type="dxa" w:w="7880"/>
            <w:tcMar>
              <w:top w:type="dxa" w:w="80"/>
              <w:left w:type="dxa" w:w="120"/>
              <w:bottom w:type="dxa" w:w="80"/>
              <w:right w:type="dxa" w:w="120"/>
            </w:tcMar>
          </w:tcPr>
          <w:p>
            <w:r>
              <w:rPr>
                <w:rFonts w:ascii="Calibri" w:cs="Calibri" w:eastAsia="Calibri" w:hAnsi="Calibri"/>
                <w:sz w:val="19"/>
                <w:szCs w:val="19"/>
              </w:rPr>
              <w:t xml:space="preserve">25%</w:t>
            </w:r>
          </w:p>
        </w:tc>
      </w:tr>
    </w:tbl>
    <w:p>
      <w:pPr>
        <w:spacing w:after="100"/>
      </w:pPr>
    </w:p>
    <w:p>
      <w:pPr>
        <w:shd w:fill="F2F2F2" w:val="clear"/>
        <w:spacing w:after="160" w:before="100"/>
        <w:ind w:left="180" w:right="180"/>
      </w:pPr>
      <w:r>
        <w:rPr>
          <w:rFonts w:ascii="Consolas" w:cs="Consolas" w:eastAsia="Consolas" w:hAnsi="Consolas"/>
          <w:sz w:val="17"/>
          <w:szCs w:val="17"/>
        </w:rPr>
        <w:t xml:space="preserve">norm_income = clip( (ln(gdp_pc) - ln(200)) / (ln(150000) - ln(200)), 0, 1 )</w:t>
      </w:r>
    </w:p>
    <w:p>
      <w:pPr>
        <w:pBdr>
          <w:bottom w:val="single" w:color="BFBFBF" w:sz="6" w:space="1"/>
        </w:pBdr>
        <w:spacing w:after="200" w:before="200"/>
      </w:pPr>
      <w:r>
        <w:rPr>
          <w:sz w:val="2"/>
          <w:szCs w:val="2"/>
        </w:rPr>
        <w:t xml:space="preserve"/>
      </w:r>
    </w:p>
    <w:p>
      <w:pPr>
        <w:pStyle w:val="Heading1"/>
        <w:spacing w:after="160" w:before="360"/>
      </w:pPr>
      <w:r>
        <w:rPr>
          <w:rFonts w:ascii="Calibri" w:cs="Calibri" w:eastAsia="Calibri" w:hAnsi="Calibri"/>
          <w:b/>
          <w:bCs/>
          <w:color w:val="1F4E79"/>
          <w:sz w:val="30"/>
          <w:szCs w:val="30"/>
        </w:rPr>
        <w:t xml:space="preserve">2.  Vulnerability &amp; Fragility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Measures</w:t>
            </w:r>
          </w:p>
        </w:tc>
        <w:tc>
          <w:tcPr>
            <w:tcW w:type="dxa" w:w="7880"/>
            <w:tcMar>
              <w:top w:type="dxa" w:w="80"/>
              <w:left w:type="dxa" w:w="120"/>
              <w:bottom w:type="dxa" w:w="80"/>
              <w:right w:type="dxa" w:w="120"/>
            </w:tcMar>
          </w:tcPr>
          <w:p>
            <w:r>
              <w:rPr>
                <w:rFonts w:ascii="Calibri" w:cs="Calibri" w:eastAsia="Calibri" w:hAnsi="Calibri"/>
                <w:sz w:val="19"/>
                <w:szCs w:val="19"/>
              </w:rPr>
              <w:t xml:space="preserve">Institutional quality, governance strength, political stability</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Contributes</w:t>
            </w:r>
          </w:p>
        </w:tc>
        <w:tc>
          <w:tcPr>
            <w:tcW w:type="dxa" w:w="7880"/>
            <w:tcMar>
              <w:top w:type="dxa" w:w="80"/>
              <w:left w:type="dxa" w:w="120"/>
              <w:bottom w:type="dxa" w:w="80"/>
              <w:right w:type="dxa" w:w="120"/>
            </w:tcMar>
          </w:tcPr>
          <w:p>
            <w:r>
              <w:rPr>
                <w:rFonts w:ascii="Calibri" w:cs="Calibri" w:eastAsia="Calibri" w:hAnsi="Calibri"/>
                <w:sz w:val="19"/>
                <w:szCs w:val="19"/>
              </w:rPr>
              <w:t xml:space="preserve">Institutional resilience - weak governance raises exposure to shocks even where headline economics look sound</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Source</w:t>
            </w:r>
          </w:p>
        </w:tc>
        <w:tc>
          <w:tcPr>
            <w:tcW w:type="dxa" w:w="7880"/>
            <w:tcMar>
              <w:top w:type="dxa" w:w="80"/>
              <w:left w:type="dxa" w:w="120"/>
              <w:bottom w:type="dxa" w:w="80"/>
              <w:right w:type="dxa" w:w="120"/>
            </w:tcMar>
          </w:tcPr>
          <w:p>
            <w:r>
              <w:rPr>
                <w:rFonts w:ascii="Calibri" w:cs="Calibri" w:eastAsia="Calibri" w:hAnsi="Calibri"/>
                <w:sz w:val="19"/>
                <w:szCs w:val="19"/>
              </w:rPr>
              <w:t xml:space="preserve">World Bank Worldwide Governance Indicators (WGI)</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Series</w:t>
            </w:r>
          </w:p>
        </w:tc>
        <w:tc>
          <w:tcPr>
            <w:tcW w:type="dxa" w:w="7880"/>
            <w:tcMar>
              <w:top w:type="dxa" w:w="80"/>
              <w:left w:type="dxa" w:w="120"/>
              <w:bottom w:type="dxa" w:w="80"/>
              <w:right w:type="dxa" w:w="120"/>
            </w:tcMar>
          </w:tcPr>
          <w:p>
            <w:pPr>
              <w:spacing w:after="0"/>
            </w:pPr>
            <w:r>
              <w:rPr>
                <w:rFonts w:ascii="Consolas" w:cs="Consolas" w:eastAsia="Consolas" w:hAnsi="Consolas"/>
                <w:sz w:val="18"/>
                <w:szCs w:val="18"/>
              </w:rPr>
              <w:t xml:space="preserve">Average of VA.EST, PV.EST, GE.EST, RQ.EST, RL.EST, CC.EST</w:t>
            </w:r>
            <w:r>
              <w:rPr>
                <w:rFonts w:ascii="Calibri" w:cs="Calibri" w:eastAsia="Calibri" w:hAnsi="Calibri"/>
                <w:sz w:val="20"/>
                <w:szCs w:val="20"/>
              </w:rPr>
              <w:t xml:space="preserve"> (each approx. -2.5 to +2.5, higher = better)</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Retrieval</w:t>
            </w:r>
          </w:p>
        </w:tc>
        <w:tc>
          <w:tcPr>
            <w:tcW w:type="dxa" w:w="7880"/>
            <w:tcMar>
              <w:top w:type="dxa" w:w="80"/>
              <w:left w:type="dxa" w:w="120"/>
              <w:bottom w:type="dxa" w:w="80"/>
              <w:right w:type="dxa" w:w="120"/>
            </w:tcMar>
          </w:tcPr>
          <w:p>
            <w:pPr>
              <w:spacing w:after="0"/>
            </w:pPr>
            <w:r>
              <w:rPr>
                <w:rFonts w:ascii="Consolas" w:cs="Consolas" w:eastAsia="Consolas" w:hAnsi="Consolas"/>
                <w:sz w:val="18"/>
                <w:szCs w:val="18"/>
              </w:rPr>
              <w:t xml:space="preserve">GET https://api.worldbank.org/v2/country/{iso3}/indicator/{series}?format=json&amp;mrnev=1&amp;source=3</w:t>
            </w:r>
            <w:r>
              <w:rPr>
                <w:rFonts w:ascii="Calibri" w:cs="Calibri" w:eastAsia="Calibri" w:hAnsi="Calibri"/>
                <w:sz w:val="20"/>
                <w:szCs w:val="20"/>
              </w:rPr>
              <w:t xml:space="preserve"> - one call per dimension.</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Weight</w:t>
            </w:r>
          </w:p>
        </w:tc>
        <w:tc>
          <w:tcPr>
            <w:tcW w:type="dxa" w:w="7880"/>
            <w:tcMar>
              <w:top w:type="dxa" w:w="80"/>
              <w:left w:type="dxa" w:w="120"/>
              <w:bottom w:type="dxa" w:w="80"/>
              <w:right w:type="dxa" w:w="120"/>
            </w:tcMar>
          </w:tcPr>
          <w:p>
            <w:r>
              <w:rPr>
                <w:rFonts w:ascii="Calibri" w:cs="Calibri" w:eastAsia="Calibri" w:hAnsi="Calibri"/>
                <w:sz w:val="19"/>
                <w:szCs w:val="19"/>
              </w:rPr>
              <w:t xml:space="preserve">25%</w:t>
            </w:r>
          </w:p>
        </w:tc>
      </w:tr>
    </w:tbl>
    <w:p>
      <w:pPr>
        <w:spacing w:after="100"/>
      </w:pPr>
    </w:p>
    <w:p>
      <w:pPr>
        <w:spacing w:after="120"/>
      </w:pPr>
      <w:r>
        <w:rPr>
          <w:rFonts w:ascii="Calibri" w:cs="Calibri" w:eastAsia="Calibri" w:hAnsi="Calibri"/>
          <w:b/>
          <w:bCs/>
          <w:sz w:val="20"/>
          <w:szCs w:val="20"/>
        </w:rPr>
        <w:t xml:space="preserve">source=3 is required. </w:t>
      </w:r>
      <w:r>
        <w:rPr>
          <w:rFonts w:ascii="Calibri" w:cs="Calibri" w:eastAsia="Calibri" w:hAnsi="Calibri"/>
          <w:sz w:val="20"/>
          <w:szCs w:val="20"/>
        </w:rPr>
        <w:t xml:space="preserve">WGI sits outside the default WDI source and the call returns empty without it. Source 75 also carries WGI but under prefixed codes (</w:t>
      </w:r>
      <w:r>
        <w:rPr>
          <w:rFonts w:ascii="Consolas" w:cs="Consolas" w:eastAsia="Consolas" w:hAnsi="Consolas"/>
          <w:sz w:val="18"/>
          <w:szCs w:val="18"/>
        </w:rPr>
        <w:t xml:space="preserve">GOV_WGI_PV.EST</w:t>
      </w:r>
      <w:r>
        <w:rPr>
          <w:rFonts w:ascii="Calibri" w:cs="Calibri" w:eastAsia="Calibri" w:hAnsi="Calibri"/>
          <w:sz w:val="20"/>
          <w:szCs w:val="20"/>
        </w:rPr>
        <w:t xml:space="preserve"> etc.) - do not mix the two.</w:t>
      </w:r>
    </w:p>
    <w:p>
      <w:pPr>
        <w:shd w:fill="F2F2F2" w:val="clear"/>
        <w:spacing w:after="0" w:before="100"/>
        <w:ind w:left="180" w:right="180"/>
      </w:pPr>
      <w:r>
        <w:rPr>
          <w:rFonts w:ascii="Consolas" w:cs="Consolas" w:eastAsia="Consolas" w:hAnsi="Consolas"/>
          <w:sz w:val="17"/>
          <w:szCs w:val="17"/>
        </w:rPr>
        <w:t xml:space="preserve">avg_wgi = mean(available dimension scores)      # skip missing dimensions</w:t>
      </w:r>
    </w:p>
    <w:p>
      <w:pPr>
        <w:shd w:fill="F2F2F2" w:val="clear"/>
        <w:spacing w:after="160" w:before="0"/>
        <w:ind w:left="180" w:right="180"/>
      </w:pPr>
      <w:r>
        <w:rPr>
          <w:rFonts w:ascii="Consolas" w:cs="Consolas" w:eastAsia="Consolas" w:hAnsi="Consolas"/>
          <w:sz w:val="17"/>
          <w:szCs w:val="17"/>
        </w:rPr>
        <w:t xml:space="preserve">norm_fragility = clip( (avg_wgi + 2.5) / 5.0, 0, 1 )</w:t>
      </w:r>
    </w:p>
    <w:p>
      <w:pPr>
        <w:spacing w:after="120"/>
      </w:pPr>
      <w:r>
        <w:rPr>
          <w:rFonts w:ascii="Consolas" w:cs="Consolas" w:eastAsia="Consolas" w:hAnsi="Consolas"/>
          <w:sz w:val="18"/>
          <w:szCs w:val="18"/>
        </w:rPr>
        <w:t xml:space="preserve">avg_wgi</w:t>
      </w:r>
      <w:r>
        <w:rPr>
          <w:rFonts w:ascii="Calibri" w:cs="Calibri" w:eastAsia="Calibri" w:hAnsi="Calibri"/>
          <w:sz w:val="20"/>
          <w:szCs w:val="20"/>
        </w:rPr>
        <w:t xml:space="preserve"> is reused by Indicator 3 for tiering - compute once, pass through.</w:t>
      </w:r>
    </w:p>
    <w:p>
      <w:pPr>
        <w:pBdr>
          <w:bottom w:val="single" w:color="BFBFBF" w:sz="6" w:space="1"/>
        </w:pBdr>
        <w:spacing w:after="200" w:before="200"/>
      </w:pPr>
      <w:r>
        <w:rPr>
          <w:sz w:val="2"/>
          <w:szCs w:val="2"/>
        </w:rPr>
        <w:t xml:space="preserve"/>
      </w:r>
    </w:p>
    <w:p>
      <w:pPr>
        <w:pStyle w:val="Heading1"/>
        <w:spacing w:after="160" w:before="360"/>
      </w:pPr>
      <w:r>
        <w:rPr>
          <w:rFonts w:ascii="Calibri" w:cs="Calibri" w:eastAsia="Calibri" w:hAnsi="Calibri"/>
          <w:b/>
          <w:bCs/>
          <w:color w:val="1F4E79"/>
          <w:sz w:val="30"/>
          <w:szCs w:val="30"/>
        </w:rPr>
        <w:t xml:space="preserve">3.  Risk of Debt Distress (proxy)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Measures</w:t>
            </w:r>
          </w:p>
        </w:tc>
        <w:tc>
          <w:tcPr>
            <w:tcW w:type="dxa" w:w="7880"/>
            <w:tcMar>
              <w:top w:type="dxa" w:w="80"/>
              <w:left w:type="dxa" w:w="120"/>
              <w:bottom w:type="dxa" w:w="80"/>
              <w:right w:type="dxa" w:w="120"/>
            </w:tcMar>
          </w:tcPr>
          <w:p>
            <w:r>
              <w:rPr>
                <w:rFonts w:ascii="Calibri" w:cs="Calibri" w:eastAsia="Calibri" w:hAnsi="Calibri"/>
                <w:sz w:val="19"/>
                <w:szCs w:val="19"/>
              </w:rPr>
              <w:t xml:space="preserve">Mechanical approximation of the IMF / World Bank LIC-DSF rating (Low / Moderate / High) from external debt burden ratios</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Contributes</w:t>
            </w:r>
          </w:p>
        </w:tc>
        <w:tc>
          <w:tcPr>
            <w:tcW w:type="dxa" w:w="7880"/>
            <w:tcMar>
              <w:top w:type="dxa" w:w="80"/>
              <w:left w:type="dxa" w:w="120"/>
              <w:bottom w:type="dxa" w:w="80"/>
              <w:right w:type="dxa" w:w="120"/>
            </w:tcMar>
          </w:tcPr>
          <w:p>
            <w:r>
              <w:rPr>
                <w:rFonts w:ascii="Calibri" w:cs="Calibri" w:eastAsia="Calibri" w:hAnsi="Calibri"/>
                <w:sz w:val="19"/>
                <w:szCs w:val="19"/>
              </w:rPr>
              <w:t xml:space="preserve">Fiscal / external sustainability risk - high external debt relative to the economic base raises crisis risk regardless of current income</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Source</w:t>
            </w:r>
          </w:p>
        </w:tc>
        <w:tc>
          <w:tcPr>
            <w:tcW w:type="dxa" w:w="7880"/>
            <w:tcMar>
              <w:top w:type="dxa" w:w="80"/>
              <w:left w:type="dxa" w:w="120"/>
              <w:bottom w:type="dxa" w:w="80"/>
              <w:right w:type="dxa" w:w="120"/>
            </w:tcMar>
          </w:tcPr>
          <w:p>
            <w:pPr>
              <w:spacing w:after="0"/>
            </w:pPr>
            <w:r>
              <w:rPr>
                <w:rFonts w:ascii="Calibri" w:cs="Calibri" w:eastAsia="Calibri" w:hAnsi="Calibri"/>
                <w:sz w:val="20"/>
                <w:szCs w:val="20"/>
              </w:rPr>
              <w:t xml:space="preserve">World Bank IDS, plus </w:t>
            </w:r>
            <w:r>
              <w:rPr>
                <w:rFonts w:ascii="Consolas" w:cs="Consolas" w:eastAsia="Consolas" w:hAnsi="Consolas"/>
                <w:sz w:val="18"/>
                <w:szCs w:val="18"/>
              </w:rPr>
              <w:t xml:space="preserve">avg_wgi</w:t>
            </w:r>
            <w:r>
              <w:rPr>
                <w:rFonts w:ascii="Calibri" w:cs="Calibri" w:eastAsia="Calibri" w:hAnsi="Calibri"/>
                <w:sz w:val="20"/>
                <w:szCs w:val="20"/>
              </w:rPr>
              <w:t xml:space="preserve"> from Indicator 2 for tiering</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Series</w:t>
            </w:r>
          </w:p>
        </w:tc>
        <w:tc>
          <w:tcPr>
            <w:tcW w:type="dxa" w:w="7880"/>
            <w:tcMar>
              <w:top w:type="dxa" w:w="80"/>
              <w:left w:type="dxa" w:w="120"/>
              <w:bottom w:type="dxa" w:w="80"/>
              <w:right w:type="dxa" w:w="120"/>
            </w:tcMar>
          </w:tcPr>
          <w:p>
            <w:pPr>
              <w:spacing w:after="0"/>
            </w:pPr>
            <w:r>
              <w:rPr>
                <w:rFonts w:ascii="Calibri" w:cs="Calibri" w:eastAsia="Calibri" w:hAnsi="Calibri"/>
                <w:sz w:val="20"/>
                <w:szCs w:val="20"/>
              </w:rPr>
              <w:t xml:space="preserve">Preferred (present value): </w:t>
            </w:r>
            <w:r>
              <w:rPr>
                <w:rFonts w:ascii="Consolas" w:cs="Consolas" w:eastAsia="Consolas" w:hAnsi="Consolas"/>
                <w:sz w:val="18"/>
                <w:szCs w:val="18"/>
              </w:rPr>
              <w:t xml:space="preserve">DT.DOD.PVLX.GN.ZS</w:t>
            </w:r>
            <w:r>
              <w:rPr>
                <w:rFonts w:ascii="Calibri" w:cs="Calibri" w:eastAsia="Calibri" w:hAnsi="Calibri"/>
                <w:sz w:val="20"/>
                <w:szCs w:val="20"/>
              </w:rPr>
              <w:t xml:space="preserve"> (% GNI), </w:t>
            </w:r>
            <w:r>
              <w:rPr>
                <w:rFonts w:ascii="Consolas" w:cs="Consolas" w:eastAsia="Consolas" w:hAnsi="Consolas"/>
                <w:sz w:val="18"/>
                <w:szCs w:val="18"/>
              </w:rPr>
              <w:t xml:space="preserve">DT.DOD.PVLX.EX.ZS</w:t>
            </w:r>
            <w:r>
              <w:rPr>
                <w:rFonts w:ascii="Calibri" w:cs="Calibri" w:eastAsia="Calibri" w:hAnsi="Calibri"/>
                <w:sz w:val="20"/>
                <w:szCs w:val="20"/>
              </w:rPr>
              <w:t xml:space="preserve"> (% exports).  Fallback (face value): </w:t>
            </w:r>
            <w:r>
              <w:rPr>
                <w:rFonts w:ascii="Consolas" w:cs="Consolas" w:eastAsia="Consolas" w:hAnsi="Consolas"/>
                <w:sz w:val="18"/>
                <w:szCs w:val="18"/>
              </w:rPr>
              <w:t xml:space="preserve">DT.DOD.DECT.GN.ZS</w:t>
            </w:r>
            <w:r>
              <w:rPr>
                <w:rFonts w:ascii="Calibri" w:cs="Calibri" w:eastAsia="Calibri" w:hAnsi="Calibri"/>
                <w:sz w:val="20"/>
                <w:szCs w:val="20"/>
              </w:rPr>
              <w:t xml:space="preserve">, </w:t>
            </w:r>
            <w:r>
              <w:rPr>
                <w:rFonts w:ascii="Consolas" w:cs="Consolas" w:eastAsia="Consolas" w:hAnsi="Consolas"/>
                <w:sz w:val="18"/>
                <w:szCs w:val="18"/>
              </w:rPr>
              <w:t xml:space="preserve">DT.DOD.DECT.EX.ZS</w:t>
            </w:r>
            <w:r>
              <w:rPr>
                <w:rFonts w:ascii="Calibri" w:cs="Calibri" w:eastAsia="Calibri" w:hAnsi="Calibri"/>
                <w:sz w:val="20"/>
                <w:szCs w:val="20"/>
              </w:rPr>
              <w:t xml:space="preserve">.  Debt service: </w:t>
            </w:r>
            <w:r>
              <w:rPr>
                <w:rFonts w:ascii="Consolas" w:cs="Consolas" w:eastAsia="Consolas" w:hAnsi="Consolas"/>
                <w:sz w:val="18"/>
                <w:szCs w:val="18"/>
              </w:rPr>
              <w:t xml:space="preserve">DT.TDS.DECT.EX.ZS</w:t>
            </w:r>
            <w:r>
              <w:rPr>
                <w:rFonts w:ascii="Calibri" w:cs="Calibri" w:eastAsia="Calibri" w:hAnsi="Calibri"/>
                <w:sz w:val="20"/>
                <w:szCs w:val="20"/>
              </w:rPr>
              <w:t xml:space="preserve"> (% exports)</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Retrieval</w:t>
            </w:r>
          </w:p>
        </w:tc>
        <w:tc>
          <w:tcPr>
            <w:tcW w:type="dxa" w:w="7880"/>
            <w:tcMar>
              <w:top w:type="dxa" w:w="80"/>
              <w:left w:type="dxa" w:w="120"/>
              <w:bottom w:type="dxa" w:w="80"/>
              <w:right w:type="dxa" w:w="120"/>
            </w:tcMar>
          </w:tcPr>
          <w:p>
            <w:r>
              <w:rPr>
                <w:rFonts w:ascii="Calibri" w:cs="Calibri" w:eastAsia="Calibri" w:hAnsi="Calibri"/>
                <w:sz w:val="19"/>
                <w:szCs w:val="19"/>
              </w:rPr>
              <w:t xml:space="preserve">Same WB indicator endpoint pattern (default source), one call per series</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Weight</w:t>
            </w:r>
          </w:p>
        </w:tc>
        <w:tc>
          <w:tcPr>
            <w:tcW w:type="dxa" w:w="7880"/>
            <w:tcMar>
              <w:top w:type="dxa" w:w="80"/>
              <w:left w:type="dxa" w:w="120"/>
              <w:bottom w:type="dxa" w:w="80"/>
              <w:right w:type="dxa" w:w="120"/>
            </w:tcMar>
          </w:tcPr>
          <w:p>
            <w:r>
              <w:rPr>
                <w:rFonts w:ascii="Calibri" w:cs="Calibri" w:eastAsia="Calibri" w:hAnsi="Calibri"/>
                <w:sz w:val="19"/>
                <w:szCs w:val="19"/>
              </w:rPr>
              <w:t xml:space="preserve">25%</w:t>
            </w:r>
          </w:p>
        </w:tc>
      </w:tr>
    </w:tbl>
    <w:p>
      <w:pPr>
        <w:spacing w:after="100"/>
      </w:pPr>
    </w:p>
    <w:p>
      <w:pPr>
        <w:shd w:fill="F2F2F2" w:val="clear"/>
        <w:spacing w:after="0" w:before="100"/>
        <w:ind w:left="180" w:right="180"/>
      </w:pPr>
      <w:r>
        <w:rPr>
          <w:rFonts w:ascii="Consolas" w:cs="Consolas" w:eastAsia="Consolas" w:hAnsi="Consolas"/>
          <w:sz w:val="17"/>
          <w:szCs w:val="17"/>
        </w:rPr>
        <w:t xml:space="preserve"># Step 1 - debt-carrying-capacity tier</w:t>
      </w:r>
    </w:p>
    <w:p>
      <w:pPr>
        <w:shd w:fill="F2F2F2" w:val="clear"/>
        <w:spacing w:after="0" w:before="0"/>
        <w:ind w:left="180" w:right="180"/>
      </w:pPr>
      <w:r>
        <w:rPr>
          <w:rFonts w:ascii="Consolas" w:cs="Consolas" w:eastAsia="Consolas" w:hAnsi="Consolas"/>
          <w:sz w:val="17"/>
          <w:szCs w:val="17"/>
        </w:rPr>
        <w:t xml:space="preserve"># The official LIC-DSF uses CPIA here; WGI is used instead as CPIA covers</w:t>
      </w:r>
    </w:p>
    <w:p>
      <w:pPr>
        <w:shd w:fill="F2F2F2" w:val="clear"/>
        <w:spacing w:after="0" w:before="0"/>
        <w:ind w:left="180" w:right="180"/>
      </w:pPr>
      <w:r>
        <w:rPr>
          <w:rFonts w:ascii="Consolas" w:cs="Consolas" w:eastAsia="Consolas" w:hAnsi="Consolas"/>
          <w:sz w:val="17"/>
          <w:szCs w:val="17"/>
        </w:rPr>
        <w:t xml:space="preserve"># only IDA-eligible countries.</w:t>
      </w:r>
    </w:p>
    <w:p>
      <w:pPr>
        <w:shd w:fill="F2F2F2" w:val="clear"/>
        <w:spacing w:after="0" w:before="0"/>
        <w:ind w:left="180" w:right="180"/>
      </w:pPr>
      <w:r>
        <w:rPr>
          <w:rFonts w:ascii="Consolas" w:cs="Consolas" w:eastAsia="Consolas" w:hAnsi="Consolas"/>
          <w:sz w:val="17"/>
          <w:szCs w:val="17"/>
        </w:rPr>
        <w:t xml:space="preserve">tier = "strong"  if avg_wgi &gt;= -0.20</w:t>
      </w:r>
    </w:p>
    <w:p>
      <w:pPr>
        <w:shd w:fill="F2F2F2" w:val="clear"/>
        <w:spacing w:after="0" w:before="0"/>
        <w:ind w:left="180" w:right="180"/>
      </w:pPr>
      <w:r>
        <w:rPr>
          <w:rFonts w:ascii="Consolas" w:cs="Consolas" w:eastAsia="Consolas" w:hAnsi="Consolas"/>
          <w:sz w:val="17"/>
          <w:szCs w:val="17"/>
        </w:rPr>
        <w:t xml:space="preserve">       "medium"  if -0.80 &lt;= avg_wgi &lt; -0.20</w:t>
      </w:r>
    </w:p>
    <w:p>
      <w:pPr>
        <w:shd w:fill="F2F2F2" w:val="clear"/>
        <w:spacing w:after="0" w:before="0"/>
        <w:ind w:left="180" w:right="180"/>
      </w:pPr>
      <w:r>
        <w:rPr>
          <w:rFonts w:ascii="Consolas" w:cs="Consolas" w:eastAsia="Consolas" w:hAnsi="Consolas"/>
          <w:sz w:val="17"/>
          <w:szCs w:val="17"/>
        </w:rPr>
        <w:t xml:space="preserve">       "weak"    if avg_wgi &lt; -0.80</w:t>
      </w:r>
    </w:p>
    <w:p>
      <w:pPr>
        <w:shd w:fill="F2F2F2" w:val="clear"/>
        <w:spacing w:after="0" w:before="0"/>
        <w:ind w:left="180" w:right="180"/>
      </w:pPr>
      <w:r>
        <w:rPr>
          <w:rFonts w:ascii="Consolas" w:cs="Consolas" w:eastAsia="Consolas" w:hAnsi="Consolas"/>
          <w:sz w:val="17"/>
          <w:szCs w:val="17"/>
        </w:rPr>
        <w:t xml:space="preserve">       null      if avg_wgi unavailable</w:t>
      </w:r>
    </w:p>
    <w:p>
      <w:pPr>
        <w:shd w:fill="F2F2F2" w:val="clear"/>
        <w:spacing w:after="0" w:before="0"/>
        <w:ind w:left="180" w:right="180"/>
      </w:pPr>
      <w:r>
        <w:rPr>
          <w:rFonts w:ascii="Consolas" w:cs="Consolas" w:eastAsia="Consolas" w:hAnsi="Consolas"/>
          <w:sz w:val="17"/>
          <w:szCs w:val="17"/>
        </w:rPr>
        <w:t xml:space="preserve"> </w:t>
      </w:r>
    </w:p>
    <w:p>
      <w:pPr>
        <w:shd w:fill="F2F2F2" w:val="clear"/>
        <w:spacing w:after="0" w:before="0"/>
        <w:ind w:left="180" w:right="180"/>
      </w:pPr>
      <w:r>
        <w:rPr>
          <w:rFonts w:ascii="Consolas" w:cs="Consolas" w:eastAsia="Consolas" w:hAnsi="Consolas"/>
          <w:sz w:val="17"/>
          <w:szCs w:val="17"/>
        </w:rPr>
        <w:t xml:space="preserve"># Step 2 - LIC-DSF thresholds by tier</w:t>
      </w:r>
    </w:p>
    <w:p>
      <w:pPr>
        <w:shd w:fill="F2F2F2" w:val="clear"/>
        <w:spacing w:after="0" w:before="0"/>
        <w:ind w:left="180" w:right="180"/>
      </w:pPr>
      <w:r>
        <w:rPr>
          <w:rFonts w:ascii="Consolas" w:cs="Consolas" w:eastAsia="Consolas" w:hAnsi="Consolas"/>
          <w:sz w:val="17"/>
          <w:szCs w:val="17"/>
        </w:rPr>
        <w:t xml:space="preserve">THRESHOLDS = {</w:t>
      </w:r>
    </w:p>
    <w:p>
      <w:pPr>
        <w:shd w:fill="F2F2F2" w:val="clear"/>
        <w:spacing w:after="0" w:before="0"/>
        <w:ind w:left="180" w:right="180"/>
      </w:pPr>
      <w:r>
        <w:rPr>
          <w:rFonts w:ascii="Consolas" w:cs="Consolas" w:eastAsia="Consolas" w:hAnsi="Consolas"/>
          <w:sz w:val="17"/>
          <w:szCs w:val="17"/>
        </w:rPr>
        <w:t xml:space="preserve">  weak:   { debt_gdp: 30, debt_exports: 140, ds_exports: 10 },</w:t>
      </w:r>
    </w:p>
    <w:p>
      <w:pPr>
        <w:shd w:fill="F2F2F2" w:val="clear"/>
        <w:spacing w:after="0" w:before="0"/>
        <w:ind w:left="180" w:right="180"/>
      </w:pPr>
      <w:r>
        <w:rPr>
          <w:rFonts w:ascii="Consolas" w:cs="Consolas" w:eastAsia="Consolas" w:hAnsi="Consolas"/>
          <w:sz w:val="17"/>
          <w:szCs w:val="17"/>
        </w:rPr>
        <w:t xml:space="preserve">  medium: { debt_gdp: 40, debt_exports: 180, ds_exports: 15 },</w:t>
      </w:r>
    </w:p>
    <w:p>
      <w:pPr>
        <w:shd w:fill="F2F2F2" w:val="clear"/>
        <w:spacing w:after="0" w:before="0"/>
        <w:ind w:left="180" w:right="180"/>
      </w:pPr>
      <w:r>
        <w:rPr>
          <w:rFonts w:ascii="Consolas" w:cs="Consolas" w:eastAsia="Consolas" w:hAnsi="Consolas"/>
          <w:sz w:val="17"/>
          <w:szCs w:val="17"/>
        </w:rPr>
        <w:t xml:space="preserve">  strong: { debt_gdp: 55, debt_exports: 240, ds_exports: 21 },</w:t>
      </w:r>
    </w:p>
    <w:p>
      <w:pPr>
        <w:shd w:fill="F2F2F2" w:val="clear"/>
        <w:spacing w:after="0" w:before="0"/>
        <w:ind w:left="180" w:right="180"/>
      </w:pPr>
      <w:r>
        <w:rPr>
          <w:rFonts w:ascii="Consolas" w:cs="Consolas" w:eastAsia="Consolas" w:hAnsi="Consolas"/>
          <w:sz w:val="17"/>
          <w:szCs w:val="17"/>
        </w:rPr>
        <w:t xml:space="preserve">}</w:t>
      </w:r>
    </w:p>
    <w:p>
      <w:pPr>
        <w:shd w:fill="F2F2F2" w:val="clear"/>
        <w:spacing w:after="0" w:before="0"/>
        <w:ind w:left="180" w:right="180"/>
      </w:pPr>
      <w:r>
        <w:rPr>
          <w:rFonts w:ascii="Consolas" w:cs="Consolas" w:eastAsia="Consolas" w:hAnsi="Consolas"/>
          <w:sz w:val="17"/>
          <w:szCs w:val="17"/>
        </w:rPr>
        <w:t xml:space="preserve"> </w:t>
      </w:r>
    </w:p>
    <w:p>
      <w:pPr>
        <w:shd w:fill="F2F2F2" w:val="clear"/>
        <w:spacing w:after="0" w:before="0"/>
        <w:ind w:left="180" w:right="180"/>
      </w:pPr>
      <w:r>
        <w:rPr>
          <w:rFonts w:ascii="Consolas" w:cs="Consolas" w:eastAsia="Consolas" w:hAnsi="Consolas"/>
          <w:sz w:val="17"/>
          <w:szCs w:val="17"/>
        </w:rPr>
        <w:t xml:space="preserve"># Step 3 - select debt basis, then compute actual-to-threshold ratios</w:t>
      </w:r>
    </w:p>
    <w:p>
      <w:pPr>
        <w:shd w:fill="F2F2F2" w:val="clear"/>
        <w:spacing w:after="0" w:before="0"/>
        <w:ind w:left="180" w:right="180"/>
      </w:pPr>
      <w:r>
        <w:rPr>
          <w:rFonts w:ascii="Consolas" w:cs="Consolas" w:eastAsia="Consolas" w:hAnsi="Consolas"/>
          <w:sz w:val="17"/>
          <w:szCs w:val="17"/>
        </w:rPr>
        <w:t xml:space="preserve"># DSF thresholds are DEFINED in present-value terms, so PV series are</w:t>
      </w:r>
    </w:p>
    <w:p>
      <w:pPr>
        <w:shd w:fill="F2F2F2" w:val="clear"/>
        <w:spacing w:after="0" w:before="0"/>
        <w:ind w:left="180" w:right="180"/>
      </w:pPr>
      <w:r>
        <w:rPr>
          <w:rFonts w:ascii="Consolas" w:cs="Consolas" w:eastAsia="Consolas" w:hAnsi="Consolas"/>
          <w:sz w:val="17"/>
          <w:szCs w:val="17"/>
        </w:rPr>
        <w:t xml:space="preserve"># preferred. PV coverage is thinner than face-value coverage, so fall back</w:t>
      </w:r>
    </w:p>
    <w:p>
      <w:pPr>
        <w:shd w:fill="F2F2F2" w:val="clear"/>
        <w:spacing w:after="0" w:before="0"/>
        <w:ind w:left="180" w:right="180"/>
      </w:pPr>
      <w:r>
        <w:rPr>
          <w:rFonts w:ascii="Consolas" w:cs="Consolas" w:eastAsia="Consolas" w:hAnsi="Consolas"/>
          <w:sz w:val="17"/>
          <w:szCs w:val="17"/>
        </w:rPr>
        <w:t xml:space="preserve"># per country and record which basis was used (output column debt_basis).</w:t>
      </w:r>
    </w:p>
    <w:p>
      <w:pPr>
        <w:shd w:fill="F2F2F2" w:val="clear"/>
        <w:spacing w:after="0" w:before="0"/>
        <w:ind w:left="180" w:right="180"/>
      </w:pPr>
      <w:r>
        <w:rPr>
          <w:rFonts w:ascii="Consolas" w:cs="Consolas" w:eastAsia="Consolas" w:hAnsi="Consolas"/>
          <w:sz w:val="17"/>
          <w:szCs w:val="17"/>
        </w:rPr>
        <w:t xml:space="preserve">if PV series available:</w:t>
      </w:r>
    </w:p>
    <w:p>
      <w:pPr>
        <w:shd w:fill="F2F2F2" w:val="clear"/>
        <w:spacing w:after="0" w:before="0"/>
        <w:ind w:left="180" w:right="180"/>
      </w:pPr>
      <w:r>
        <w:rPr>
          <w:rFonts w:ascii="Consolas" w:cs="Consolas" w:eastAsia="Consolas" w:hAnsi="Consolas"/>
          <w:sz w:val="17"/>
          <w:szCs w:val="17"/>
        </w:rPr>
        <w:t xml:space="preserve">    v_gdp, v_exp = PV_pct_GNI, PV_pct_exports              # "present_value"</w:t>
      </w:r>
    </w:p>
    <w:p>
      <w:pPr>
        <w:shd w:fill="F2F2F2" w:val="clear"/>
        <w:spacing w:after="0" w:before="0"/>
        <w:ind w:left="180" w:right="180"/>
      </w:pPr>
      <w:r>
        <w:rPr>
          <w:rFonts w:ascii="Consolas" w:cs="Consolas" w:eastAsia="Consolas" w:hAnsi="Consolas"/>
          <w:sz w:val="17"/>
          <w:szCs w:val="17"/>
        </w:rPr>
        <w:t xml:space="preserve">else:</w:t>
      </w:r>
    </w:p>
    <w:p>
      <w:pPr>
        <w:shd w:fill="F2F2F2" w:val="clear"/>
        <w:spacing w:after="0" w:before="0"/>
        <w:ind w:left="180" w:right="180"/>
      </w:pPr>
      <w:r>
        <w:rPr>
          <w:rFonts w:ascii="Consolas" w:cs="Consolas" w:eastAsia="Consolas" w:hAnsi="Consolas"/>
          <w:sz w:val="17"/>
          <w:szCs w:val="17"/>
        </w:rPr>
        <w:t xml:space="preserve">    v_gdp, v_exp = debt_stock_pct_GNI, debt_stock_pct_exports  # "face_value"</w:t>
      </w:r>
    </w:p>
    <w:p>
      <w:pPr>
        <w:shd w:fill="F2F2F2" w:val="clear"/>
        <w:spacing w:after="0" w:before="0"/>
        <w:ind w:left="180" w:right="180"/>
      </w:pPr>
      <w:r>
        <w:rPr>
          <w:rFonts w:ascii="Consolas" w:cs="Consolas" w:eastAsia="Consolas" w:hAnsi="Consolas"/>
          <w:sz w:val="17"/>
          <w:szCs w:val="17"/>
        </w:rPr>
        <w:t xml:space="preserve"> </w:t>
      </w:r>
    </w:p>
    <w:p>
      <w:pPr>
        <w:shd w:fill="F2F2F2" w:val="clear"/>
        <w:spacing w:after="0" w:before="0"/>
        <w:ind w:left="180" w:right="180"/>
      </w:pPr>
      <w:r>
        <w:rPr>
          <w:rFonts w:ascii="Consolas" w:cs="Consolas" w:eastAsia="Consolas" w:hAnsi="Consolas"/>
          <w:sz w:val="17"/>
          <w:szCs w:val="17"/>
        </w:rPr>
        <w:t xml:space="preserve">r_gdp = v_gdp                    / THRESHOLDS[tier].debt_gdp</w:t>
      </w:r>
    </w:p>
    <w:p>
      <w:pPr>
        <w:shd w:fill="F2F2F2" w:val="clear"/>
        <w:spacing w:after="0" w:before="0"/>
        <w:ind w:left="180" w:right="180"/>
      </w:pPr>
      <w:r>
        <w:rPr>
          <w:rFonts w:ascii="Consolas" w:cs="Consolas" w:eastAsia="Consolas" w:hAnsi="Consolas"/>
          <w:sz w:val="17"/>
          <w:szCs w:val="17"/>
        </w:rPr>
        <w:t xml:space="preserve">r_exp = v_exp                    / THRESHOLDS[tier].debt_exports</w:t>
      </w:r>
    </w:p>
    <w:p>
      <w:pPr>
        <w:shd w:fill="F2F2F2" w:val="clear"/>
        <w:spacing w:after="0" w:before="0"/>
        <w:ind w:left="180" w:right="180"/>
      </w:pPr>
      <w:r>
        <w:rPr>
          <w:rFonts w:ascii="Consolas" w:cs="Consolas" w:eastAsia="Consolas" w:hAnsi="Consolas"/>
          <w:sz w:val="17"/>
          <w:szCs w:val="17"/>
        </w:rPr>
        <w:t xml:space="preserve">r_ds  = debt_service_pct_exports / THRESHOLDS[tier].ds_exports</w:t>
      </w:r>
    </w:p>
    <w:p>
      <w:pPr>
        <w:shd w:fill="F2F2F2" w:val="clear"/>
        <w:spacing w:after="0" w:before="0"/>
        <w:ind w:left="180" w:right="180"/>
      </w:pPr>
      <w:r>
        <w:rPr>
          <w:rFonts w:ascii="Consolas" w:cs="Consolas" w:eastAsia="Consolas" w:hAnsi="Consolas"/>
          <w:sz w:val="17"/>
          <w:szCs w:val="17"/>
        </w:rPr>
        <w:t xml:space="preserve"> </w:t>
      </w:r>
    </w:p>
    <w:p>
      <w:pPr>
        <w:shd w:fill="F2F2F2" w:val="clear"/>
        <w:spacing w:after="0" w:before="0"/>
        <w:ind w:left="180" w:right="180"/>
      </w:pPr>
      <w:r>
        <w:rPr>
          <w:rFonts w:ascii="Consolas" w:cs="Consolas" w:eastAsia="Consolas" w:hAnsi="Consolas"/>
          <w:sz w:val="17"/>
          <w:szCs w:val="17"/>
        </w:rPr>
        <w:t xml:space="preserve"># Step 4 - worst available ratio</w:t>
      </w:r>
    </w:p>
    <w:p>
      <w:pPr>
        <w:shd w:fill="F2F2F2" w:val="clear"/>
        <w:spacing w:after="0" w:before="0"/>
        <w:ind w:left="180" w:right="180"/>
      </w:pPr>
      <w:r>
        <w:rPr>
          <w:rFonts w:ascii="Consolas" w:cs="Consolas" w:eastAsia="Consolas" w:hAnsi="Consolas"/>
          <w:sz w:val="17"/>
          <w:szCs w:val="17"/>
        </w:rPr>
        <w:t xml:space="preserve">max_ratio = max(r_gdp, r_exp, r_ds)</w:t>
      </w:r>
    </w:p>
    <w:p>
      <w:pPr>
        <w:shd w:fill="F2F2F2" w:val="clear"/>
        <w:spacing w:after="0" w:before="0"/>
        <w:ind w:left="180" w:right="180"/>
      </w:pPr>
      <w:r>
        <w:rPr>
          <w:rFonts w:ascii="Consolas" w:cs="Consolas" w:eastAsia="Consolas" w:hAnsi="Consolas"/>
          <w:sz w:val="17"/>
          <w:szCs w:val="17"/>
        </w:rPr>
        <w:t xml:space="preserve"> </w:t>
      </w:r>
    </w:p>
    <w:p>
      <w:pPr>
        <w:shd w:fill="F2F2F2" w:val="clear"/>
        <w:spacing w:after="0" w:before="0"/>
        <w:ind w:left="180" w:right="180"/>
      </w:pPr>
      <w:r>
        <w:rPr>
          <w:rFonts w:ascii="Consolas" w:cs="Consolas" w:eastAsia="Consolas" w:hAnsi="Consolas"/>
          <w:sz w:val="17"/>
          <w:szCs w:val="17"/>
        </w:rPr>
        <w:t xml:space="preserve"># Step 5 - classify</w:t>
      </w:r>
    </w:p>
    <w:p>
      <w:pPr>
        <w:shd w:fill="F2F2F2" w:val="clear"/>
        <w:spacing w:after="0" w:before="0"/>
        <w:ind w:left="180" w:right="180"/>
      </w:pPr>
      <w:r>
        <w:rPr>
          <w:rFonts w:ascii="Consolas" w:cs="Consolas" w:eastAsia="Consolas" w:hAnsi="Consolas"/>
          <w:sz w:val="17"/>
          <w:szCs w:val="17"/>
        </w:rPr>
        <w:t xml:space="preserve">category = "Low"      if max_ratio &lt; 0.75</w:t>
      </w:r>
    </w:p>
    <w:p>
      <w:pPr>
        <w:shd w:fill="F2F2F2" w:val="clear"/>
        <w:spacing w:after="0" w:before="0"/>
        <w:ind w:left="180" w:right="180"/>
      </w:pPr>
      <w:r>
        <w:rPr>
          <w:rFonts w:ascii="Consolas" w:cs="Consolas" w:eastAsia="Consolas" w:hAnsi="Consolas"/>
          <w:sz w:val="17"/>
          <w:szCs w:val="17"/>
        </w:rPr>
        <w:t xml:space="preserve">           "Moderate" if 0.75 &lt;= max_ratio &lt; 1.0</w:t>
      </w:r>
    </w:p>
    <w:p>
      <w:pPr>
        <w:shd w:fill="F2F2F2" w:val="clear"/>
        <w:spacing w:after="0" w:before="0"/>
        <w:ind w:left="180" w:right="180"/>
      </w:pPr>
      <w:r>
        <w:rPr>
          <w:rFonts w:ascii="Consolas" w:cs="Consolas" w:eastAsia="Consolas" w:hAnsi="Consolas"/>
          <w:sz w:val="17"/>
          <w:szCs w:val="17"/>
        </w:rPr>
        <w:t xml:space="preserve">           "High"     if max_ratio &gt;= 1.0</w:t>
      </w:r>
    </w:p>
    <w:p>
      <w:pPr>
        <w:shd w:fill="F2F2F2" w:val="clear"/>
        <w:spacing w:after="0" w:before="0"/>
        <w:ind w:left="180" w:right="180"/>
      </w:pPr>
      <w:r>
        <w:rPr>
          <w:rFonts w:ascii="Consolas" w:cs="Consolas" w:eastAsia="Consolas" w:hAnsi="Consolas"/>
          <w:sz w:val="17"/>
          <w:szCs w:val="17"/>
        </w:rPr>
        <w:t xml:space="preserve"> </w:t>
      </w:r>
    </w:p>
    <w:p>
      <w:pPr>
        <w:shd w:fill="F2F2F2" w:val="clear"/>
        <w:spacing w:after="0" w:before="0"/>
        <w:ind w:left="180" w:right="180"/>
      </w:pPr>
      <w:r>
        <w:rPr>
          <w:rFonts w:ascii="Consolas" w:cs="Consolas" w:eastAsia="Consolas" w:hAnsi="Consolas"/>
          <w:sz w:val="17"/>
          <w:szCs w:val="17"/>
        </w:rPr>
        <w:t xml:space="preserve"># Step 6 - score</w:t>
      </w:r>
    </w:p>
    <w:p>
      <w:pPr>
        <w:shd w:fill="F2F2F2" w:val="clear"/>
        <w:spacing w:after="160" w:before="0"/>
        <w:ind w:left="180" w:right="180"/>
      </w:pPr>
      <w:r>
        <w:rPr>
          <w:rFonts w:ascii="Consolas" w:cs="Consolas" w:eastAsia="Consolas" w:hAnsi="Consolas"/>
          <w:sz w:val="17"/>
          <w:szCs w:val="17"/>
        </w:rPr>
        <w:t xml:space="preserve">norm_debt_risk = 1.0 (Low) | 0.5 (Moderate) | 0.0 (High)</w:t>
      </w:r>
    </w:p>
    <w:p>
      <w:pPr>
        <w:pStyle w:val="Heading2"/>
        <w:spacing w:after="120" w:before="280"/>
      </w:pPr>
      <w:r>
        <w:rPr>
          <w:rFonts w:ascii="Calibri" w:cs="Calibri" w:eastAsia="Calibri" w:hAnsi="Calibri"/>
          <w:b/>
          <w:bCs/>
          <w:color w:val="1F4E79"/>
          <w:sz w:val="24"/>
          <w:szCs w:val="24"/>
        </w:rPr>
        <w:t xml:space="preserve">Limitations</w:t>
      </w:r>
    </w:p>
    <w:p>
      <w:pPr>
        <w:spacing w:after="120"/>
      </w:pPr>
      <w:r>
        <w:rPr>
          <w:rFonts w:ascii="Calibri" w:cs="Calibri" w:eastAsia="Calibri" w:hAnsi="Calibri"/>
          <w:i/>
          <w:iCs/>
          <w:color w:val="595959"/>
          <w:sz w:val="20"/>
          <w:szCs w:val="20"/>
        </w:rPr>
        <w:t xml:space="preserve">Surface these in dashboard metadata / tooltips.</w:t>
      </w:r>
    </w:p>
    <w:p>
      <w:pPr>
        <w:pStyle w:val="ListParagraph"/>
        <w:numPr>
          <w:ilvl w:val="0"/>
          <w:numId w:val="2"/>
        </w:numPr>
        <w:spacing w:after="80"/>
      </w:pPr>
      <w:r>
        <w:rPr>
          <w:rFonts w:ascii="Calibri" w:cs="Calibri" w:eastAsia="Calibri" w:hAnsi="Calibri"/>
          <w:b/>
          <w:bCs/>
          <w:sz w:val="20"/>
          <w:szCs w:val="20"/>
        </w:rPr>
        <w:t xml:space="preserve">Total vs PPG debt: </w:t>
      </w:r>
      <w:r>
        <w:rPr>
          <w:rFonts w:ascii="Calibri" w:cs="Calibri" w:eastAsia="Calibri" w:hAnsi="Calibri"/>
          <w:sz w:val="20"/>
          <w:szCs w:val="20"/>
        </w:rPr>
        <w:t xml:space="preserve">DSF thresholds apply to public and publicly guaranteed external debt; the DECT / PVLX series cover total external debt including private nonguaranteed and short-term. This systematically overstates debt against the threshold, most severely for countries with large private external borrowing. (</w:t>
      </w:r>
      <w:r>
        <w:rPr>
          <w:rFonts w:ascii="Consolas" w:cs="Consolas" w:eastAsia="Consolas" w:hAnsi="Consolas"/>
          <w:sz w:val="18"/>
          <w:szCs w:val="18"/>
        </w:rPr>
        <w:t xml:space="preserve">DT.DOD.DPPG.CD</w:t>
      </w:r>
      <w:r>
        <w:rPr>
          <w:rFonts w:ascii="Calibri" w:cs="Calibri" w:eastAsia="Calibri" w:hAnsi="Calibri"/>
          <w:sz w:val="20"/>
          <w:szCs w:val="20"/>
        </w:rPr>
        <w:t xml:space="preserve"> gives PPG stocks but only in current US$, requiring separate GDP / exports denominators.)</w:t>
      </w:r>
    </w:p>
    <w:p>
      <w:pPr>
        <w:pStyle w:val="ListParagraph"/>
        <w:numPr>
          <w:ilvl w:val="0"/>
          <w:numId w:val="2"/>
        </w:numPr>
        <w:spacing w:after="80"/>
      </w:pPr>
      <w:r>
        <w:rPr>
          <w:rFonts w:ascii="Calibri" w:cs="Calibri" w:eastAsia="Calibri" w:hAnsi="Calibri"/>
          <w:b/>
          <w:bCs/>
          <w:sz w:val="20"/>
          <w:szCs w:val="20"/>
        </w:rPr>
        <w:t xml:space="preserve">Basis fallback: </w:t>
      </w:r>
      <w:r>
        <w:rPr>
          <w:rFonts w:ascii="Calibri" w:cs="Calibri" w:eastAsia="Calibri" w:hAnsi="Calibri"/>
          <w:sz w:val="20"/>
          <w:szCs w:val="20"/>
        </w:rPr>
        <w:t xml:space="preserve">where PV series are unavailable the proxy falls back to face value, which reads worse for heavily-concessional borrowers. Check the </w:t>
      </w:r>
      <w:r>
        <w:rPr>
          <w:rFonts w:ascii="Consolas" w:cs="Consolas" w:eastAsia="Consolas" w:hAnsi="Consolas"/>
          <w:sz w:val="18"/>
          <w:szCs w:val="18"/>
        </w:rPr>
        <w:t xml:space="preserve">debt_basis</w:t>
      </w:r>
      <w:r>
        <w:rPr>
          <w:rFonts w:ascii="Calibri" w:cs="Calibri" w:eastAsia="Calibri" w:hAnsi="Calibri"/>
          <w:sz w:val="20"/>
          <w:szCs w:val="20"/>
        </w:rPr>
        <w:t xml:space="preserve"> column - countries on </w:t>
      </w:r>
      <w:r>
        <w:rPr>
          <w:rFonts w:ascii="Consolas" w:cs="Consolas" w:eastAsia="Consolas" w:hAnsi="Consolas"/>
          <w:sz w:val="18"/>
          <w:szCs w:val="18"/>
        </w:rPr>
        <w:t xml:space="preserve">face_value</w:t>
      </w:r>
      <w:r>
        <w:rPr>
          <w:rFonts w:ascii="Calibri" w:cs="Calibri" w:eastAsia="Calibri" w:hAnsi="Calibri"/>
          <w:sz w:val="20"/>
          <w:szCs w:val="20"/>
        </w:rPr>
        <w:t xml:space="preserve"> are less reliable.</w:t>
      </w:r>
    </w:p>
    <w:p>
      <w:pPr>
        <w:pStyle w:val="ListParagraph"/>
        <w:numPr>
          <w:ilvl w:val="0"/>
          <w:numId w:val="2"/>
        </w:numPr>
        <w:spacing w:after="80"/>
      </w:pPr>
      <w:r>
        <w:rPr>
          <w:rFonts w:ascii="Calibri" w:cs="Calibri" w:eastAsia="Calibri" w:hAnsi="Calibri"/>
          <w:b/>
          <w:bCs/>
          <w:sz w:val="20"/>
          <w:szCs w:val="20"/>
        </w:rPr>
        <w:t xml:space="preserve">GNI vs GDP denominator: </w:t>
      </w:r>
      <w:r>
        <w:rPr>
          <w:rFonts w:ascii="Calibri" w:cs="Calibri" w:eastAsia="Calibri" w:hAnsi="Calibri"/>
          <w:sz w:val="20"/>
          <w:szCs w:val="20"/>
        </w:rPr>
        <w:t xml:space="preserve">the threshold is defined on debt/GDP; the available series use GNI. Small but real for high-remittance economies.</w:t>
      </w:r>
    </w:p>
    <w:p>
      <w:pPr>
        <w:pStyle w:val="ListParagraph"/>
        <w:numPr>
          <w:ilvl w:val="0"/>
          <w:numId w:val="2"/>
        </w:numPr>
        <w:spacing w:after="80"/>
      </w:pPr>
      <w:r>
        <w:rPr>
          <w:rFonts w:ascii="Calibri" w:cs="Calibri" w:eastAsia="Calibri" w:hAnsi="Calibri"/>
          <w:sz w:val="20"/>
          <w:szCs w:val="20"/>
        </w:rPr>
        <w:t xml:space="preserve">Omits the debt-service-to-revenue ratio (4th official metric - no clean API series).</w:t>
      </w:r>
    </w:p>
    <w:p>
      <w:pPr>
        <w:pStyle w:val="ListParagraph"/>
        <w:numPr>
          <w:ilvl w:val="0"/>
          <w:numId w:val="2"/>
        </w:numPr>
        <w:spacing w:after="80"/>
      </w:pPr>
      <w:r>
        <w:rPr>
          <w:rFonts w:ascii="Calibri" w:cs="Calibri" w:eastAsia="Calibri" w:hAnsi="Calibri"/>
          <w:sz w:val="20"/>
          <w:szCs w:val="20"/>
        </w:rPr>
        <w:t xml:space="preserve">No forward-looking stress tests; the official framework projects 10-20 years with staff judgment.</w:t>
      </w:r>
    </w:p>
    <w:p>
      <w:pPr>
        <w:pStyle w:val="ListParagraph"/>
        <w:numPr>
          <w:ilvl w:val="0"/>
          <w:numId w:val="2"/>
        </w:numPr>
        <w:spacing w:after="80"/>
      </w:pPr>
      <w:r>
        <w:rPr>
          <w:rFonts w:ascii="Calibri" w:cs="Calibri" w:eastAsia="Calibri" w:hAnsi="Calibri"/>
          <w:sz w:val="20"/>
          <w:szCs w:val="20"/>
        </w:rPr>
        <w:t xml:space="preserve">Cannot detect an actual "in distress" event (arrears / restructuring), so the scale caps at High rather than the official 4th category.</w:t>
      </w:r>
    </w:p>
    <w:p>
      <w:pPr>
        <w:pStyle w:val="ListParagraph"/>
        <w:numPr>
          <w:ilvl w:val="0"/>
          <w:numId w:val="2"/>
        </w:numPr>
        <w:spacing w:after="80"/>
      </w:pPr>
      <w:r>
        <w:rPr>
          <w:rFonts w:ascii="Calibri" w:cs="Calibri" w:eastAsia="Calibri" w:hAnsi="Calibri"/>
          <w:sz w:val="20"/>
          <w:szCs w:val="20"/>
        </w:rPr>
        <w:t xml:space="preserve">The WGI tier cutoffs (-0.20 / -0.80) are a calibration judgment, not published IMF values. Validate against published LIC-DSF ratings and adjust if the proxy systematically over- or under-calls.</w:t>
      </w:r>
    </w:p>
    <w:p>
      <w:pPr>
        <w:pBdr>
          <w:bottom w:val="single" w:color="BFBFBF" w:sz="6" w:space="1"/>
        </w:pBdr>
        <w:spacing w:after="200" w:before="200"/>
      </w:pPr>
      <w:r>
        <w:rPr>
          <w:sz w:val="2"/>
          <w:szCs w:val="2"/>
        </w:rPr>
        <w:t xml:space="preserve"/>
      </w:r>
    </w:p>
    <w:p>
      <w:pPr>
        <w:pStyle w:val="Heading1"/>
        <w:spacing w:after="160" w:before="360"/>
      </w:pPr>
      <w:r>
        <w:rPr>
          <w:rFonts w:ascii="Calibri" w:cs="Calibri" w:eastAsia="Calibri" w:hAnsi="Calibri"/>
          <w:b/>
          <w:bCs/>
          <w:color w:val="1F4E79"/>
          <w:sz w:val="30"/>
          <w:szCs w:val="30"/>
        </w:rPr>
        <w:t xml:space="preserve">4.  Non-Concessional External Debt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Measures</w:t>
            </w:r>
          </w:p>
        </w:tc>
        <w:tc>
          <w:tcPr>
            <w:tcW w:type="dxa" w:w="7880"/>
            <w:tcMar>
              <w:top w:type="dxa" w:w="80"/>
              <w:left w:type="dxa" w:w="120"/>
              <w:bottom w:type="dxa" w:w="80"/>
              <w:right w:type="dxa" w:w="120"/>
            </w:tcMar>
          </w:tcPr>
          <w:p>
            <w:r>
              <w:rPr>
                <w:rFonts w:ascii="Calibri" w:cs="Calibri" w:eastAsia="Calibri" w:hAnsi="Calibri"/>
                <w:sz w:val="19"/>
                <w:szCs w:val="19"/>
              </w:rPr>
              <w:t xml:space="preserve">Share of external debt not meeting the 35% grant-element concessionality threshold</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Contributes</w:t>
            </w:r>
          </w:p>
        </w:tc>
        <w:tc>
          <w:tcPr>
            <w:tcW w:type="dxa" w:w="7880"/>
            <w:tcMar>
              <w:top w:type="dxa" w:w="80"/>
              <w:left w:type="dxa" w:w="120"/>
              <w:bottom w:type="dxa" w:w="80"/>
              <w:right w:type="dxa" w:w="120"/>
            </w:tcMar>
          </w:tcPr>
          <w:p>
            <w:r>
              <w:rPr>
                <w:rFonts w:ascii="Calibri" w:cs="Calibri" w:eastAsia="Calibri" w:hAnsi="Calibri"/>
                <w:sz w:val="19"/>
                <w:szCs w:val="19"/>
              </w:rPr>
              <w:t xml:space="preserve">Financing quality / fiscal space - a higher non-concessional share raises debt-service burden and crowds out cheap financing</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Source</w:t>
            </w:r>
          </w:p>
        </w:tc>
        <w:tc>
          <w:tcPr>
            <w:tcW w:type="dxa" w:w="7880"/>
            <w:tcMar>
              <w:top w:type="dxa" w:w="80"/>
              <w:left w:type="dxa" w:w="120"/>
              <w:bottom w:type="dxa" w:w="80"/>
              <w:right w:type="dxa" w:w="120"/>
            </w:tcMar>
          </w:tcPr>
          <w:p>
            <w:r>
              <w:rPr>
                <w:rFonts w:ascii="Calibri" w:cs="Calibri" w:eastAsia="Calibri" w:hAnsi="Calibri"/>
                <w:sz w:val="19"/>
                <w:szCs w:val="19"/>
              </w:rPr>
              <w:t xml:space="preserve">World Bank IDS</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Series</w:t>
            </w:r>
          </w:p>
        </w:tc>
        <w:tc>
          <w:tcPr>
            <w:tcW w:type="dxa" w:w="7880"/>
            <w:tcMar>
              <w:top w:type="dxa" w:w="80"/>
              <w:left w:type="dxa" w:w="120"/>
              <w:bottom w:type="dxa" w:w="80"/>
              <w:right w:type="dxa" w:w="120"/>
            </w:tcMar>
          </w:tcPr>
          <w:p>
            <w:pPr>
              <w:spacing w:after="0"/>
            </w:pPr>
            <w:r>
              <w:rPr>
                <w:rFonts w:ascii="Consolas" w:cs="Consolas" w:eastAsia="Consolas" w:hAnsi="Consolas"/>
                <w:sz w:val="18"/>
                <w:szCs w:val="18"/>
              </w:rPr>
              <w:t xml:space="preserve">DT.DOD.ALLC.ZS</w:t>
            </w:r>
            <w:r>
              <w:rPr>
                <w:rFonts w:ascii="Calibri" w:cs="Calibri" w:eastAsia="Calibri" w:hAnsi="Calibri"/>
                <w:sz w:val="20"/>
                <w:szCs w:val="20"/>
              </w:rPr>
              <w:t xml:space="preserve"> - concessional debt, % of total external debt</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Retrieval</w:t>
            </w:r>
          </w:p>
        </w:tc>
        <w:tc>
          <w:tcPr>
            <w:tcW w:type="dxa" w:w="7880"/>
            <w:tcMar>
              <w:top w:type="dxa" w:w="80"/>
              <w:left w:type="dxa" w:w="120"/>
              <w:bottom w:type="dxa" w:w="80"/>
              <w:right w:type="dxa" w:w="120"/>
            </w:tcMar>
          </w:tcPr>
          <w:p>
            <w:pPr>
              <w:spacing w:after="0"/>
            </w:pPr>
            <w:r>
              <w:rPr>
                <w:rFonts w:ascii="Consolas" w:cs="Consolas" w:eastAsia="Consolas" w:hAnsi="Consolas"/>
                <w:sz w:val="18"/>
                <w:szCs w:val="18"/>
              </w:rPr>
              <w:t xml:space="preserve">GET https://api.worldbank.org/v2/country/{iso3}/indicator/DT.DOD.ALLC.ZS?format=json&amp;mrnev=1</w:t>
            </w:r>
          </w:p>
        </w:tc>
      </w:tr>
      <w:tr>
        <w:tc>
          <w:tcPr>
            <w:tcW w:type="dxa" w:w="2200"/>
            <w:shd w:fill="DCE6F1" w:val="clear"/>
            <w:tcMar>
              <w:top w:type="dxa" w:w="80"/>
              <w:left w:type="dxa" w:w="120"/>
              <w:bottom w:type="dxa" w:w="80"/>
              <w:right w:type="dxa" w:w="120"/>
            </w:tcMar>
          </w:tcPr>
          <w:p>
            <w:r>
              <w:rPr>
                <w:rFonts w:ascii="Calibri" w:cs="Calibri" w:eastAsia="Calibri" w:hAnsi="Calibri"/>
                <w:b/>
                <w:bCs/>
                <w:sz w:val="19"/>
                <w:szCs w:val="19"/>
              </w:rPr>
              <w:t xml:space="preserve">Weight</w:t>
            </w:r>
          </w:p>
        </w:tc>
        <w:tc>
          <w:tcPr>
            <w:tcW w:type="dxa" w:w="7880"/>
            <w:tcMar>
              <w:top w:type="dxa" w:w="80"/>
              <w:left w:type="dxa" w:w="120"/>
              <w:bottom w:type="dxa" w:w="80"/>
              <w:right w:type="dxa" w:w="120"/>
            </w:tcMar>
          </w:tcPr>
          <w:p>
            <w:r>
              <w:rPr>
                <w:rFonts w:ascii="Calibri" w:cs="Calibri" w:eastAsia="Calibri" w:hAnsi="Calibri"/>
                <w:sz w:val="19"/>
                <w:szCs w:val="19"/>
              </w:rPr>
              <w:t xml:space="preserve">25%</w:t>
            </w:r>
          </w:p>
        </w:tc>
      </w:tr>
    </w:tbl>
    <w:p>
      <w:pPr>
        <w:spacing w:after="100"/>
      </w:pPr>
    </w:p>
    <w:p>
      <w:pPr>
        <w:shd w:fill="F2F2F2" w:val="clear"/>
        <w:spacing w:after="0" w:before="100"/>
        <w:ind w:left="180" w:right="180"/>
      </w:pPr>
      <w:r>
        <w:rPr>
          <w:rFonts w:ascii="Consolas" w:cs="Consolas" w:eastAsia="Consolas" w:hAnsi="Consolas"/>
          <w:sz w:val="17"/>
          <w:szCs w:val="17"/>
        </w:rPr>
        <w:t xml:space="preserve">raw = 100 - concessional_debt_pct</w:t>
      </w:r>
    </w:p>
    <w:p>
      <w:pPr>
        <w:shd w:fill="F2F2F2" w:val="clear"/>
        <w:spacing w:after="160" w:before="0"/>
        <w:ind w:left="180" w:right="180"/>
      </w:pPr>
      <w:r>
        <w:rPr>
          <w:rFonts w:ascii="Consolas" w:cs="Consolas" w:eastAsia="Consolas" w:hAnsi="Consolas"/>
          <w:sz w:val="17"/>
          <w:szCs w:val="17"/>
        </w:rPr>
        <w:t xml:space="preserve">norm_nonconcessional = 1 - clip( raw / 100, 0, 1 )</w:t>
      </w:r>
    </w:p>
    <w:p>
      <w:pPr>
        <w:pBdr>
          <w:bottom w:val="single" w:color="BFBFBF" w:sz="6" w:space="1"/>
        </w:pBdr>
        <w:spacing w:after="200" w:before="200"/>
      </w:pPr>
      <w:r>
        <w:rPr>
          <w:sz w:val="2"/>
          <w:szCs w:val="2"/>
        </w:rPr>
        <w:t xml:space="preserve"/>
      </w:r>
    </w:p>
    <w:p>
      <w:pPr>
        <w:pStyle w:val="Heading1"/>
        <w:spacing w:after="160" w:before="360"/>
      </w:pPr>
      <w:r>
        <w:rPr>
          <w:rFonts w:ascii="Calibri" w:cs="Calibri" w:eastAsia="Calibri" w:hAnsi="Calibri"/>
          <w:b/>
          <w:bCs/>
          <w:color w:val="1F4E79"/>
          <w:sz w:val="30"/>
          <w:szCs w:val="30"/>
        </w:rPr>
        <w:t xml:space="preserve">Machine-readable summary</w:t>
      </w:r>
    </w:p>
    <w:p>
      <w:pPr>
        <w:spacing w:after="120"/>
      </w:pPr>
      <w:r>
        <w:rPr>
          <w:rFonts w:ascii="Calibri" w:cs="Calibri" w:eastAsia="Calibri" w:hAnsi="Calibri"/>
          <w:sz w:val="20"/>
          <w:szCs w:val="20"/>
        </w:rPr>
        <w:t xml:space="preserve">Directly consumable as pipeline config.</w:t>
      </w:r>
    </w:p>
    <w:p>
      <w:pPr>
        <w:shd w:fill="F2F2F2" w:val="clear"/>
        <w:spacing w:after="0" w:before="100"/>
        <w:ind w:left="180" w:right="180"/>
      </w:pPr>
      <w:r>
        <w:rPr>
          <w:rFonts w:ascii="Consolas" w:cs="Consolas" w:eastAsia="Consolas" w:hAnsi="Consolas"/>
          <w:sz w:val="17"/>
          <w:szCs w:val="17"/>
        </w:rPr>
        <w:t xml:space="preserve">{</w:t>
      </w:r>
    </w:p>
    <w:p>
      <w:pPr>
        <w:shd w:fill="F2F2F2" w:val="clear"/>
        <w:spacing w:after="0" w:before="0"/>
        <w:ind w:left="180" w:right="180"/>
      </w:pPr>
      <w:r>
        <w:rPr>
          <w:rFonts w:ascii="Consolas" w:cs="Consolas" w:eastAsia="Consolas" w:hAnsi="Consolas"/>
          <w:sz w:val="17"/>
          <w:szCs w:val="17"/>
        </w:rPr>
        <w:t xml:space="preserve">  "index_version": "1.0",</w:t>
      </w:r>
    </w:p>
    <w:p>
      <w:pPr>
        <w:shd w:fill="F2F2F2" w:val="clear"/>
        <w:spacing w:after="0" w:before="0"/>
        <w:ind w:left="180" w:right="180"/>
      </w:pPr>
      <w:r>
        <w:rPr>
          <w:rFonts w:ascii="Consolas" w:cs="Consolas" w:eastAsia="Consolas" w:hAnsi="Consolas"/>
          <w:sz w:val="17"/>
          <w:szCs w:val="17"/>
        </w:rPr>
        <w:t xml:space="preserve">  "weights": { "income": 0.25, "fragility": 0.25, "debt_risk": 0.25,</w:t>
      </w:r>
    </w:p>
    <w:p>
      <w:pPr>
        <w:shd w:fill="F2F2F2" w:val="clear"/>
        <w:spacing w:after="0" w:before="0"/>
        <w:ind w:left="180" w:right="180"/>
      </w:pPr>
      <w:r>
        <w:rPr>
          <w:rFonts w:ascii="Consolas" w:cs="Consolas" w:eastAsia="Consolas" w:hAnsi="Consolas"/>
          <w:sz w:val="17"/>
          <w:szCs w:val="17"/>
        </w:rPr>
        <w:t xml:space="preserve">               "nonconcessional": 0.25 },</w:t>
      </w:r>
    </w:p>
    <w:p>
      <w:pPr>
        <w:shd w:fill="F2F2F2" w:val="clear"/>
        <w:spacing w:after="0" w:before="0"/>
        <w:ind w:left="180" w:right="180"/>
      </w:pPr>
      <w:r>
        <w:rPr>
          <w:rFonts w:ascii="Consolas" w:cs="Consolas" w:eastAsia="Consolas" w:hAnsi="Consolas"/>
          <w:sz w:val="17"/>
          <w:szCs w:val="17"/>
        </w:rPr>
        <w:t xml:space="preserve">  "normalization": { "mode": "fixed_absolute_bounds", "clip": [0, 1] },</w:t>
      </w:r>
    </w:p>
    <w:p>
      <w:pPr>
        <w:shd w:fill="F2F2F2" w:val="clear"/>
        <w:spacing w:after="0" w:before="0"/>
        <w:ind w:left="180" w:right="180"/>
      </w:pPr>
      <w:r>
        <w:rPr>
          <w:rFonts w:ascii="Consolas" w:cs="Consolas" w:eastAsia="Consolas" w:hAnsi="Consolas"/>
          <w:sz w:val="17"/>
          <w:szCs w:val="17"/>
        </w:rPr>
        <w:t xml:space="preserve">  "scope": {</w:t>
      </w:r>
    </w:p>
    <w:p>
      <w:pPr>
        <w:shd w:fill="F2F2F2" w:val="clear"/>
        <w:spacing w:after="0" w:before="0"/>
        <w:ind w:left="180" w:right="180"/>
      </w:pPr>
      <w:r>
        <w:rPr>
          <w:rFonts w:ascii="Consolas" w:cs="Consolas" w:eastAsia="Consolas" w:hAnsi="Consolas"/>
          <w:sz w:val="17"/>
          <w:szCs w:val="17"/>
        </w:rPr>
        <w:t xml:space="preserve">    "basis": "World Bank IDS coverage",</w:t>
      </w:r>
    </w:p>
    <w:p>
      <w:pPr>
        <w:shd w:fill="F2F2F2" w:val="clear"/>
        <w:spacing w:after="0" w:before="0"/>
        <w:ind w:left="180" w:right="180"/>
      </w:pPr>
      <w:r>
        <w:rPr>
          <w:rFonts w:ascii="Consolas" w:cs="Consolas" w:eastAsia="Consolas" w:hAnsi="Consolas"/>
          <w:sz w:val="17"/>
          <w:szCs w:val="17"/>
        </w:rPr>
        <w:t xml:space="preserve">    "resolved_from": "/v2/country/{iso3}?format=json -&gt; lendingType.id",</w:t>
      </w:r>
    </w:p>
    <w:p>
      <w:pPr>
        <w:shd w:fill="F2F2F2" w:val="clear"/>
        <w:spacing w:after="0" w:before="0"/>
        <w:ind w:left="180" w:right="180"/>
      </w:pPr>
      <w:r>
        <w:rPr>
          <w:rFonts w:ascii="Consolas" w:cs="Consolas" w:eastAsia="Consolas" w:hAnsi="Consolas"/>
          <w:sz w:val="17"/>
          <w:szCs w:val="17"/>
        </w:rPr>
        <w:t xml:space="preserve">    "in_scope_lending_types": ["IBD", "IDB", "IDX"],</w:t>
      </w:r>
    </w:p>
    <w:p>
      <w:pPr>
        <w:shd w:fill="F2F2F2" w:val="clear"/>
        <w:spacing w:after="0" w:before="0"/>
        <w:ind w:left="180" w:right="180"/>
      </w:pPr>
      <w:r>
        <w:rPr>
          <w:rFonts w:ascii="Consolas" w:cs="Consolas" w:eastAsia="Consolas" w:hAnsi="Consolas"/>
          <w:sz w:val="17"/>
          <w:szCs w:val="17"/>
        </w:rPr>
        <w:t xml:space="preserve">    "out_of_scope_lending_types": ["LNX"],</w:t>
      </w:r>
    </w:p>
    <w:p>
      <w:pPr>
        <w:shd w:fill="F2F2F2" w:val="clear"/>
        <w:spacing w:after="0" w:before="0"/>
        <w:ind w:left="180" w:right="180"/>
      </w:pPr>
      <w:r>
        <w:rPr>
          <w:rFonts w:ascii="Consolas" w:cs="Consolas" w:eastAsia="Consolas" w:hAnsi="Consolas"/>
          <w:sz w:val="17"/>
          <w:szCs w:val="17"/>
        </w:rPr>
        <w:t xml:space="preserve">    "partial_scores": false</w:t>
      </w:r>
    </w:p>
    <w:p>
      <w:pPr>
        <w:shd w:fill="F2F2F2" w:val="clear"/>
        <w:spacing w:after="0" w:before="0"/>
        <w:ind w:left="180" w:right="180"/>
      </w:pPr>
      <w:r>
        <w:rPr>
          <w:rFonts w:ascii="Consolas" w:cs="Consolas" w:eastAsia="Consolas" w:hAnsi="Consolas"/>
          <w:sz w:val="17"/>
          <w:szCs w:val="17"/>
        </w:rPr>
        <w:t xml:space="preserve">  },</w:t>
      </w:r>
    </w:p>
    <w:p>
      <w:pPr>
        <w:shd w:fill="F2F2F2" w:val="clear"/>
        <w:spacing w:after="0" w:before="0"/>
        <w:ind w:left="180" w:right="180"/>
      </w:pPr>
      <w:r>
        <w:rPr>
          <w:rFonts w:ascii="Consolas" w:cs="Consolas" w:eastAsia="Consolas" w:hAnsi="Consolas"/>
          <w:sz w:val="17"/>
          <w:szCs w:val="17"/>
        </w:rPr>
        <w:t xml:space="preserve">  "status_values": ["scored", "out_of_scope", "incomplete_data"],</w:t>
      </w:r>
    </w:p>
    <w:p>
      <w:pPr>
        <w:shd w:fill="F2F2F2" w:val="clear"/>
        <w:spacing w:after="0" w:before="0"/>
        <w:ind w:left="180" w:right="180"/>
      </w:pPr>
      <w:r>
        <w:rPr>
          <w:rFonts w:ascii="Consolas" w:cs="Consolas" w:eastAsia="Consolas" w:hAnsi="Consolas"/>
          <w:sz w:val="17"/>
          <w:szCs w:val="17"/>
        </w:rPr>
        <w:t xml:space="preserve">  "indicators": {</w:t>
      </w:r>
    </w:p>
    <w:p>
      <w:pPr>
        <w:shd w:fill="F2F2F2" w:val="clear"/>
        <w:spacing w:after="0" w:before="0"/>
        <w:ind w:left="180" w:right="180"/>
      </w:pPr>
      <w:r>
        <w:rPr>
          <w:rFonts w:ascii="Consolas" w:cs="Consolas" w:eastAsia="Consolas" w:hAnsi="Consolas"/>
          <w:sz w:val="17"/>
          <w:szCs w:val="17"/>
        </w:rPr>
        <w:t xml:space="preserve">    "income": {</w:t>
      </w:r>
    </w:p>
    <w:p>
      <w:pPr>
        <w:shd w:fill="F2F2F2" w:val="clear"/>
        <w:spacing w:after="0" w:before="0"/>
        <w:ind w:left="180" w:right="180"/>
      </w:pPr>
      <w:r>
        <w:rPr>
          <w:rFonts w:ascii="Consolas" w:cs="Consolas" w:eastAsia="Consolas" w:hAnsi="Consolas"/>
          <w:sz w:val="17"/>
          <w:szCs w:val="17"/>
        </w:rPr>
        <w:t xml:space="preserve">      "source": "World Bank WDI", "series": ["NY.GDP.PCAP.CD"],</w:t>
      </w:r>
    </w:p>
    <w:p>
      <w:pPr>
        <w:shd w:fill="F2F2F2" w:val="clear"/>
        <w:spacing w:after="0" w:before="0"/>
        <w:ind w:left="180" w:right="180"/>
      </w:pPr>
      <w:r>
        <w:rPr>
          <w:rFonts w:ascii="Consolas" w:cs="Consolas" w:eastAsia="Consolas" w:hAnsi="Consolas"/>
          <w:sz w:val="17"/>
          <w:szCs w:val="17"/>
        </w:rPr>
        <w:t xml:space="preserve">      "transform": "log_then_fixed_minmax",</w:t>
      </w:r>
    </w:p>
    <w:p>
      <w:pPr>
        <w:shd w:fill="F2F2F2" w:val="clear"/>
        <w:spacing w:after="0" w:before="0"/>
        <w:ind w:left="180" w:right="180"/>
      </w:pPr>
      <w:r>
        <w:rPr>
          <w:rFonts w:ascii="Consolas" w:cs="Consolas" w:eastAsia="Consolas" w:hAnsi="Consolas"/>
          <w:sz w:val="17"/>
          <w:szCs w:val="17"/>
        </w:rPr>
        <w:t xml:space="preserve">      "bounds": { "lower": "ln(200)", "upper": "ln(150000)" },</w:t>
      </w:r>
    </w:p>
    <w:p>
      <w:pPr>
        <w:shd w:fill="F2F2F2" w:val="clear"/>
        <w:spacing w:after="0" w:before="0"/>
        <w:ind w:left="180" w:right="180"/>
      </w:pPr>
      <w:r>
        <w:rPr>
          <w:rFonts w:ascii="Consolas" w:cs="Consolas" w:eastAsia="Consolas" w:hAnsi="Consolas"/>
          <w:sz w:val="17"/>
          <w:szCs w:val="17"/>
        </w:rPr>
        <w:t xml:space="preserve">      "direction": "higher_is_better"</w:t>
      </w:r>
    </w:p>
    <w:p>
      <w:pPr>
        <w:shd w:fill="F2F2F2" w:val="clear"/>
        <w:spacing w:after="0" w:before="0"/>
        <w:ind w:left="180" w:right="180"/>
      </w:pPr>
      <w:r>
        <w:rPr>
          <w:rFonts w:ascii="Consolas" w:cs="Consolas" w:eastAsia="Consolas" w:hAnsi="Consolas"/>
          <w:sz w:val="17"/>
          <w:szCs w:val="17"/>
        </w:rPr>
        <w:t xml:space="preserve">    },</w:t>
      </w:r>
    </w:p>
    <w:p>
      <w:pPr>
        <w:shd w:fill="F2F2F2" w:val="clear"/>
        <w:spacing w:after="0" w:before="0"/>
        <w:ind w:left="180" w:right="180"/>
      </w:pPr>
      <w:r>
        <w:rPr>
          <w:rFonts w:ascii="Consolas" w:cs="Consolas" w:eastAsia="Consolas" w:hAnsi="Consolas"/>
          <w:sz w:val="17"/>
          <w:szCs w:val="17"/>
        </w:rPr>
        <w:t xml:space="preserve">    "fragility": {</w:t>
      </w:r>
    </w:p>
    <w:p>
      <w:pPr>
        <w:shd w:fill="F2F2F2" w:val="clear"/>
        <w:spacing w:after="0" w:before="0"/>
        <w:ind w:left="180" w:right="180"/>
      </w:pPr>
      <w:r>
        <w:rPr>
          <w:rFonts w:ascii="Consolas" w:cs="Consolas" w:eastAsia="Consolas" w:hAnsi="Consolas"/>
          <w:sz w:val="17"/>
          <w:szCs w:val="17"/>
        </w:rPr>
        <w:t xml:space="preserve">      "source": "World Bank WGI",</w:t>
      </w:r>
    </w:p>
    <w:p>
      <w:pPr>
        <w:shd w:fill="F2F2F2" w:val="clear"/>
        <w:spacing w:after="0" w:before="0"/>
        <w:ind w:left="180" w:right="180"/>
      </w:pPr>
      <w:r>
        <w:rPr>
          <w:rFonts w:ascii="Consolas" w:cs="Consolas" w:eastAsia="Consolas" w:hAnsi="Consolas"/>
          <w:sz w:val="17"/>
          <w:szCs w:val="17"/>
        </w:rPr>
        <w:t xml:space="preserve">      "series": ["VA.EST","PV.EST","GE.EST","RQ.EST","RL.EST","CC.EST"],</w:t>
      </w:r>
    </w:p>
    <w:p>
      <w:pPr>
        <w:shd w:fill="F2F2F2" w:val="clear"/>
        <w:spacing w:after="0" w:before="0"/>
        <w:ind w:left="180" w:right="180"/>
      </w:pPr>
      <w:r>
        <w:rPr>
          <w:rFonts w:ascii="Consolas" w:cs="Consolas" w:eastAsia="Consolas" w:hAnsi="Consolas"/>
          <w:sz w:val="17"/>
          <w:szCs w:val="17"/>
        </w:rPr>
        <w:t xml:space="preserve">      "api_source_param": 3,</w:t>
      </w:r>
    </w:p>
    <w:p>
      <w:pPr>
        <w:shd w:fill="F2F2F2" w:val="clear"/>
        <w:spacing w:after="0" w:before="0"/>
        <w:ind w:left="180" w:right="180"/>
      </w:pPr>
      <w:r>
        <w:rPr>
          <w:rFonts w:ascii="Consolas" w:cs="Consolas" w:eastAsia="Consolas" w:hAnsi="Consolas"/>
          <w:sz w:val="17"/>
          <w:szCs w:val="17"/>
        </w:rPr>
        <w:t xml:space="preserve">      "transform": "mean_then_fixed_minmax",</w:t>
      </w:r>
    </w:p>
    <w:p>
      <w:pPr>
        <w:shd w:fill="F2F2F2" w:val="clear"/>
        <w:spacing w:after="0" w:before="0"/>
        <w:ind w:left="180" w:right="180"/>
      </w:pPr>
      <w:r>
        <w:rPr>
          <w:rFonts w:ascii="Consolas" w:cs="Consolas" w:eastAsia="Consolas" w:hAnsi="Consolas"/>
          <w:sz w:val="17"/>
          <w:szCs w:val="17"/>
        </w:rPr>
        <w:t xml:space="preserve">      "bounds": { "lower": -2.5, "upper": 2.5 },</w:t>
      </w:r>
    </w:p>
    <w:p>
      <w:pPr>
        <w:shd w:fill="F2F2F2" w:val="clear"/>
        <w:spacing w:after="0" w:before="0"/>
        <w:ind w:left="180" w:right="180"/>
      </w:pPr>
      <w:r>
        <w:rPr>
          <w:rFonts w:ascii="Consolas" w:cs="Consolas" w:eastAsia="Consolas" w:hAnsi="Consolas"/>
          <w:sz w:val="17"/>
          <w:szCs w:val="17"/>
        </w:rPr>
        <w:t xml:space="preserve">      "direction": "higher_is_better",</w:t>
      </w:r>
    </w:p>
    <w:p>
      <w:pPr>
        <w:shd w:fill="F2F2F2" w:val="clear"/>
        <w:spacing w:after="0" w:before="0"/>
        <w:ind w:left="180" w:right="180"/>
      </w:pPr>
      <w:r>
        <w:rPr>
          <w:rFonts w:ascii="Consolas" w:cs="Consolas" w:eastAsia="Consolas" w:hAnsi="Consolas"/>
          <w:sz w:val="17"/>
          <w:szCs w:val="17"/>
        </w:rPr>
        <w:t xml:space="preserve">      "reused_by": ["debt_risk.tiering"]</w:t>
      </w:r>
    </w:p>
    <w:p>
      <w:pPr>
        <w:shd w:fill="F2F2F2" w:val="clear"/>
        <w:spacing w:after="0" w:before="0"/>
        <w:ind w:left="180" w:right="180"/>
      </w:pPr>
      <w:r>
        <w:rPr>
          <w:rFonts w:ascii="Consolas" w:cs="Consolas" w:eastAsia="Consolas" w:hAnsi="Consolas"/>
          <w:sz w:val="17"/>
          <w:szCs w:val="17"/>
        </w:rPr>
        <w:t xml:space="preserve">    },</w:t>
      </w:r>
    </w:p>
    <w:p>
      <w:pPr>
        <w:shd w:fill="F2F2F2" w:val="clear"/>
        <w:spacing w:after="0" w:before="0"/>
        <w:ind w:left="180" w:right="180"/>
      </w:pPr>
      <w:r>
        <w:rPr>
          <w:rFonts w:ascii="Consolas" w:cs="Consolas" w:eastAsia="Consolas" w:hAnsi="Consolas"/>
          <w:sz w:val="17"/>
          <w:szCs w:val="17"/>
        </w:rPr>
        <w:t xml:space="preserve">    "debt_risk": {</w:t>
      </w:r>
    </w:p>
    <w:p>
      <w:pPr>
        <w:shd w:fill="F2F2F2" w:val="clear"/>
        <w:spacing w:after="0" w:before="0"/>
        <w:ind w:left="180" w:right="180"/>
      </w:pPr>
      <w:r>
        <w:rPr>
          <w:rFonts w:ascii="Consolas" w:cs="Consolas" w:eastAsia="Consolas" w:hAnsi="Consolas"/>
          <w:sz w:val="17"/>
          <w:szCs w:val="17"/>
        </w:rPr>
        <w:t xml:space="preserve">      "source": "World Bank IDS + WGI (tiering)",</w:t>
      </w:r>
    </w:p>
    <w:p>
      <w:pPr>
        <w:shd w:fill="F2F2F2" w:val="clear"/>
        <w:spacing w:after="0" w:before="0"/>
        <w:ind w:left="180" w:right="180"/>
      </w:pPr>
      <w:r>
        <w:rPr>
          <w:rFonts w:ascii="Consolas" w:cs="Consolas" w:eastAsia="Consolas" w:hAnsi="Consolas"/>
          <w:sz w:val="17"/>
          <w:szCs w:val="17"/>
        </w:rPr>
        <w:t xml:space="preserve">      "series_preferred": ["DT.DOD.PVLX.GN.ZS", "DT.DOD.PVLX.EX.ZS"],</w:t>
      </w:r>
    </w:p>
    <w:p>
      <w:pPr>
        <w:shd w:fill="F2F2F2" w:val="clear"/>
        <w:spacing w:after="0" w:before="0"/>
        <w:ind w:left="180" w:right="180"/>
      </w:pPr>
      <w:r>
        <w:rPr>
          <w:rFonts w:ascii="Consolas" w:cs="Consolas" w:eastAsia="Consolas" w:hAnsi="Consolas"/>
          <w:sz w:val="17"/>
          <w:szCs w:val="17"/>
        </w:rPr>
        <w:t xml:space="preserve">      "series_fallback": ["DT.DOD.DECT.GN.ZS", "DT.DOD.DECT.EX.ZS"],</w:t>
      </w:r>
    </w:p>
    <w:p>
      <w:pPr>
        <w:shd w:fill="F2F2F2" w:val="clear"/>
        <w:spacing w:after="0" w:before="0"/>
        <w:ind w:left="180" w:right="180"/>
      </w:pPr>
      <w:r>
        <w:rPr>
          <w:rFonts w:ascii="Consolas" w:cs="Consolas" w:eastAsia="Consolas" w:hAnsi="Consolas"/>
          <w:sz w:val="17"/>
          <w:szCs w:val="17"/>
        </w:rPr>
        <w:t xml:space="preserve">      "series_debt_service": ["DT.TDS.DECT.EX.ZS"],</w:t>
      </w:r>
    </w:p>
    <w:p>
      <w:pPr>
        <w:shd w:fill="F2F2F2" w:val="clear"/>
        <w:spacing w:after="0" w:before="0"/>
        <w:ind w:left="180" w:right="180"/>
      </w:pPr>
      <w:r>
        <w:rPr>
          <w:rFonts w:ascii="Consolas" w:cs="Consolas" w:eastAsia="Consolas" w:hAnsi="Consolas"/>
          <w:sz w:val="17"/>
          <w:szCs w:val="17"/>
        </w:rPr>
        <w:t xml:space="preserve">      "basis_recorded_as": "debt_basis",</w:t>
      </w:r>
    </w:p>
    <w:p>
      <w:pPr>
        <w:shd w:fill="F2F2F2" w:val="clear"/>
        <w:spacing w:after="0" w:before="0"/>
        <w:ind w:left="180" w:right="180"/>
      </w:pPr>
      <w:r>
        <w:rPr>
          <w:rFonts w:ascii="Consolas" w:cs="Consolas" w:eastAsia="Consolas" w:hAnsi="Consolas"/>
          <w:sz w:val="17"/>
          <w:szCs w:val="17"/>
        </w:rPr>
        <w:t xml:space="preserve">      "transform": "proxy_classification",</w:t>
      </w:r>
    </w:p>
    <w:p>
      <w:pPr>
        <w:shd w:fill="F2F2F2" w:val="clear"/>
        <w:spacing w:after="0" w:before="0"/>
        <w:ind w:left="180" w:right="180"/>
      </w:pPr>
      <w:r>
        <w:rPr>
          <w:rFonts w:ascii="Consolas" w:cs="Consolas" w:eastAsia="Consolas" w:hAnsi="Consolas"/>
          <w:sz w:val="17"/>
          <w:szCs w:val="17"/>
        </w:rPr>
        <w:t xml:space="preserve">      "tier_input": "avg_wgi",</w:t>
      </w:r>
    </w:p>
    <w:p>
      <w:pPr>
        <w:shd w:fill="F2F2F2" w:val="clear"/>
        <w:spacing w:after="0" w:before="0"/>
        <w:ind w:left="180" w:right="180"/>
      </w:pPr>
      <w:r>
        <w:rPr>
          <w:rFonts w:ascii="Consolas" w:cs="Consolas" w:eastAsia="Consolas" w:hAnsi="Consolas"/>
          <w:sz w:val="17"/>
          <w:szCs w:val="17"/>
        </w:rPr>
        <w:t xml:space="preserve">      "tier_cutoffs": { "strong_min": -0.20, "medium_min": -0.80 },</w:t>
      </w:r>
    </w:p>
    <w:p>
      <w:pPr>
        <w:shd w:fill="F2F2F2" w:val="clear"/>
        <w:spacing w:after="0" w:before="0"/>
        <w:ind w:left="180" w:right="180"/>
      </w:pPr>
      <w:r>
        <w:rPr>
          <w:rFonts w:ascii="Consolas" w:cs="Consolas" w:eastAsia="Consolas" w:hAnsi="Consolas"/>
          <w:sz w:val="17"/>
          <w:szCs w:val="17"/>
        </w:rPr>
        <w:t xml:space="preserve">      "tier_if_input_missing": null,</w:t>
      </w:r>
    </w:p>
    <w:p>
      <w:pPr>
        <w:shd w:fill="F2F2F2" w:val="clear"/>
        <w:spacing w:after="0" w:before="0"/>
        <w:ind w:left="180" w:right="180"/>
      </w:pPr>
      <w:r>
        <w:rPr>
          <w:rFonts w:ascii="Consolas" w:cs="Consolas" w:eastAsia="Consolas" w:hAnsi="Consolas"/>
          <w:sz w:val="17"/>
          <w:szCs w:val="17"/>
        </w:rPr>
        <w:t xml:space="preserve">      "tiers": {</w:t>
      </w:r>
    </w:p>
    <w:p>
      <w:pPr>
        <w:shd w:fill="F2F2F2" w:val="clear"/>
        <w:spacing w:after="0" w:before="0"/>
        <w:ind w:left="180" w:right="180"/>
      </w:pPr>
      <w:r>
        <w:rPr>
          <w:rFonts w:ascii="Consolas" w:cs="Consolas" w:eastAsia="Consolas" w:hAnsi="Consolas"/>
          <w:sz w:val="17"/>
          <w:szCs w:val="17"/>
        </w:rPr>
        <w:t xml:space="preserve">        "weak":   { "debt_gdp": 30, "debt_exports": 140, "ds_exports": 10 },</w:t>
      </w:r>
    </w:p>
    <w:p>
      <w:pPr>
        <w:shd w:fill="F2F2F2" w:val="clear"/>
        <w:spacing w:after="0" w:before="0"/>
        <w:ind w:left="180" w:right="180"/>
      </w:pPr>
      <w:r>
        <w:rPr>
          <w:rFonts w:ascii="Consolas" w:cs="Consolas" w:eastAsia="Consolas" w:hAnsi="Consolas"/>
          <w:sz w:val="17"/>
          <w:szCs w:val="17"/>
        </w:rPr>
        <w:t xml:space="preserve">        "medium": { "debt_gdp": 40, "debt_exports": 180, "ds_exports": 15 },</w:t>
      </w:r>
    </w:p>
    <w:p>
      <w:pPr>
        <w:shd w:fill="F2F2F2" w:val="clear"/>
        <w:spacing w:after="0" w:before="0"/>
        <w:ind w:left="180" w:right="180"/>
      </w:pPr>
      <w:r>
        <w:rPr>
          <w:rFonts w:ascii="Consolas" w:cs="Consolas" w:eastAsia="Consolas" w:hAnsi="Consolas"/>
          <w:sz w:val="17"/>
          <w:szCs w:val="17"/>
        </w:rPr>
        <w:t xml:space="preserve">        "strong": { "debt_gdp": 55, "debt_exports": 240, "ds_exports": 21 }</w:t>
      </w:r>
    </w:p>
    <w:p>
      <w:pPr>
        <w:shd w:fill="F2F2F2" w:val="clear"/>
        <w:spacing w:after="0" w:before="0"/>
        <w:ind w:left="180" w:right="180"/>
      </w:pPr>
      <w:r>
        <w:rPr>
          <w:rFonts w:ascii="Consolas" w:cs="Consolas" w:eastAsia="Consolas" w:hAnsi="Consolas"/>
          <w:sz w:val="17"/>
          <w:szCs w:val="17"/>
        </w:rPr>
        <w:t xml:space="preserve">      },</w:t>
      </w:r>
    </w:p>
    <w:p>
      <w:pPr>
        <w:shd w:fill="F2F2F2" w:val="clear"/>
        <w:spacing w:after="0" w:before="0"/>
        <w:ind w:left="180" w:right="180"/>
      </w:pPr>
      <w:r>
        <w:rPr>
          <w:rFonts w:ascii="Consolas" w:cs="Consolas" w:eastAsia="Consolas" w:hAnsi="Consolas"/>
          <w:sz w:val="17"/>
          <w:szCs w:val="17"/>
        </w:rPr>
        <w:t xml:space="preserve">      "classification_bins": { "low_max_ratio": 0.75, "moderate_max_ratio": 1.0 },</w:t>
      </w:r>
    </w:p>
    <w:p>
      <w:pPr>
        <w:shd w:fill="F2F2F2" w:val="clear"/>
        <w:spacing w:after="0" w:before="0"/>
        <w:ind w:left="180" w:right="180"/>
      </w:pPr>
      <w:r>
        <w:rPr>
          <w:rFonts w:ascii="Consolas" w:cs="Consolas" w:eastAsia="Consolas" w:hAnsi="Consolas"/>
          <w:sz w:val="17"/>
          <w:szCs w:val="17"/>
        </w:rPr>
        <w:t xml:space="preserve">      "score_map": { "Low": 1.0, "Moderate": 0.5, "High": 0.0 },</w:t>
      </w:r>
    </w:p>
    <w:p>
      <w:pPr>
        <w:shd w:fill="F2F2F2" w:val="clear"/>
        <w:spacing w:after="0" w:before="0"/>
        <w:ind w:left="180" w:right="180"/>
      </w:pPr>
      <w:r>
        <w:rPr>
          <w:rFonts w:ascii="Consolas" w:cs="Consolas" w:eastAsia="Consolas" w:hAnsi="Consolas"/>
          <w:sz w:val="17"/>
          <w:szCs w:val="17"/>
        </w:rPr>
        <w:t xml:space="preserve">      "direction": "higher_is_better"</w:t>
      </w:r>
    </w:p>
    <w:p>
      <w:pPr>
        <w:shd w:fill="F2F2F2" w:val="clear"/>
        <w:spacing w:after="0" w:before="0"/>
        <w:ind w:left="180" w:right="180"/>
      </w:pPr>
      <w:r>
        <w:rPr>
          <w:rFonts w:ascii="Consolas" w:cs="Consolas" w:eastAsia="Consolas" w:hAnsi="Consolas"/>
          <w:sz w:val="17"/>
          <w:szCs w:val="17"/>
        </w:rPr>
        <w:t xml:space="preserve">    },</w:t>
      </w:r>
    </w:p>
    <w:p>
      <w:pPr>
        <w:shd w:fill="F2F2F2" w:val="clear"/>
        <w:spacing w:after="0" w:before="0"/>
        <w:ind w:left="180" w:right="180"/>
      </w:pPr>
      <w:r>
        <w:rPr>
          <w:rFonts w:ascii="Consolas" w:cs="Consolas" w:eastAsia="Consolas" w:hAnsi="Consolas"/>
          <w:sz w:val="17"/>
          <w:szCs w:val="17"/>
        </w:rPr>
        <w:t xml:space="preserve">    "nonconcessional": {</w:t>
      </w:r>
    </w:p>
    <w:p>
      <w:pPr>
        <w:shd w:fill="F2F2F2" w:val="clear"/>
        <w:spacing w:after="0" w:before="0"/>
        <w:ind w:left="180" w:right="180"/>
      </w:pPr>
      <w:r>
        <w:rPr>
          <w:rFonts w:ascii="Consolas" w:cs="Consolas" w:eastAsia="Consolas" w:hAnsi="Consolas"/>
          <w:sz w:val="17"/>
          <w:szCs w:val="17"/>
        </w:rPr>
        <w:t xml:space="preserve">      "source": "World Bank IDS", "series": ["DT.DOD.ALLC.ZS"],</w:t>
      </w:r>
    </w:p>
    <w:p>
      <w:pPr>
        <w:shd w:fill="F2F2F2" w:val="clear"/>
        <w:spacing w:after="0" w:before="0"/>
        <w:ind w:left="180" w:right="180"/>
      </w:pPr>
      <w:r>
        <w:rPr>
          <w:rFonts w:ascii="Consolas" w:cs="Consolas" w:eastAsia="Consolas" w:hAnsi="Consolas"/>
          <w:sz w:val="17"/>
          <w:szCs w:val="17"/>
        </w:rPr>
        <w:t xml:space="preserve">      "transform": "invert_then_fixed_minmax",</w:t>
      </w:r>
    </w:p>
    <w:p>
      <w:pPr>
        <w:shd w:fill="F2F2F2" w:val="clear"/>
        <w:spacing w:after="0" w:before="0"/>
        <w:ind w:left="180" w:right="180"/>
      </w:pPr>
      <w:r>
        <w:rPr>
          <w:rFonts w:ascii="Consolas" w:cs="Consolas" w:eastAsia="Consolas" w:hAnsi="Consolas"/>
          <w:sz w:val="17"/>
          <w:szCs w:val="17"/>
        </w:rPr>
        <w:t xml:space="preserve">      "bounds": { "lower": 0, "upper": 100 },</w:t>
      </w:r>
    </w:p>
    <w:p>
      <w:pPr>
        <w:shd w:fill="F2F2F2" w:val="clear"/>
        <w:spacing w:after="0" w:before="0"/>
        <w:ind w:left="180" w:right="180"/>
      </w:pPr>
      <w:r>
        <w:rPr>
          <w:rFonts w:ascii="Consolas" w:cs="Consolas" w:eastAsia="Consolas" w:hAnsi="Consolas"/>
          <w:sz w:val="17"/>
          <w:szCs w:val="17"/>
        </w:rPr>
        <w:t xml:space="preserve">      "direction": "higher_is_better_after_inversion"</w:t>
      </w:r>
    </w:p>
    <w:p>
      <w:pPr>
        <w:shd w:fill="F2F2F2" w:val="clear"/>
        <w:spacing w:after="0" w:before="0"/>
        <w:ind w:left="180" w:right="180"/>
      </w:pPr>
      <w:r>
        <w:rPr>
          <w:rFonts w:ascii="Consolas" w:cs="Consolas" w:eastAsia="Consolas" w:hAnsi="Consolas"/>
          <w:sz w:val="17"/>
          <w:szCs w:val="17"/>
        </w:rPr>
        <w:t xml:space="preserve">    }</w:t>
      </w:r>
    </w:p>
    <w:p>
      <w:pPr>
        <w:shd w:fill="F2F2F2" w:val="clear"/>
        <w:spacing w:after="0" w:before="0"/>
        <w:ind w:left="180" w:right="180"/>
      </w:pPr>
      <w:r>
        <w:rPr>
          <w:rFonts w:ascii="Consolas" w:cs="Consolas" w:eastAsia="Consolas" w:hAnsi="Consolas"/>
          <w:sz w:val="17"/>
          <w:szCs w:val="17"/>
        </w:rPr>
        <w:t xml:space="preserve">  }</w:t>
      </w:r>
    </w:p>
    <w:p>
      <w:pPr>
        <w:shd w:fill="F2F2F2" w:val="clear"/>
        <w:spacing w:after="160" w:before="0"/>
        <w:ind w:left="180" w:right="180"/>
      </w:pPr>
      <w:r>
        <w:rPr>
          <w:rFonts w:ascii="Consolas" w:cs="Consolas" w:eastAsia="Consolas" w:hAnsi="Consolas"/>
          <w:sz w:val="17"/>
          <w:szCs w:val="17"/>
        </w:rPr>
        <w:t xml:space="preserv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PlanCatalyst</dc:creator>
  <cp:lastModifiedBy>PlanCatalyst</cp:lastModifiedBy>
  <cp:revision>1</cp:revision>
  <dcterms:created xsi:type="dcterms:W3CDTF">2026-09-23T12:13:35.463Z</dcterms:created>
  <dcterms:modified xsi:type="dcterms:W3CDTF">2026-09-23T12:13:35.471Z</dcterms:modified>
</cp:coreProperties>
</file>

<file path=docProps/custom.xml><?xml version="1.0" encoding="utf-8"?>
<Properties xmlns="http://schemas.openxmlformats.org/officeDocument/2006/custom-properties" xmlns:vt="http://schemas.openxmlformats.org/officeDocument/2006/docPropsVTypes"/>
</file>