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3A4B"/>
          <w:spacing w:val="200"/>
          <w:sz w:val="20"/>
          <w:szCs w:val="20"/>
        </w:rPr>
        <w:t xml:space="preserve">REPÚBLICA ARGENTINA</w:t>
      </w:r>
    </w:p>
    <w:p>
      <w:pPr>
        <w:spacing w:after="200"/>
        <w:jc w:val="center"/>
      </w:pPr>
      <w:r>
        <w:rPr>
          <w:rFonts w:ascii="Calibri" w:cs="Calibri" w:eastAsia="Calibri" w:hAnsi="Calibri"/>
          <w:b/>
          <w:bCs/>
          <w:color w:val="1B3A4B"/>
          <w:sz w:val="36"/>
          <w:szCs w:val="36"/>
        </w:rPr>
        <w:t xml:space="preserve">PLAN INFORMÁTICO NACIONAL</w:t>
      </w:r>
    </w:p>
    <w:p>
      <w:pPr>
        <w:spacing w:after="80"/>
        <w:jc w:val="center"/>
      </w:pPr>
      <w:r>
        <w:rPr>
          <w:rFonts w:ascii="Calibri" w:cs="Calibri" w:eastAsia="Calibri" w:hAnsi="Calibri"/>
          <w:b/>
          <w:bCs/>
          <w:color w:val="C4A35A"/>
          <w:sz w:val="26"/>
          <w:szCs w:val="26"/>
        </w:rPr>
        <w:t xml:space="preserve">Programa 1 — Inteligencia Generativa Artificial</w:t>
      </w:r>
    </w:p>
    <w:p>
      <w:pPr>
        <w:spacing w:after="400"/>
        <w:jc w:val="center"/>
      </w:pPr>
      <w:r>
        <w:rPr>
          <w:rFonts w:ascii="Calibri" w:cs="Calibri" w:eastAsia="Calibri" w:hAnsi="Calibri"/>
          <w:i/>
          <w:iCs/>
          <w:color w:val="555555"/>
          <w:sz w:val="18"/>
          <w:szCs w:val="18"/>
        </w:rPr>
        <w:t xml:space="preserve">Versión 4.0  ·  Septiembre 2026  ·  CC0 1.0</w:t>
      </w:r>
    </w:p>
    <w:p>
      <w:pPr>
        <w:pStyle w:val="Heading1"/>
      </w:pPr>
      <w:r>
        <w:rPr>
          <w:rFonts w:ascii="Calibri" w:cs="Calibri" w:eastAsia="Calibri" w:hAnsi="Calibri"/>
          <w:b/>
          <w:bCs/>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spacing w:after="300"/>
      </w:pPr>
    </w:p>
    <w:p>
      <w:pPr>
        <w:spacing w:after="140" w:line="276"/>
        <w:jc w:val="both"/>
      </w:pPr>
      <w:r>
        <w:rPr>
          <w:rFonts w:ascii="Calibri" w:cs="Calibri" w:eastAsia="Calibri" w:hAnsi="Calibri"/>
          <w:sz w:val="22"/>
          <w:szCs w:val="22"/>
        </w:rPr>
        <w:t xml:space="preserve">PLAN INFORMÁTICO NACIONAL</w:t>
      </w:r>
    </w:p>
    <w:p>
      <w:pPr>
        <w:spacing w:after="140" w:line="276"/>
        <w:jc w:val="both"/>
      </w:pPr>
      <w:r>
        <w:rPr>
          <w:rFonts w:ascii="Calibri" w:cs="Calibri" w:eastAsia="Calibri" w:hAnsi="Calibri"/>
          <w:b/>
          <w:bCs/>
          <w:sz w:val="22"/>
          <w:szCs w:val="22"/>
        </w:rPr>
        <w:t xml:space="preserve">Versión 4.0 — Septiembre 2026</w:t>
      </w:r>
    </w:p>
    <w:p>
      <w:pPr>
        <w:pStyle w:val="Heading1"/>
        <w:spacing w:before="320" w:after="120"/>
      </w:pPr>
      <w:r>
        <w:rPr>
          <w:rFonts w:ascii="Calibri" w:cs="Calibri" w:eastAsia="Calibri" w:hAnsi="Calibri"/>
          <w:b/>
          <w:bCs/>
          <w:color w:val="1B3A4B"/>
        </w:rPr>
        <w:t xml:space="preserve">PROGRAMA 1</w:t>
      </w:r>
    </w:p>
    <w:p>
      <w:pPr>
        <w:spacing w:after="140" w:line="276"/>
        <w:jc w:val="both"/>
      </w:pPr>
      <w:r>
        <w:rPr>
          <w:rFonts w:ascii="Calibri" w:cs="Calibri" w:eastAsia="Calibri" w:hAnsi="Calibri"/>
          <w:b/>
          <w:bCs/>
          <w:sz w:val="22"/>
          <w:szCs w:val="22"/>
        </w:rPr>
        <w:t xml:space="preserve">INTELIGENCIA GENERATIVA ARTIFICIAL (IGA)</w:t>
      </w:r>
    </w:p>
    <w:p>
      <w:pPr>
        <w:spacing w:after="140" w:line="276"/>
        <w:jc w:val="both"/>
      </w:pPr>
      <w:r>
        <w:rPr>
          <w:rFonts w:ascii="Calibri" w:cs="Calibri" w:eastAsia="Calibri" w:hAnsi="Calibri"/>
          <w:sz w:val="22"/>
          <w:szCs w:val="22"/>
        </w:rPr>
        <w:t xml:space="preserve">*Soberanía Informativa, Familia MoE y Ejecución Local*</w:t>
      </w:r>
    </w:p>
    <w:p>
      <w:pPr>
        <w:spacing w:after="140" w:line="276"/>
        <w:jc w:val="both"/>
      </w:pPr>
      <w:r>
        <w:rPr>
          <w:rFonts w:ascii="Calibri" w:cs="Calibri" w:eastAsia="Calibri" w:hAnsi="Calibri"/>
          <w:b/>
          <w:bCs/>
          <w:sz w:val="22"/>
          <w:szCs w:val="22"/>
        </w:rPr>
        <w:t xml:space="preserve">Documento Detallado de Programa</w:t>
      </w:r>
      <w:r>
        <w:rPr>
          <w:rFonts w:ascii="Calibri" w:cs="Calibri" w:eastAsia="Calibri" w:hAnsi="Calibri"/>
          <w:sz w:val="22"/>
          <w:szCs w:val="22"/>
        </w:rPr>
        <w:t xml:space="preserve"> República Argentina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FICHA TÉCNICA</w:t>
            </w:r>
          </w:p>
        </w:tc>
        <w:tc>
          <w:tcPr>
            <w:tcW w:type="dxa" w:w="481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
            </w:r>
          </w:p>
        </w:tc>
      </w:tr>
      <w:tr>
        <w:trPr>
          <w:tblHeader w:val="false"/>
        </w:trPr>
        <w:tc>
          <w:tcPr>
            <w:tcW w:type="dxa" w:w="481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Inversión Total</w:t>
            </w:r>
          </w:p>
        </w:tc>
        <w:tc>
          <w:tcPr>
            <w:tcW w:type="dxa" w:w="481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USD 920.000.000</w:t>
            </w:r>
          </w:p>
        </w:tc>
      </w:tr>
      <w:tr>
        <w:trPr>
          <w:tblHeader w:val="false"/>
        </w:trPr>
        <w:tc>
          <w:tcPr>
            <w:tcW w:type="dxa" w:w="481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Plazo de Ejecución</w:t>
            </w:r>
          </w:p>
        </w:tc>
        <w:tc>
          <w:tcPr>
            <w:tcW w:type="dxa" w:w="481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5 años</w:t>
            </w:r>
          </w:p>
        </w:tc>
      </w:tr>
      <w:tr>
        <w:trPr>
          <w:tblHeader w:val="false"/>
        </w:trPr>
        <w:tc>
          <w:tcPr>
            <w:tcW w:type="dxa" w:w="481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Empleo Directo</w:t>
            </w:r>
          </w:p>
        </w:tc>
        <w:tc>
          <w:tcPr>
            <w:tcW w:type="dxa" w:w="481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4.800 puestos de trabajo</w:t>
            </w:r>
          </w:p>
        </w:tc>
      </w:tr>
      <w:tr>
        <w:trPr>
          <w:tblHeader w:val="false"/>
        </w:trPr>
        <w:tc>
          <w:tcPr>
            <w:tcW w:type="dxa" w:w="481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Organismos Ejecutores</w:t>
            </w:r>
          </w:p>
        </w:tc>
        <w:tc>
          <w:tcPr>
            <w:tcW w:type="dxa" w:w="481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CONICET, Instituto Balseiro, INVAP S.E., Universidades Nacionales, empresas privadas habilitadas*</w:t>
            </w:r>
          </w:p>
        </w:tc>
      </w:tr>
    </w:tbl>
    <w:p>
      <w:pPr>
        <w:spacing w:after="200"/>
      </w:pPr>
    </w:p>
    <w:p>
      <w:pPr>
        <w:spacing w:after="140" w:line="276"/>
        <w:jc w:val="both"/>
      </w:pPr>
      <w:r>
        <w:rPr>
          <w:rFonts w:ascii="Calibri" w:cs="Calibri" w:eastAsia="Calibri" w:hAnsi="Calibri"/>
          <w:sz w:val="22"/>
          <w:szCs w:val="22"/>
        </w:rPr>
        <w:t xml:space="preserve">**Empresas privadas habilitadas: con participación estatal o capital accionario mayoritariamente nacional (≥51%) certificado durante toda la duración del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Entregable Principal</w:t>
            </w:r>
          </w:p>
        </w:tc>
        <w:tc>
          <w:tcPr>
            <w:tcW w:type="dxa" w:w="481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Familia IGA-E/S/M/L/F con razonamiento, visión, voz y agentes; IGA-F como MoE de frontera (no un denso de 200B)</w:t>
            </w:r>
          </w:p>
        </w:tc>
      </w:tr>
    </w:tbl>
    <w:p>
      <w:pPr>
        <w:spacing w:after="200"/>
      </w:pPr>
    </w:p>
    <w:p>
      <w:pPr>
        <w:spacing w:after="140" w:line="276"/>
        <w:jc w:val="both"/>
      </w:pPr>
      <w:r>
        <w:rPr>
          <w:rFonts w:ascii="Calibri" w:cs="Calibri" w:eastAsia="Calibri" w:hAnsi="Calibri"/>
          <w:sz w:val="22"/>
          <w:szCs w:val="22"/>
        </w:rPr>
        <w:t xml:space="preserve">&gt; Este documento está bajo CC0 1.0 (Dominio Público). No se requiere atribución del autor original. &gt; https://creativecommons.org/publicdomain/zero/1.0/deed.es</w:t>
      </w:r>
    </w:p>
    <w:p>
      <w:pPr>
        <w:pStyle w:val="Heading1"/>
        <w:spacing w:before="320" w:after="120"/>
      </w:pPr>
      <w:r>
        <w:rPr>
          <w:rFonts w:ascii="Calibri" w:cs="Calibri" w:eastAsia="Calibri" w:hAnsi="Calibri"/>
          <w:b/>
          <w:bCs/>
          <w:color w:val="1B3A4B"/>
        </w:rPr>
        <w:t xml:space="preserve">1. FUNDAMENTACIÓN Y MARCO DOCTRINARIO</w:t>
      </w:r>
    </w:p>
    <w:p>
      <w:pPr>
        <w:pStyle w:val="Heading2"/>
        <w:spacing w:before="220" w:after="120"/>
      </w:pPr>
      <w:r>
        <w:rPr>
          <w:rFonts w:ascii="Calibri" w:cs="Calibri" w:eastAsia="Calibri" w:hAnsi="Calibri"/>
          <w:b/>
          <w:bCs/>
          <w:color w:val="222222"/>
        </w:rPr>
        <w:t xml:space="preserve">1.1 Contexto Estratégico</w:t>
      </w:r>
    </w:p>
    <w:p>
      <w:pPr>
        <w:spacing w:after="140" w:line="276"/>
        <w:jc w:val="both"/>
      </w:pPr>
      <w:r>
        <w:rPr>
          <w:rFonts w:ascii="Calibri" w:cs="Calibri" w:eastAsia="Calibri" w:hAnsi="Calibri"/>
          <w:sz w:val="22"/>
          <w:szCs w:val="22"/>
        </w:rPr>
        <w:t xml:space="preserve">Los Grandes Modelos de Lenguaje (LLMs) constituyen la infraestructura cognitiva del siglo XXI. Quien controla los modelos de IA controla la producción de conocimiento, la automatización del trabajo intelectual y, en última instancia, la soberanía informativa de una nación.</w:t>
      </w:r>
    </w:p>
    <w:p>
      <w:pPr>
        <w:spacing w:after="140" w:line="276"/>
        <w:jc w:val="both"/>
      </w:pPr>
      <w:r>
        <w:rPr>
          <w:rFonts w:ascii="Calibri" w:cs="Calibri" w:eastAsia="Calibri" w:hAnsi="Calibri"/>
          <w:sz w:val="22"/>
          <w:szCs w:val="22"/>
        </w:rPr>
        <w:t xml:space="preserve">Al 3 de septiembre de 2026, las APIs dominantes —Claude Fable 5.1, GPT-5.6 Sol/Terra/Luna, Gemini 3.8 Flash / 3.1 Pro— operan con contexto de un millón de tokens, razonamiento persistente y agentes de largo horizonte. Esas capacidades no están en territorio argentino. Cada consulta gubernamental o educativa a esas APIs exporta datos, criterio y renta.</w:t>
      </w:r>
    </w:p>
    <w:p>
      <w:pPr>
        <w:spacing w:after="140" w:line="276"/>
        <w:jc w:val="both"/>
      </w:pPr>
      <w:r>
        <w:rPr>
          <w:rFonts w:ascii="Calibri" w:cs="Calibri" w:eastAsia="Calibri" w:hAnsi="Calibri"/>
          <w:sz w:val="22"/>
          <w:szCs w:val="22"/>
        </w:rPr>
        <w:t xml:space="preserve">Los pesos abiertos cerraron la brecha a unos seis a nueve meses: Qwen 3.5/3.8, DeepSeek V4, Gemma 4, Mistral Large 3 y, con licencia más restrictiva, Llama 4 Scout/Maverick. Un Estado que ignore esa oferta y persiga un denso de 200B “desde cero” malgasta presupuesto y tiempo.</w:t>
      </w:r>
    </w:p>
    <w:p>
      <w:pPr>
        <w:spacing w:after="140" w:line="276"/>
        <w:jc w:val="both"/>
      </w:pPr>
      <w:r>
        <w:rPr>
          <w:rFonts w:ascii="Calibri" w:cs="Calibri" w:eastAsia="Calibri" w:hAnsi="Calibri"/>
          <w:sz w:val="22"/>
          <w:szCs w:val="22"/>
        </w:rPr>
        <w:t xml:space="preserve">Esta dependencia replica formas históricas de subordinación. Los modelos extranjeros desconocen el español rioplatense, las lenguas originarias y el derecho público argentino. El Programa IGA v4.0 responde con una familia nacional, dos vías de entrenamiento y destilación sistemática hacia dispositivos del Programa 3.</w:t>
      </w:r>
    </w:p>
    <w:p>
      <w:pPr>
        <w:pStyle w:val="Heading2"/>
        <w:spacing w:before="220" w:after="120"/>
      </w:pPr>
      <w:r>
        <w:rPr>
          <w:rFonts w:ascii="Calibri" w:cs="Calibri" w:eastAsia="Calibri" w:hAnsi="Calibri"/>
          <w:b/>
          <w:bCs/>
          <w:color w:val="222222"/>
        </w:rPr>
        <w:t xml:space="preserve">1.2 Principios Doctrinarios</w:t>
      </w:r>
    </w:p>
    <w:p>
      <w:pPr>
        <w:pStyle w:val="ListParagraph"/>
        <w:numPr>
          <w:ilvl w:val="0"/>
          <w:numId w:val="2"/>
        </w:numPr>
        <w:spacing w:after="60"/>
      </w:pPr>
      <w:r>
        <w:rPr>
          <w:rFonts w:ascii="Calibri" w:cs="Calibri" w:eastAsia="Calibri" w:hAnsi="Calibri"/>
          <w:b/>
          <w:bCs/>
          <w:sz w:val="22"/>
          <w:szCs w:val="22"/>
        </w:rPr>
        <w:t xml:space="preserve">Soberanía Informativa:</w:t>
      </w:r>
      <w:r>
        <w:rPr>
          <w:rFonts w:ascii="Calibri" w:cs="Calibri" w:eastAsia="Calibri" w:hAnsi="Calibri"/>
          <w:sz w:val="22"/>
          <w:szCs w:val="22"/>
        </w:rPr>
        <w:t xml:space="preserve"> Control nacional sobre datos, algoritmos e infraestructura. Rechazo a APIs extranjeras para funciones cognitivas críticas.</w:t>
      </w:r>
    </w:p>
    <w:p>
      <w:pPr>
        <w:pStyle w:val="ListParagraph"/>
        <w:numPr>
          <w:ilvl w:val="0"/>
          <w:numId w:val="2"/>
        </w:numPr>
        <w:spacing w:after="60"/>
      </w:pPr>
      <w:r>
        <w:rPr>
          <w:rFonts w:ascii="Calibri" w:cs="Calibri" w:eastAsia="Calibri" w:hAnsi="Calibri"/>
          <w:b/>
          <w:bCs/>
          <w:sz w:val="22"/>
          <w:szCs w:val="22"/>
        </w:rPr>
        <w:t xml:space="preserve">Equidad Epistémica:</w:t>
      </w:r>
      <w:r>
        <w:rPr>
          <w:rFonts w:ascii="Calibri" w:cs="Calibri" w:eastAsia="Calibri" w:hAnsi="Calibri"/>
          <w:sz w:val="22"/>
          <w:szCs w:val="22"/>
        </w:rPr>
        <w:t xml:space="preserve"> Representación del conocimiento argentino y latinoamericano.</w:t>
      </w:r>
    </w:p>
    <w:p>
      <w:pPr>
        <w:pStyle w:val="ListParagraph"/>
        <w:numPr>
          <w:ilvl w:val="0"/>
          <w:numId w:val="2"/>
        </w:numPr>
        <w:spacing w:after="60"/>
      </w:pPr>
      <w:r>
        <w:rPr>
          <w:rFonts w:ascii="Calibri" w:cs="Calibri" w:eastAsia="Calibri" w:hAnsi="Calibri"/>
          <w:b/>
          <w:bCs/>
          <w:sz w:val="22"/>
          <w:szCs w:val="22"/>
        </w:rPr>
        <w:t xml:space="preserve">Trabajo Genuino:</w:t>
      </w:r>
      <w:r>
        <w:rPr>
          <w:rFonts w:ascii="Calibri" w:cs="Calibri" w:eastAsia="Calibri" w:hAnsi="Calibri"/>
          <w:sz w:val="22"/>
          <w:szCs w:val="22"/>
        </w:rPr>
        <w:t xml:space="preserve"> La IA potencia al trabajador; no lo reemplaza como objetivo de política.</w:t>
      </w:r>
    </w:p>
    <w:p>
      <w:pPr>
        <w:pStyle w:val="ListParagraph"/>
        <w:numPr>
          <w:ilvl w:val="0"/>
          <w:numId w:val="2"/>
        </w:numPr>
        <w:spacing w:after="60"/>
      </w:pPr>
      <w:r>
        <w:rPr>
          <w:rFonts w:ascii="Calibri" w:cs="Calibri" w:eastAsia="Calibri" w:hAnsi="Calibri"/>
          <w:b/>
          <w:bCs/>
          <w:sz w:val="22"/>
          <w:szCs w:val="22"/>
        </w:rPr>
        <w:t xml:space="preserve">Organización Nacional:</w:t>
      </w:r>
      <w:r>
        <w:rPr>
          <w:rFonts w:ascii="Calibri" w:cs="Calibri" w:eastAsia="Calibri" w:hAnsi="Calibri"/>
          <w:sz w:val="22"/>
          <w:szCs w:val="22"/>
        </w:rPr>
        <w:t xml:space="preserve"> CONICET, universidades, INVAP y Balseiro articulados por objetivos nacionales.</w:t>
      </w:r>
    </w:p>
    <w:p>
      <w:pPr>
        <w:pStyle w:val="ListParagraph"/>
        <w:numPr>
          <w:ilvl w:val="0"/>
          <w:numId w:val="2"/>
        </w:numPr>
        <w:spacing w:after="60"/>
      </w:pPr>
      <w:r>
        <w:rPr>
          <w:rFonts w:ascii="Calibri" w:cs="Calibri" w:eastAsia="Calibri" w:hAnsi="Calibri"/>
          <w:b/>
          <w:bCs/>
          <w:sz w:val="22"/>
          <w:szCs w:val="22"/>
        </w:rPr>
        <w:t xml:space="preserve">Descentralización Cognitiva:</w:t>
      </w:r>
      <w:r>
        <w:rPr>
          <w:rFonts w:ascii="Calibri" w:cs="Calibri" w:eastAsia="Calibri" w:hAnsi="Calibri"/>
          <w:sz w:val="22"/>
          <w:szCs w:val="22"/>
        </w:rPr>
        <w:t xml:space="preserve"> Los modelos deben ejecutarse en el dispositivo del ciudadano, sin nube ni censura corporativa.</w:t>
      </w:r>
    </w:p>
    <w:p>
      <w:pPr>
        <w:pStyle w:val="ListParagraph"/>
        <w:numPr>
          <w:ilvl w:val="0"/>
          <w:numId w:val="2"/>
        </w:numPr>
        <w:spacing w:after="60"/>
      </w:pPr>
      <w:r>
        <w:rPr>
          <w:rFonts w:ascii="Calibri" w:cs="Calibri" w:eastAsia="Calibri" w:hAnsi="Calibri"/>
          <w:b/>
          <w:bCs/>
          <w:sz w:val="22"/>
          <w:szCs w:val="22"/>
        </w:rPr>
        <w:t xml:space="preserve">Licencia soberana:</w:t>
      </w:r>
      <w:r>
        <w:rPr>
          <w:rFonts w:ascii="Calibri" w:cs="Calibri" w:eastAsia="Calibri" w:hAnsi="Calibri"/>
          <w:sz w:val="22"/>
          <w:szCs w:val="22"/>
        </w:rPr>
        <w:t xml:space="preserve"> Los pesos nacionales se publican bajo licencia abierta compatible con Apache 2.0 / MIT. No se adopta la Llama Community License como base del modelo de Estado (umbral de usuarios y restricciones jurisdiccionales).</w:t>
      </w:r>
    </w:p>
    <w:p>
      <w:pPr>
        <w:pStyle w:val="Heading2"/>
        <w:spacing w:before="220" w:after="120"/>
      </w:pPr>
      <w:r>
        <w:rPr>
          <w:rFonts w:ascii="Calibri" w:cs="Calibri" w:eastAsia="Calibri" w:hAnsi="Calibri"/>
          <w:b/>
          <w:bCs/>
          <w:color w:val="222222"/>
        </w:rPr>
        <w:t xml:space="preserve">1.3 Diagnóstico de Situación (septiembre 2026)</w:t>
      </w:r>
    </w:p>
    <w:p>
      <w:pPr>
        <w:pStyle w:val="ListParagraph"/>
        <w:numPr>
          <w:ilvl w:val="0"/>
          <w:numId w:val="2"/>
        </w:numPr>
        <w:spacing w:after="60"/>
      </w:pPr>
      <w:r>
        <w:rPr>
          <w:rFonts w:ascii="Calibri" w:cs="Calibri" w:eastAsia="Calibri" w:hAnsi="Calibri"/>
          <w:b/>
          <w:bCs/>
          <w:sz w:val="22"/>
          <w:szCs w:val="22"/>
        </w:rPr>
        <w:t xml:space="preserve">Fortalezas:</w:t>
      </w:r>
      <w:r>
        <w:rPr>
          <w:rFonts w:ascii="Calibri" w:cs="Calibri" w:eastAsia="Calibri" w:hAnsi="Calibri"/>
          <w:sz w:val="22"/>
          <w:szCs w:val="22"/>
        </w:rPr>
        <w:t xml:space="preserve"> Tradición en matemática y computación; Balseiro, FAMAF, CONICET; comunidad de IA; doctrina ya escrita en v3.0.</w:t>
      </w:r>
    </w:p>
    <w:p>
      <w:pPr>
        <w:pStyle w:val="ListParagraph"/>
        <w:numPr>
          <w:ilvl w:val="0"/>
          <w:numId w:val="2"/>
        </w:numPr>
        <w:spacing w:after="60"/>
      </w:pPr>
      <w:r>
        <w:rPr>
          <w:rFonts w:ascii="Calibri" w:cs="Calibri" w:eastAsia="Calibri" w:hAnsi="Calibri"/>
          <w:b/>
          <w:bCs/>
          <w:sz w:val="22"/>
          <w:szCs w:val="22"/>
        </w:rPr>
        <w:t xml:space="preserve">Debilidades:</w:t>
      </w:r>
      <w:r>
        <w:rPr>
          <w:rFonts w:ascii="Calibri" w:cs="Calibri" w:eastAsia="Calibri" w:hAnsi="Calibri"/>
          <w:sz w:val="22"/>
          <w:szCs w:val="22"/>
        </w:rPr>
        <w:t xml:space="preserve"> Fragmentación; fuga de cerebros; cómputo GPU insuficiente; corpus es-AR aún no industrializado; ausencia de banco de evaluación nacional.</w:t>
      </w:r>
    </w:p>
    <w:p>
      <w:pPr>
        <w:pStyle w:val="ListParagraph"/>
        <w:numPr>
          <w:ilvl w:val="0"/>
          <w:numId w:val="2"/>
        </w:numPr>
        <w:spacing w:after="60"/>
      </w:pPr>
      <w:r>
        <w:rPr>
          <w:rFonts w:ascii="Calibri" w:cs="Calibri" w:eastAsia="Calibri" w:hAnsi="Calibri"/>
          <w:b/>
          <w:bCs/>
          <w:sz w:val="22"/>
          <w:szCs w:val="22"/>
        </w:rPr>
        <w:t xml:space="preserve">Oportunidades:</w:t>
      </w:r>
      <w:r>
        <w:rPr>
          <w:rFonts w:ascii="Calibri" w:cs="Calibri" w:eastAsia="Calibri" w:hAnsi="Calibri"/>
          <w:sz w:val="22"/>
          <w:szCs w:val="22"/>
        </w:rPr>
        <w:t xml:space="preserve"> CPT + RL sobre bases permisivas; destilación de razonamiento a 2–12B; NPU de borde; pares regionales (Latam-GPT, Soberano 1, ALIA) con los que articular corpus y metodología, no dependencia.</w:t>
      </w:r>
    </w:p>
    <w:p>
      <w:pPr>
        <w:pStyle w:val="ListParagraph"/>
        <w:numPr>
          <w:ilvl w:val="0"/>
          <w:numId w:val="2"/>
        </w:numPr>
        <w:spacing w:after="60"/>
      </w:pPr>
      <w:r>
        <w:rPr>
          <w:rFonts w:ascii="Calibri" w:cs="Calibri" w:eastAsia="Calibri" w:hAnsi="Calibri"/>
          <w:b/>
          <w:bCs/>
          <w:sz w:val="22"/>
          <w:szCs w:val="22"/>
        </w:rPr>
        <w:t xml:space="preserve">Amenazas:</w:t>
      </w:r>
      <w:r>
        <w:rPr>
          <w:rFonts w:ascii="Calibri" w:cs="Calibri" w:eastAsia="Calibri" w:hAnsi="Calibri"/>
          <w:sz w:val="22"/>
          <w:szCs w:val="22"/>
        </w:rPr>
        <w:t xml:space="preserve"> Monopolios de API; controles de exportación de GPU; lodo sintético en el corpus web; captura de la “IA soberana” por un único proveedor extranjero de pesos.</w:t>
      </w:r>
    </w:p>
    <w:p>
      <w:pPr>
        <w:pStyle w:val="Heading2"/>
        <w:spacing w:before="220" w:after="120"/>
      </w:pPr>
      <w:r>
        <w:rPr>
          <w:rFonts w:ascii="Calibri" w:cs="Calibri" w:eastAsia="Calibri" w:hAnsi="Calibri"/>
          <w:b/>
          <w:bCs/>
          <w:color w:val="222222"/>
        </w:rPr>
        <w:t xml:space="preserve">1.4 Posicionamiento frente a pares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Iniciativa</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País / sede</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Método 2026</w:t>
            </w:r>
          </w:p>
        </w:tc>
        <w:tc>
          <w:tcPr>
            <w:tcW w:type="dxa" w:w="2411"/>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Límite que v4.0 no copia</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Latam-GPT</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CENIA (Chile) + 15 países</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Llama 3.1 70B + CPT (~300B tokens regionales) + SFT</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Base Llama y nube de entrenamiento</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Soberano 1</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Brasil</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LLM 30B para sector público</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Escala y ausencia de dispositivo offline de masas</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ALIA</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España / BSC</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Infraestructura pública en español y lenguas cooficiales</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No es un stack offline + energía + hardware nacional</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IGA v4.0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Argentina</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Vía A permisiva + Vía B nativa + destilación a P3 + PoUW energético</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No persigue un comunicado de 200B densos</w:t>
            </w:r>
          </w:p>
        </w:tc>
      </w:tr>
    </w:tbl>
    <w:p>
      <w:pPr>
        <w:spacing w:after="200"/>
      </w:pPr>
    </w:p>
    <w:p>
      <w:pPr>
        <w:pStyle w:val="Heading1"/>
        <w:spacing w:before="320" w:after="120"/>
      </w:pPr>
      <w:r>
        <w:rPr>
          <w:rFonts w:ascii="Calibri" w:cs="Calibri" w:eastAsia="Calibri" w:hAnsi="Calibri"/>
          <w:b/>
          <w:bCs/>
          <w:color w:val="1B3A4B"/>
        </w:rPr>
        <w:t xml:space="preserve">2. OBJETIVOS DEL PROGRAMA</w:t>
      </w:r>
    </w:p>
    <w:p>
      <w:pPr>
        <w:pStyle w:val="Heading2"/>
        <w:spacing w:before="220" w:after="120"/>
      </w:pPr>
      <w:r>
        <w:rPr>
          <w:rFonts w:ascii="Calibri" w:cs="Calibri" w:eastAsia="Calibri" w:hAnsi="Calibri"/>
          <w:b/>
          <w:bCs/>
          <w:color w:val="222222"/>
        </w:rPr>
        <w:t xml:space="preserve">2.1 Objetivo General</w:t>
      </w:r>
    </w:p>
    <w:p>
      <w:pPr>
        <w:spacing w:after="140" w:line="276"/>
        <w:jc w:val="both"/>
      </w:pPr>
      <w:r>
        <w:rPr>
          <w:rFonts w:ascii="Calibri" w:cs="Calibri" w:eastAsia="Calibri" w:hAnsi="Calibri"/>
          <w:sz w:val="22"/>
          <w:szCs w:val="22"/>
        </w:rPr>
        <w:t xml:space="preserve">Desarrollar y desplegar una familia nacional de modelos (texto, visión, voz, agentes), entrenada con corpus argentino y latinoamericano, destilada para ejecución local en dispositivos del Programa 3, y financiada parcialmente mediante la red del Programa 2.</w:t>
      </w:r>
    </w:p>
    <w:p>
      <w:pPr>
        <w:pStyle w:val="Heading2"/>
        <w:spacing w:before="220" w:after="120"/>
      </w:pPr>
      <w:r>
        <w:rPr>
          <w:rFonts w:ascii="Calibri" w:cs="Calibri" w:eastAsia="Calibri" w:hAnsi="Calibri"/>
          <w:b/>
          <w:bCs/>
          <w:color w:val="222222"/>
        </w:rPr>
        <w:t xml:space="preserve">2.2 Objetivos Específicos</w:t>
      </w:r>
    </w:p>
    <w:p>
      <w:pPr>
        <w:spacing w:after="140" w:line="276"/>
        <w:jc w:val="both"/>
      </w:pPr>
      <w:r>
        <w:rPr>
          <w:rFonts w:ascii="Calibri" w:cs="Calibri" w:eastAsia="Calibri" w:hAnsi="Calibri"/>
          <w:sz w:val="22"/>
          <w:szCs w:val="22"/>
        </w:rPr>
        <w:t xml:space="preserve">1. </w:t>
      </w:r>
      <w:r>
        <w:rPr>
          <w:rFonts w:ascii="Calibri" w:cs="Calibri" w:eastAsia="Calibri" w:hAnsi="Calibri"/>
          <w:b/>
          <w:bCs/>
          <w:sz w:val="22"/>
          <w:szCs w:val="22"/>
        </w:rPr>
        <w:t xml:space="preserve">Corpus Nacional:</w:t>
      </w:r>
      <w:r>
        <w:rPr>
          <w:rFonts w:ascii="Calibri" w:cs="Calibri" w:eastAsia="Calibri" w:hAnsi="Calibri"/>
          <w:sz w:val="22"/>
          <w:szCs w:val="22"/>
        </w:rPr>
        <w:t xml:space="preserve"> Curar ≥1 billón de tokens (texto, voz, imagen de archivo, código, trazas de razonamiento sintéticas filtradas). 2. </w:t>
      </w:r>
      <w:r>
        <w:rPr>
          <w:rFonts w:ascii="Calibri" w:cs="Calibri" w:eastAsia="Calibri" w:hAnsi="Calibri"/>
          <w:b/>
          <w:bCs/>
          <w:sz w:val="22"/>
          <w:szCs w:val="22"/>
        </w:rPr>
        <w:t xml:space="preserve">Vía A (Año 1–2):</w:t>
      </w:r>
      <w:r>
        <w:rPr>
          <w:rFonts w:ascii="Calibri" w:cs="Calibri" w:eastAsia="Calibri" w:hAnsi="Calibri"/>
          <w:sz w:val="22"/>
          <w:szCs w:val="22"/>
        </w:rPr>
        <w:t xml:space="preserve"> Publicar IGA-E, IGA-S e IGA-M por CPT+SFT+RL sobre bases Apache/MIT. 3. </w:t>
      </w:r>
      <w:r>
        <w:rPr>
          <w:rFonts w:ascii="Calibri" w:cs="Calibri" w:eastAsia="Calibri" w:hAnsi="Calibri"/>
          <w:b/>
          <w:bCs/>
          <w:sz w:val="22"/>
          <w:szCs w:val="22"/>
        </w:rPr>
        <w:t xml:space="preserve">Vía B (Año 3–5):</w:t>
      </w:r>
      <w:r>
        <w:rPr>
          <w:rFonts w:ascii="Calibri" w:cs="Calibri" w:eastAsia="Calibri" w:hAnsi="Calibri"/>
          <w:sz w:val="22"/>
          <w:szCs w:val="22"/>
        </w:rPr>
        <w:t xml:space="preserve"> Tokenizador nativo y MoE propio hasta IGA-L e IGA-F. 4. </w:t>
      </w:r>
      <w:r>
        <w:rPr>
          <w:rFonts w:ascii="Calibri" w:cs="Calibri" w:eastAsia="Calibri" w:hAnsi="Calibri"/>
          <w:b/>
          <w:bCs/>
          <w:sz w:val="22"/>
          <w:szCs w:val="22"/>
        </w:rPr>
        <w:t xml:space="preserve">Destilación:</w:t>
      </w:r>
      <w:r>
        <w:rPr>
          <w:rFonts w:ascii="Calibri" w:cs="Calibri" w:eastAsia="Calibri" w:hAnsi="Calibri"/>
          <w:sz w:val="22"/>
          <w:szCs w:val="22"/>
        </w:rPr>
        <w:t xml:space="preserve"> Transferir capacidades de IGA-F/L hacia IGA-E/S para el Programa 3. 5. </w:t>
      </w:r>
      <w:r>
        <w:rPr>
          <w:rFonts w:ascii="Calibri" w:cs="Calibri" w:eastAsia="Calibri" w:hAnsi="Calibri"/>
          <w:b/>
          <w:bCs/>
          <w:sz w:val="22"/>
          <w:szCs w:val="22"/>
        </w:rPr>
        <w:t xml:space="preserve">Agentes locales:</w:t>
      </w:r>
      <w:r>
        <w:rPr>
          <w:rFonts w:ascii="Calibri" w:cs="Calibri" w:eastAsia="Calibri" w:hAnsi="Calibri"/>
          <w:sz w:val="22"/>
          <w:szCs w:val="22"/>
        </w:rPr>
        <w:t xml:space="preserve"> Runtime de herramientas (archivos, cálculo, RAG, credenciales P2) 100% offline. 6. </w:t>
      </w:r>
      <w:r>
        <w:rPr>
          <w:rFonts w:ascii="Calibri" w:cs="Calibri" w:eastAsia="Calibri" w:hAnsi="Calibri"/>
          <w:b/>
          <w:bCs/>
          <w:sz w:val="22"/>
          <w:szCs w:val="22"/>
        </w:rPr>
        <w:t xml:space="preserve">Lenguas originarias:</w:t>
      </w:r>
      <w:r>
        <w:rPr>
          <w:rFonts w:ascii="Calibri" w:cs="Calibri" w:eastAsia="Calibri" w:hAnsi="Calibri"/>
          <w:sz w:val="22"/>
          <w:szCs w:val="22"/>
        </w:rPr>
        <w:t xml:space="preserve"> Quechua, guaraní y mapudungun con fine-tuning y evaluación propia, en coordinación con comunidades. 7. </w:t>
      </w:r>
      <w:r>
        <w:rPr>
          <w:rFonts w:ascii="Calibri" w:cs="Calibri" w:eastAsia="Calibri" w:hAnsi="Calibri"/>
          <w:b/>
          <w:bCs/>
          <w:sz w:val="22"/>
          <w:szCs w:val="22"/>
        </w:rPr>
        <w:t xml:space="preserve">Capital humano:</w:t>
      </w:r>
      <w:r>
        <w:rPr>
          <w:rFonts w:ascii="Calibri" w:cs="Calibri" w:eastAsia="Calibri" w:hAnsi="Calibri"/>
          <w:sz w:val="22"/>
          <w:szCs w:val="22"/>
        </w:rPr>
        <w:t xml:space="preserve"> Capacitar 600+ investigadores y técnicos en CPT, RL, evaluación e inferencia. 8. </w:t>
      </w:r>
      <w:r>
        <w:rPr>
          <w:rFonts w:ascii="Calibri" w:cs="Calibri" w:eastAsia="Calibri" w:hAnsi="Calibri"/>
          <w:b/>
          <w:bCs/>
          <w:sz w:val="22"/>
          <w:szCs w:val="22"/>
        </w:rPr>
        <w:t xml:space="preserve">Evaluación soberana:</w:t>
      </w:r>
      <w:r>
        <w:rPr>
          <w:rFonts w:ascii="Calibri" w:cs="Calibri" w:eastAsia="Calibri" w:hAnsi="Calibri"/>
          <w:sz w:val="22"/>
          <w:szCs w:val="22"/>
        </w:rPr>
        <w:t xml:space="preserve"> Banco argentino de razonamiento, derecho, historia, código y tareas agenticas — no solo MMLU-ES.</w:t>
      </w:r>
    </w:p>
    <w:p>
      <w:pPr>
        <w:pStyle w:val="Heading1"/>
        <w:spacing w:before="320" w:after="120"/>
      </w:pPr>
      <w:r>
        <w:rPr>
          <w:rFonts w:ascii="Calibri" w:cs="Calibri" w:eastAsia="Calibri" w:hAnsi="Calibri"/>
          <w:b/>
          <w:bCs/>
          <w:color w:val="1B3A4B"/>
        </w:rPr>
        <w:t xml:space="preserve">3. ARQUITECTURA TÉCNICA</w:t>
      </w:r>
    </w:p>
    <w:p>
      <w:pPr>
        <w:pStyle w:val="Heading2"/>
        <w:spacing w:before="220" w:after="120"/>
      </w:pPr>
      <w:r>
        <w:rPr>
          <w:rFonts w:ascii="Calibri" w:cs="Calibri" w:eastAsia="Calibri" w:hAnsi="Calibri"/>
          <w:b/>
          <w:bCs/>
          <w:color w:val="222222"/>
        </w:rPr>
        <w:t xml:space="preserve">3.1 Familia de Modelos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Modelo</w:t>
            </w:r>
          </w:p>
        </w:tc>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Forma indicativa</w:t>
            </w:r>
          </w:p>
        </w:tc>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Contexto</w:t>
            </w:r>
          </w:p>
        </w:tc>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Capacidades nativas</w:t>
            </w:r>
          </w:p>
        </w:tc>
        <w:tc>
          <w:tcPr>
            <w:tcW w:type="dxa" w:w="1930"/>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Uso principal</w:t>
            </w:r>
          </w:p>
        </w:tc>
      </w:tr>
      <w:tr>
        <w:trPr>
          <w:tblHeader w:val="false"/>
        </w:trPr>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IGA-E</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2–4B denso o MoE mínimo</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≥128K</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Texto, voz, OCR liviano, agente básico</w:t>
            </w:r>
          </w:p>
        </w:tc>
        <w:tc>
          <w:tcPr>
            <w:tcW w:type="dxa" w:w="1930"/>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SKU Estudiante (P3)</w:t>
            </w:r>
          </w:p>
        </w:tc>
      </w:tr>
      <w:tr>
        <w:trPr>
          <w:tblHeader w:val="false"/>
        </w:trPr>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IGA-S</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8–12B o MoE ~3–8B activos</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≥128K</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Texto, razonamiento, voz, visión, agente + RAG</w:t>
            </w:r>
          </w:p>
        </w:tc>
        <w:tc>
          <w:tcPr>
            <w:tcW w:type="dxa" w:w="1930"/>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SKU Trabajador (P3) / PC</w:t>
            </w:r>
          </w:p>
        </w:tc>
      </w:tr>
      <w:tr>
        <w:trPr>
          <w:tblHeader w:val="false"/>
        </w:trPr>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IGA-M</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~27–32B o MoE clase Gemma 4</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≥256K</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Razonamiento + visión + código</w:t>
            </w:r>
          </w:p>
        </w:tc>
        <w:tc>
          <w:tcPr>
            <w:tcW w:type="dxa" w:w="1930"/>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GPU hogareña / municipio</w:t>
            </w:r>
          </w:p>
        </w:tc>
      </w:tr>
      <w:tr>
        <w:trPr>
          <w:tblHeader w:val="false"/>
        </w:trPr>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IGA-L</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70–120B o MoE ~10–20B activos</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≥256K–1M</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Multimodal + agentes institucionales</w:t>
            </w:r>
          </w:p>
        </w:tc>
        <w:tc>
          <w:tcPr>
            <w:tcW w:type="dxa" w:w="1930"/>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Estado, hospitales, universidades</w:t>
            </w:r>
          </w:p>
        </w:tc>
      </w:tr>
      <w:tr>
        <w:trPr>
          <w:tblHeader w:val="false"/>
        </w:trPr>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IGA-F</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MoE 200–400B+, ~17–37B activos</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≥1M</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Frontera de razonamiento y destilación</w:t>
            </w:r>
          </w:p>
        </w:tc>
        <w:tc>
          <w:tcPr>
            <w:tcW w:type="dxa" w:w="1930"/>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Balseiro / infraestructura crítica</w:t>
            </w:r>
          </w:p>
        </w:tc>
      </w:tr>
      <w:tr>
        <w:trPr>
          <w:tblHeader w:val="false"/>
        </w:trPr>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IGA-E-Q / IGA-S-Q</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Mismos, GGUF Q4 / FP4 / ONNX</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igual</w:t>
            </w:r>
          </w:p>
        </w:tc>
        <w:tc>
          <w:tcPr>
            <w:tcW w:type="dxa" w:w="1927"/>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Inferencia de borde</w:t>
            </w:r>
          </w:p>
        </w:tc>
        <w:tc>
          <w:tcPr>
            <w:tcW w:type="dxa" w:w="1930"/>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Dispositivos y NPU</w:t>
            </w:r>
          </w:p>
        </w:tc>
      </w:tr>
    </w:tbl>
    <w:p>
      <w:pPr>
        <w:spacing w:after="200"/>
      </w:pPr>
    </w:p>
    <w:p>
      <w:pPr>
        <w:spacing w:after="140" w:line="276"/>
        <w:jc w:val="both"/>
      </w:pPr>
      <w:r>
        <w:rPr>
          <w:rFonts w:ascii="Calibri" w:cs="Calibri" w:eastAsia="Calibri" w:hAnsi="Calibri"/>
          <w:sz w:val="22"/>
          <w:szCs w:val="22"/>
        </w:rPr>
        <w:t xml:space="preserve">Un denso de 200B no es el entregable insignia. IGA-F es MoE: el costo de inferencia se acerca al de un modelo mediano.</w:t>
      </w:r>
    </w:p>
    <w:p>
      <w:pPr>
        <w:pStyle w:val="Heading2"/>
        <w:spacing w:before="220" w:after="120"/>
      </w:pPr>
      <w:r>
        <w:rPr>
          <w:rFonts w:ascii="Calibri" w:cs="Calibri" w:eastAsia="Calibri" w:hAnsi="Calibri"/>
          <w:b/>
          <w:bCs/>
          <w:color w:val="222222"/>
        </w:rPr>
        <w:t xml:space="preserve">3.2 Capacidades por Tipo (nativas desde el Año 1)</w:t>
      </w:r>
    </w:p>
    <w:p>
      <w:pPr>
        <w:pStyle w:val="Heading3"/>
        <w:spacing w:before="220" w:after="120"/>
      </w:pPr>
      <w:r>
        <w:rPr>
          <w:rFonts w:ascii="Calibri" w:cs="Calibri" w:eastAsia="Calibri" w:hAnsi="Calibri"/>
          <w:b/>
          <w:bCs/>
          <w:color w:val="222222"/>
        </w:rPr>
        <w:t xml:space="preserve">3.2.1 Texto y razonamiento</w:t>
      </w:r>
    </w:p>
    <w:p>
      <w:pPr>
        <w:pStyle w:val="ListParagraph"/>
        <w:numPr>
          <w:ilvl w:val="0"/>
          <w:numId w:val="2"/>
        </w:numPr>
        <w:spacing w:after="60"/>
      </w:pPr>
      <w:r>
        <w:rPr>
          <w:rFonts w:ascii="Calibri" w:cs="Calibri" w:eastAsia="Calibri" w:hAnsi="Calibri"/>
          <w:sz w:val="22"/>
          <w:szCs w:val="22"/>
        </w:rPr>
        <w:t xml:space="preserve">Español argentino (lunfardo, variantes regionales) y portugués de frontera.</w:t>
      </w:r>
    </w:p>
    <w:p>
      <w:pPr>
        <w:pStyle w:val="ListParagraph"/>
        <w:numPr>
          <w:ilvl w:val="0"/>
          <w:numId w:val="2"/>
        </w:numPr>
        <w:spacing w:after="60"/>
      </w:pPr>
      <w:r>
        <w:rPr>
          <w:rFonts w:ascii="Calibri" w:cs="Calibri" w:eastAsia="Calibri" w:hAnsi="Calibri"/>
          <w:sz w:val="22"/>
          <w:szCs w:val="22"/>
        </w:rPr>
        <w:t xml:space="preserve">Quechua, guaraní y mapudungun (fine-tuning y evaluación con comunidades).</w:t>
      </w:r>
    </w:p>
    <w:p>
      <w:pPr>
        <w:pStyle w:val="ListParagraph"/>
        <w:numPr>
          <w:ilvl w:val="0"/>
          <w:numId w:val="2"/>
        </w:numPr>
        <w:spacing w:after="60"/>
      </w:pPr>
      <w:r>
        <w:rPr>
          <w:rFonts w:ascii="Calibri" w:cs="Calibri" w:eastAsia="Calibri" w:hAnsi="Calibri"/>
          <w:sz w:val="22"/>
          <w:szCs w:val="22"/>
        </w:rPr>
        <w:t xml:space="preserve">Historia, geografía, instituciones y normativa argentina.</w:t>
      </w:r>
    </w:p>
    <w:p>
      <w:pPr>
        <w:pStyle w:val="ListParagraph"/>
        <w:numPr>
          <w:ilvl w:val="0"/>
          <w:numId w:val="2"/>
        </w:numPr>
        <w:spacing w:after="60"/>
      </w:pPr>
      <w:r>
        <w:rPr>
          <w:rFonts w:ascii="Calibri" w:cs="Calibri" w:eastAsia="Calibri" w:hAnsi="Calibri"/>
          <w:sz w:val="22"/>
          <w:szCs w:val="22"/>
        </w:rPr>
        <w:t xml:space="preserve">Código (Python, JavaScript, SQL, C) con comentarios en español.</w:t>
      </w:r>
    </w:p>
    <w:p>
      <w:pPr>
        <w:pStyle w:val="ListParagraph"/>
        <w:numPr>
          <w:ilvl w:val="0"/>
          <w:numId w:val="2"/>
        </w:numPr>
        <w:spacing w:after="60"/>
      </w:pPr>
      <w:r>
        <w:rPr>
          <w:rFonts w:ascii="Calibri" w:cs="Calibri" w:eastAsia="Calibri" w:hAnsi="Calibri"/>
          <w:sz w:val="22"/>
          <w:szCs w:val="22"/>
        </w:rPr>
        <w:t xml:space="preserve">Cadena de pensamiento y esfuerzo configurable (bajo / medio / alto), al modo de los modelos de 2026.</w:t>
      </w:r>
    </w:p>
    <w:p>
      <w:pPr>
        <w:pStyle w:val="ListParagraph"/>
        <w:numPr>
          <w:ilvl w:val="0"/>
          <w:numId w:val="2"/>
        </w:numPr>
        <w:spacing w:after="60"/>
      </w:pPr>
      <w:r>
        <w:rPr>
          <w:rFonts w:ascii="Calibri" w:cs="Calibri" w:eastAsia="Calibri" w:hAnsi="Calibri"/>
          <w:sz w:val="22"/>
          <w:szCs w:val="22"/>
        </w:rPr>
        <w:t xml:space="preserve">Inspiración metodológica —no dependencia—: DeepSeek V4 / destilados R1, Qwen 3.5 thinking, Gemma 4.</w:t>
      </w:r>
    </w:p>
    <w:p>
      <w:pPr>
        <w:pStyle w:val="Heading3"/>
        <w:spacing w:before="220" w:after="120"/>
      </w:pPr>
      <w:r>
        <w:rPr>
          <w:rFonts w:ascii="Calibri" w:cs="Calibri" w:eastAsia="Calibri" w:hAnsi="Calibri"/>
          <w:b/>
          <w:bCs/>
          <w:color w:val="222222"/>
        </w:rPr>
        <w:t xml:space="preserve">3.2.2 Visión y voz</w:t>
      </w:r>
    </w:p>
    <w:p>
      <w:pPr>
        <w:pStyle w:val="ListParagraph"/>
        <w:numPr>
          <w:ilvl w:val="0"/>
          <w:numId w:val="2"/>
        </w:numPr>
        <w:spacing w:after="60"/>
      </w:pPr>
      <w:r>
        <w:rPr>
          <w:rFonts w:ascii="Calibri" w:cs="Calibri" w:eastAsia="Calibri" w:hAnsi="Calibri"/>
          <w:sz w:val="22"/>
          <w:szCs w:val="22"/>
        </w:rPr>
        <w:t xml:space="preserve">OCR de documentos, manuscritos y formularios en español.</w:t>
      </w:r>
    </w:p>
    <w:p>
      <w:pPr>
        <w:pStyle w:val="ListParagraph"/>
        <w:numPr>
          <w:ilvl w:val="0"/>
          <w:numId w:val="2"/>
        </w:numPr>
        <w:spacing w:after="60"/>
      </w:pPr>
      <w:r>
        <w:rPr>
          <w:rFonts w:ascii="Calibri" w:cs="Calibri" w:eastAsia="Calibri" w:hAnsi="Calibri"/>
          <w:sz w:val="22"/>
          <w:szCs w:val="22"/>
        </w:rPr>
        <w:t xml:space="preserve">Análisis de gráficos, tablas y documentación técnica escaneada.</w:t>
      </w:r>
    </w:p>
    <w:p>
      <w:pPr>
        <w:pStyle w:val="ListParagraph"/>
        <w:numPr>
          <w:ilvl w:val="0"/>
          <w:numId w:val="2"/>
        </w:numPr>
        <w:spacing w:after="60"/>
      </w:pPr>
      <w:r>
        <w:rPr>
          <w:rFonts w:ascii="Calibri" w:cs="Calibri" w:eastAsia="Calibri" w:hAnsi="Calibri"/>
          <w:sz w:val="22"/>
          <w:szCs w:val="22"/>
        </w:rPr>
        <w:t xml:space="preserve">Reconocimiento y síntesis de voz en español rioplatense (Año 1 en IGA-E/S).</w:t>
      </w:r>
    </w:p>
    <w:p>
      <w:pPr>
        <w:pStyle w:val="ListParagraph"/>
        <w:numPr>
          <w:ilvl w:val="0"/>
          <w:numId w:val="2"/>
        </w:numPr>
        <w:spacing w:after="60"/>
      </w:pPr>
      <w:r>
        <w:rPr>
          <w:rFonts w:ascii="Calibri" w:cs="Calibri" w:eastAsia="Calibri" w:hAnsi="Calibri"/>
          <w:sz w:val="22"/>
          <w:szCs w:val="22"/>
        </w:rPr>
        <w:t xml:space="preserve">Integración con cámaras y micrófonos del Programa 3.</w:t>
      </w:r>
    </w:p>
    <w:p>
      <w:pPr>
        <w:pStyle w:val="Heading3"/>
        <w:spacing w:before="220" w:after="120"/>
      </w:pPr>
      <w:r>
        <w:rPr>
          <w:rFonts w:ascii="Calibri" w:cs="Calibri" w:eastAsia="Calibri" w:hAnsi="Calibri"/>
          <w:b/>
          <w:bCs/>
          <w:color w:val="222222"/>
        </w:rPr>
        <w:t xml:space="preserve">3.2.3 Agentes locales</w:t>
      </w:r>
    </w:p>
    <w:p>
      <w:pPr>
        <w:pStyle w:val="ListParagraph"/>
        <w:numPr>
          <w:ilvl w:val="0"/>
          <w:numId w:val="2"/>
        </w:numPr>
        <w:spacing w:after="60"/>
      </w:pPr>
      <w:r>
        <w:rPr>
          <w:rFonts w:ascii="Calibri" w:cs="Calibri" w:eastAsia="Calibri" w:hAnsi="Calibri"/>
          <w:sz w:val="22"/>
          <w:szCs w:val="22"/>
        </w:rPr>
        <w:t xml:space="preserve">Uso de herramientas en el dispositivo: sistema de archivos, calculadora, buscador local, RAG sobre documentos del usuario.</w:t>
      </w:r>
    </w:p>
    <w:p>
      <w:pPr>
        <w:pStyle w:val="ListParagraph"/>
        <w:numPr>
          <w:ilvl w:val="0"/>
          <w:numId w:val="2"/>
        </w:numPr>
        <w:spacing w:after="60"/>
      </w:pPr>
      <w:r>
        <w:rPr>
          <w:rFonts w:ascii="Calibri" w:cs="Calibri" w:eastAsia="Calibri" w:hAnsi="Calibri"/>
          <w:sz w:val="22"/>
          <w:szCs w:val="22"/>
        </w:rPr>
        <w:t xml:space="preserve">Verificación offline de credenciales firmadas del Programa 2.</w:t>
      </w:r>
    </w:p>
    <w:p>
      <w:pPr>
        <w:pStyle w:val="ListParagraph"/>
        <w:numPr>
          <w:ilvl w:val="0"/>
          <w:numId w:val="2"/>
        </w:numPr>
        <w:spacing w:after="60"/>
      </w:pPr>
      <w:r>
        <w:rPr>
          <w:rFonts w:ascii="Calibri" w:cs="Calibri" w:eastAsia="Calibri" w:hAnsi="Calibri"/>
          <w:sz w:val="22"/>
          <w:szCs w:val="22"/>
        </w:rPr>
        <w:t xml:space="preserve">Sin telemetría. Sin cuenta. Sin nube.</w:t>
      </w:r>
    </w:p>
    <w:p>
      <w:pPr>
        <w:pStyle w:val="Heading2"/>
        <w:spacing w:before="220" w:after="120"/>
      </w:pPr>
      <w:r>
        <w:rPr>
          <w:rFonts w:ascii="Calibri" w:cs="Calibri" w:eastAsia="Calibri" w:hAnsi="Calibri"/>
          <w:b/>
          <w:bCs/>
          <w:color w:val="222222"/>
        </w:rPr>
        <w:t xml:space="preserve">3.3 Optimización para Ejecución Local</w:t>
      </w:r>
    </w:p>
    <w:p>
      <w:pPr>
        <w:spacing w:after="140" w:line="276"/>
        <w:jc w:val="both"/>
      </w:pPr>
      <w:r>
        <w:rPr>
          <w:rFonts w:ascii="Calibri" w:cs="Calibri" w:eastAsia="Calibri" w:hAnsi="Calibri"/>
          <w:b/>
          <w:bCs/>
          <w:sz w:val="22"/>
          <w:szCs w:val="22"/>
        </w:rPr>
        <w:t xml:space="preserve">Niveles de despliegue:</w:t>
      </w:r>
    </w:p>
    <w:p>
      <w:pPr>
        <w:pStyle w:val="ListParagraph"/>
        <w:numPr>
          <w:ilvl w:val="0"/>
          <w:numId w:val="2"/>
        </w:numPr>
        <w:spacing w:after="60"/>
      </w:pPr>
      <w:r>
        <w:rPr>
          <w:rFonts w:ascii="Calibri" w:cs="Calibri" w:eastAsia="Calibri" w:hAnsi="Calibri"/>
          <w:b/>
          <w:bCs/>
          <w:sz w:val="22"/>
          <w:szCs w:val="22"/>
        </w:rPr>
        <w:t xml:space="preserve">P3 Estudiante:</w:t>
      </w:r>
      <w:r>
        <w:rPr>
          <w:rFonts w:ascii="Calibri" w:cs="Calibri" w:eastAsia="Calibri" w:hAnsi="Calibri"/>
          <w:sz w:val="22"/>
          <w:szCs w:val="22"/>
        </w:rPr>
        <w:t xml:space="preserve"> IGA-E-Q, 16 GB + NPU, ≥25 tok/s.</w:t>
      </w:r>
    </w:p>
    <w:p>
      <w:pPr>
        <w:pStyle w:val="ListParagraph"/>
        <w:numPr>
          <w:ilvl w:val="0"/>
          <w:numId w:val="2"/>
        </w:numPr>
        <w:spacing w:after="60"/>
      </w:pPr>
      <w:r>
        <w:rPr>
          <w:rFonts w:ascii="Calibri" w:cs="Calibri" w:eastAsia="Calibri" w:hAnsi="Calibri"/>
          <w:b/>
          <w:bCs/>
          <w:sz w:val="22"/>
          <w:szCs w:val="22"/>
        </w:rPr>
        <w:t xml:space="preserve">P3 Trabajador / PC:</w:t>
      </w:r>
      <w:r>
        <w:rPr>
          <w:rFonts w:ascii="Calibri" w:cs="Calibri" w:eastAsia="Calibri" w:hAnsi="Calibri"/>
          <w:sz w:val="22"/>
          <w:szCs w:val="22"/>
        </w:rPr>
        <w:t xml:space="preserve"> IGA-S-Q, 16–32 GB, ≥12 tok/s.</w:t>
      </w:r>
    </w:p>
    <w:p>
      <w:pPr>
        <w:pStyle w:val="ListParagraph"/>
        <w:numPr>
          <w:ilvl w:val="0"/>
          <w:numId w:val="2"/>
        </w:numPr>
        <w:spacing w:after="60"/>
      </w:pPr>
      <w:r>
        <w:rPr>
          <w:rFonts w:ascii="Calibri" w:cs="Calibri" w:eastAsia="Calibri" w:hAnsi="Calibri"/>
          <w:b/>
          <w:bCs/>
          <w:sz w:val="22"/>
          <w:szCs w:val="22"/>
        </w:rPr>
        <w:t xml:space="preserve">Hogar / municipio:</w:t>
      </w:r>
      <w:r>
        <w:rPr>
          <w:rFonts w:ascii="Calibri" w:cs="Calibri" w:eastAsia="Calibri" w:hAnsi="Calibri"/>
          <w:sz w:val="22"/>
          <w:szCs w:val="22"/>
        </w:rPr>
        <w:t xml:space="preserve"> IGA-M en GPU de 16–24 GB o NPU de estación.</w:t>
      </w:r>
    </w:p>
    <w:p>
      <w:pPr>
        <w:pStyle w:val="ListParagraph"/>
        <w:numPr>
          <w:ilvl w:val="0"/>
          <w:numId w:val="2"/>
        </w:numPr>
        <w:spacing w:after="60"/>
      </w:pPr>
      <w:r>
        <w:rPr>
          <w:rFonts w:ascii="Calibri" w:cs="Calibri" w:eastAsia="Calibri" w:hAnsi="Calibri"/>
          <w:b/>
          <w:bCs/>
          <w:sz w:val="22"/>
          <w:szCs w:val="22"/>
        </w:rPr>
        <w:t xml:space="preserve">Nodos estatales y de la sociedad civil:</w:t>
      </w:r>
      <w:r>
        <w:rPr>
          <w:rFonts w:ascii="Calibri" w:cs="Calibri" w:eastAsia="Calibri" w:hAnsi="Calibri"/>
          <w:sz w:val="22"/>
          <w:szCs w:val="22"/>
        </w:rPr>
        <w:t xml:space="preserve"> IGA-L / IGA-F en servidores locales.</w:t>
      </w:r>
    </w:p>
    <w:p>
      <w:pPr>
        <w:spacing w:after="140" w:line="276"/>
        <w:jc w:val="both"/>
      </w:pPr>
      <w:r>
        <w:rPr>
          <w:rFonts w:ascii="Calibri" w:cs="Calibri" w:eastAsia="Calibri" w:hAnsi="Calibri"/>
          <w:b/>
          <w:bCs/>
          <w:sz w:val="22"/>
          <w:szCs w:val="22"/>
        </w:rPr>
        <w:t xml:space="preserve">Técnicas:</w:t>
      </w:r>
    </w:p>
    <w:p>
      <w:pPr>
        <w:pStyle w:val="ListParagraph"/>
        <w:numPr>
          <w:ilvl w:val="0"/>
          <w:numId w:val="2"/>
        </w:numPr>
        <w:spacing w:after="60"/>
      </w:pPr>
      <w:r>
        <w:rPr>
          <w:rFonts w:ascii="Calibri" w:cs="Calibri" w:eastAsia="Calibri" w:hAnsi="Calibri"/>
          <w:sz w:val="22"/>
          <w:szCs w:val="22"/>
        </w:rPr>
        <w:t xml:space="preserve">Cuantización GGUF Q4_K_M / Q5, FP4/NVFP4 en B200, INT4 en NPU.</w:t>
      </w:r>
    </w:p>
    <w:p>
      <w:pPr>
        <w:pStyle w:val="ListParagraph"/>
        <w:numPr>
          <w:ilvl w:val="0"/>
          <w:numId w:val="2"/>
        </w:numPr>
        <w:spacing w:after="60"/>
      </w:pPr>
      <w:r>
        <w:rPr>
          <w:rFonts w:ascii="Calibri" w:cs="Calibri" w:eastAsia="Calibri" w:hAnsi="Calibri"/>
          <w:sz w:val="22"/>
          <w:szCs w:val="22"/>
        </w:rPr>
        <w:t xml:space="preserve">Destilación de razonamiento (profesor IGA-F/L - alumno IGA-E/S).</w:t>
      </w:r>
    </w:p>
    <w:p>
      <w:pPr>
        <w:pStyle w:val="ListParagraph"/>
        <w:numPr>
          <w:ilvl w:val="0"/>
          <w:numId w:val="2"/>
        </w:numPr>
        <w:spacing w:after="60"/>
      </w:pPr>
      <w:r>
        <w:rPr>
          <w:rFonts w:ascii="Calibri" w:cs="Calibri" w:eastAsia="Calibri" w:hAnsi="Calibri"/>
          <w:sz w:val="22"/>
          <w:szCs w:val="22"/>
        </w:rPr>
        <w:t xml:space="preserve">MoE para costo de inferencia de modelo chico con capacidad de modelo grande.</w:t>
      </w:r>
    </w:p>
    <w:p>
      <w:pPr>
        <w:pStyle w:val="ListParagraph"/>
        <w:numPr>
          <w:ilvl w:val="0"/>
          <w:numId w:val="2"/>
        </w:numPr>
        <w:spacing w:after="60"/>
      </w:pPr>
      <w:r>
        <w:rPr>
          <w:rFonts w:ascii="Calibri" w:cs="Calibri" w:eastAsia="Calibri" w:hAnsi="Calibri"/>
          <w:sz w:val="22"/>
          <w:szCs w:val="22"/>
        </w:rPr>
        <w:t xml:space="preserve">Decodificación especulativa (draft IGA-E, verify IGA-S/M).</w:t>
      </w:r>
    </w:p>
    <w:p>
      <w:pPr>
        <w:pStyle w:val="ListParagraph"/>
        <w:numPr>
          <w:ilvl w:val="0"/>
          <w:numId w:val="2"/>
        </w:numPr>
        <w:spacing w:after="60"/>
      </w:pPr>
      <w:r>
        <w:rPr>
          <w:rFonts w:ascii="Calibri" w:cs="Calibri" w:eastAsia="Calibri" w:hAnsi="Calibri"/>
          <w:sz w:val="22"/>
          <w:szCs w:val="22"/>
        </w:rPr>
        <w:t xml:space="preserve">Formatos: GGUF (llama.cpp), ONNX (NPU), safetensors (entrenamiento).</w:t>
      </w:r>
    </w:p>
    <w:p>
      <w:pPr>
        <w:pStyle w:val="Heading1"/>
        <w:spacing w:before="320" w:after="120"/>
      </w:pPr>
      <w:r>
        <w:rPr>
          <w:rFonts w:ascii="Calibri" w:cs="Calibri" w:eastAsia="Calibri" w:hAnsi="Calibri"/>
          <w:b/>
          <w:bCs/>
          <w:color w:val="1B3A4B"/>
        </w:rPr>
        <w:t xml:space="preserve">4. CORPUS NACIONAL DE ENTRENAMIENTO</w:t>
      </w:r>
    </w:p>
    <w:p>
      <w:pPr>
        <w:pStyle w:val="Heading2"/>
        <w:spacing w:before="220" w:after="120"/>
      </w:pPr>
      <w:r>
        <w:rPr>
          <w:rFonts w:ascii="Calibri" w:cs="Calibri" w:eastAsia="Calibri" w:hAnsi="Calibri"/>
          <w:b/>
          <w:bCs/>
          <w:color w:val="222222"/>
        </w:rPr>
        <w:t xml:space="preserve">4.1 Composición del Corpus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Categoría</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Tokens (MM)</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 del Total</w:t>
            </w:r>
          </w:p>
        </w:tc>
        <w:tc>
          <w:tcPr>
            <w:tcW w:type="dxa" w:w="2411"/>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Fuentes Principales</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Literatura argentina</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40.000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4%</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BN, editoriales, dominio público</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Producción académica</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120.000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12%</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CONICET, tesis, revistas</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Normativa y legislación</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60.000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6%</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InfoLEG, boletines oficiales</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Medios periodísticos</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140.000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14%</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Diarios, revistas, agencias</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Web argentina (.ar)</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200.000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20%</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CommonCrawl filtrado + volcados .ar</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Documentación técnica</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70.000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7%</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INTI, INTA, manuales</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Lenguas originarias</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15.000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1,5%</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Archivos, traducciones, oral</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Código fuente</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80.000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8%</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GitHub Argentina, SIU, software público</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Voz y transcripciones</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50.000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5%</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Radio, parlamentos, archivos orales</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Archivo escaneado (visión)</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80.000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8%</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Archivos nacionales, expedientes liberados</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Trazas de razonamiento sintéticas</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145.000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14,5%</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Generadas por IGA-M/L y filtradas</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TOTAL</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1.000.000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100%</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
            </w:r>
          </w:p>
        </w:tc>
      </w:tr>
    </w:tbl>
    <w:p>
      <w:pPr>
        <w:spacing w:after="200"/>
      </w:pPr>
    </w:p>
    <w:p>
      <w:pPr>
        <w:spacing w:after="140" w:line="276"/>
        <w:jc w:val="both"/>
      </w:pPr>
      <w:r>
        <w:rPr>
          <w:rFonts w:ascii="Calibri" w:cs="Calibri" w:eastAsia="Calibri" w:hAnsi="Calibri"/>
          <w:sz w:val="22"/>
          <w:szCs w:val="22"/>
        </w:rPr>
        <w:t xml:space="preserve">El total de v3.0 (500.000 M tokens) se duplica. La categoría nueva crítica es el </w:t>
      </w:r>
      <w:r>
        <w:rPr>
          <w:rFonts w:ascii="Calibri" w:cs="Calibri" w:eastAsia="Calibri" w:hAnsi="Calibri"/>
          <w:b/>
          <w:bCs/>
          <w:sz w:val="22"/>
          <w:szCs w:val="22"/>
        </w:rPr>
        <w:t xml:space="preserve">filtro de lodo sintético</w:t>
      </w:r>
      <w:r>
        <w:rPr>
          <w:rFonts w:ascii="Calibri" w:cs="Calibri" w:eastAsia="Calibri" w:hAnsi="Calibri"/>
          <w:sz w:val="22"/>
          <w:szCs w:val="22"/>
        </w:rPr>
        <w:t xml:space="preserve">: clasificadores para expulsar texto generado por IA de baja calidad antes de que contamine el CPT.</w:t>
      </w:r>
    </w:p>
    <w:p>
      <w:pPr>
        <w:pStyle w:val="Heading2"/>
        <w:spacing w:before="220" w:after="120"/>
      </w:pPr>
      <w:r>
        <w:rPr>
          <w:rFonts w:ascii="Calibri" w:cs="Calibri" w:eastAsia="Calibri" w:hAnsi="Calibri"/>
          <w:b/>
          <w:bCs/>
          <w:color w:val="222222"/>
        </w:rPr>
        <w:t xml:space="preserve">4.2 Proceso de Curación</w:t>
      </w:r>
    </w:p>
    <w:p>
      <w:pPr>
        <w:spacing w:after="140" w:line="276"/>
        <w:jc w:val="both"/>
      </w:pPr>
      <w:r>
        <w:rPr>
          <w:rFonts w:ascii="Calibri" w:cs="Calibri" w:eastAsia="Calibri" w:hAnsi="Calibri"/>
          <w:sz w:val="22"/>
          <w:szCs w:val="22"/>
        </w:rPr>
        <w:t xml:space="preserve">1. </w:t>
      </w:r>
      <w:r>
        <w:rPr>
          <w:rFonts w:ascii="Calibri" w:cs="Calibri" w:eastAsia="Calibri" w:hAnsi="Calibri"/>
          <w:b/>
          <w:bCs/>
          <w:sz w:val="22"/>
          <w:szCs w:val="22"/>
        </w:rPr>
        <w:t xml:space="preserve">Recolección:</w:t>
      </w:r>
      <w:r>
        <w:rPr>
          <w:rFonts w:ascii="Calibri" w:cs="Calibri" w:eastAsia="Calibri" w:hAnsi="Calibri"/>
          <w:sz w:val="22"/>
          <w:szCs w:val="22"/>
        </w:rPr>
        <w:t xml:space="preserve"> Convenios, digitalización, scraping respetuoso de fuentes públicas. 2. </w:t>
      </w:r>
      <w:r>
        <w:rPr>
          <w:rFonts w:ascii="Calibri" w:cs="Calibri" w:eastAsia="Calibri" w:hAnsi="Calibri"/>
          <w:b/>
          <w:bCs/>
          <w:sz w:val="22"/>
          <w:szCs w:val="22"/>
        </w:rPr>
        <w:t xml:space="preserve">Deduplicación:</w:t>
      </w:r>
      <w:r>
        <w:rPr>
          <w:rFonts w:ascii="Calibri" w:cs="Calibri" w:eastAsia="Calibri" w:hAnsi="Calibri"/>
          <w:sz w:val="22"/>
          <w:szCs w:val="22"/>
        </w:rPr>
        <w:t xml:space="preserve"> MinHash, SimHash y similitud semántica. 3. </w:t>
      </w:r>
      <w:r>
        <w:rPr>
          <w:rFonts w:ascii="Calibri" w:cs="Calibri" w:eastAsia="Calibri" w:hAnsi="Calibri"/>
          <w:b/>
          <w:bCs/>
          <w:sz w:val="22"/>
          <w:szCs w:val="22"/>
        </w:rPr>
        <w:t xml:space="preserve">Filtrado de calidad y de lodo sintético.</w:t>
      </w:r>
      <w:r>
        <w:rPr>
          <w:rFonts w:ascii="Calibri" w:cs="Calibri" w:eastAsia="Calibri" w:hAnsi="Calibri"/>
          <w:sz w:val="22"/>
          <w:szCs w:val="22"/>
        </w:rPr>
        <w:t xml:space="preserve"> 4. </w:t>
      </w:r>
      <w:r>
        <w:rPr>
          <w:rFonts w:ascii="Calibri" w:cs="Calibri" w:eastAsia="Calibri" w:hAnsi="Calibri"/>
          <w:b/>
          <w:bCs/>
          <w:sz w:val="22"/>
          <w:szCs w:val="22"/>
        </w:rPr>
        <w:t xml:space="preserve">Detección de PII:</w:t>
      </w:r>
      <w:r>
        <w:rPr>
          <w:rFonts w:ascii="Calibri" w:cs="Calibri" w:eastAsia="Calibri" w:hAnsi="Calibri"/>
          <w:sz w:val="22"/>
          <w:szCs w:val="22"/>
        </w:rPr>
        <w:t xml:space="preserve"> Anonimización de DNI, domicilios, salud. 5. </w:t>
      </w:r>
      <w:r>
        <w:rPr>
          <w:rFonts w:ascii="Calibri" w:cs="Calibri" w:eastAsia="Calibri" w:hAnsi="Calibri"/>
          <w:b/>
          <w:bCs/>
          <w:sz w:val="22"/>
          <w:szCs w:val="22"/>
        </w:rPr>
        <w:t xml:space="preserve">Clasificación temática</w:t>
      </w:r>
      <w:r>
        <w:rPr>
          <w:rFonts w:ascii="Calibri" w:cs="Calibri" w:eastAsia="Calibri" w:hAnsi="Calibri"/>
          <w:sz w:val="22"/>
          <w:szCs w:val="22"/>
        </w:rPr>
        <w:t xml:space="preserve"> para balanceo. 6. </w:t>
      </w:r>
      <w:r>
        <w:rPr>
          <w:rFonts w:ascii="Calibri" w:cs="Calibri" w:eastAsia="Calibri" w:hAnsi="Calibri"/>
          <w:b/>
          <w:bCs/>
          <w:sz w:val="22"/>
          <w:szCs w:val="22"/>
        </w:rPr>
        <w:t xml:space="preserve">Validación humana</w:t>
      </w:r>
      <w:r>
        <w:rPr>
          <w:rFonts w:ascii="Calibri" w:cs="Calibri" w:eastAsia="Calibri" w:hAnsi="Calibri"/>
          <w:sz w:val="22"/>
          <w:szCs w:val="22"/>
        </w:rPr>
        <w:t xml:space="preserve"> por lingüistas y expertos de dominio. 7. </w:t>
      </w:r>
      <w:r>
        <w:rPr>
          <w:rFonts w:ascii="Calibri" w:cs="Calibri" w:eastAsia="Calibri" w:hAnsi="Calibri"/>
          <w:b/>
          <w:bCs/>
          <w:sz w:val="22"/>
          <w:szCs w:val="22"/>
        </w:rPr>
        <w:t xml:space="preserve">Consentimiento de comunidades</w:t>
      </w:r>
      <w:r>
        <w:rPr>
          <w:rFonts w:ascii="Calibri" w:cs="Calibri" w:eastAsia="Calibri" w:hAnsi="Calibri"/>
          <w:sz w:val="22"/>
          <w:szCs w:val="22"/>
        </w:rPr>
        <w:t xml:space="preserve"> para lenguas originarias.</w:t>
      </w:r>
    </w:p>
    <w:p>
      <w:pPr>
        <w:pStyle w:val="Heading2"/>
        <w:spacing w:before="220" w:after="120"/>
      </w:pPr>
      <w:r>
        <w:rPr>
          <w:rFonts w:ascii="Calibri" w:cs="Calibri" w:eastAsia="Calibri" w:hAnsi="Calibri"/>
          <w:b/>
          <w:bCs/>
          <w:color w:val="222222"/>
        </w:rPr>
        <w:t xml:space="preserve">4.3 Lenguas Originarias</w:t>
      </w:r>
    </w:p>
    <w:p>
      <w:pPr>
        <w:spacing w:after="140" w:line="276"/>
        <w:jc w:val="both"/>
      </w:pPr>
      <w:r>
        <w:rPr>
          <w:rFonts w:ascii="Calibri" w:cs="Calibri" w:eastAsia="Calibri" w:hAnsi="Calibri"/>
          <w:sz w:val="22"/>
          <w:szCs w:val="22"/>
        </w:rPr>
        <w:t xml:space="preserve">Coordinación con comunidades indígenas y lingüistas:</w:t>
      </w:r>
    </w:p>
    <w:p>
      <w:pPr>
        <w:pStyle w:val="ListParagraph"/>
        <w:numPr>
          <w:ilvl w:val="0"/>
          <w:numId w:val="2"/>
        </w:numPr>
        <w:spacing w:after="60"/>
      </w:pPr>
      <w:r>
        <w:rPr>
          <w:rFonts w:ascii="Calibri" w:cs="Calibri" w:eastAsia="Calibri" w:hAnsi="Calibri"/>
          <w:b/>
          <w:bCs/>
          <w:sz w:val="22"/>
          <w:szCs w:val="22"/>
        </w:rPr>
        <w:t xml:space="preserve">Quechua:</w:t>
      </w:r>
      <w:r>
        <w:rPr>
          <w:rFonts w:ascii="Calibri" w:cs="Calibri" w:eastAsia="Calibri" w:hAnsi="Calibri"/>
          <w:sz w:val="22"/>
          <w:szCs w:val="22"/>
        </w:rPr>
        <w:t xml:space="preserve"> Variante santiagueña y del noroeste.</w:t>
      </w:r>
    </w:p>
    <w:p>
      <w:pPr>
        <w:pStyle w:val="ListParagraph"/>
        <w:numPr>
          <w:ilvl w:val="0"/>
          <w:numId w:val="2"/>
        </w:numPr>
        <w:spacing w:after="60"/>
      </w:pPr>
      <w:r>
        <w:rPr>
          <w:rFonts w:ascii="Calibri" w:cs="Calibri" w:eastAsia="Calibri" w:hAnsi="Calibri"/>
          <w:b/>
          <w:bCs/>
          <w:sz w:val="22"/>
          <w:szCs w:val="22"/>
        </w:rPr>
        <w:t xml:space="preserve">Guaraní:</w:t>
      </w:r>
      <w:r>
        <w:rPr>
          <w:rFonts w:ascii="Calibri" w:cs="Calibri" w:eastAsia="Calibri" w:hAnsi="Calibri"/>
          <w:sz w:val="22"/>
          <w:szCs w:val="22"/>
        </w:rPr>
        <w:t xml:space="preserve"> Variante correntina; MERCOSUR.</w:t>
      </w:r>
    </w:p>
    <w:p>
      <w:pPr>
        <w:pStyle w:val="ListParagraph"/>
        <w:numPr>
          <w:ilvl w:val="0"/>
          <w:numId w:val="2"/>
        </w:numPr>
        <w:spacing w:after="60"/>
      </w:pPr>
      <w:r>
        <w:rPr>
          <w:rFonts w:ascii="Calibri" w:cs="Calibri" w:eastAsia="Calibri" w:hAnsi="Calibri"/>
          <w:b/>
          <w:bCs/>
          <w:sz w:val="22"/>
          <w:szCs w:val="22"/>
        </w:rPr>
        <w:t xml:space="preserve">Mapudungun:</w:t>
      </w:r>
      <w:r>
        <w:rPr>
          <w:rFonts w:ascii="Calibri" w:cs="Calibri" w:eastAsia="Calibri" w:hAnsi="Calibri"/>
          <w:sz w:val="22"/>
          <w:szCs w:val="22"/>
        </w:rPr>
        <w:t xml:space="preserve"> Comunidades mapuche, material educativo.</w:t>
      </w:r>
    </w:p>
    <w:p>
      <w:pPr>
        <w:spacing w:after="140" w:line="276"/>
        <w:jc w:val="both"/>
      </w:pPr>
      <w:r>
        <w:rPr>
          <w:rFonts w:ascii="Calibri" w:cs="Calibri" w:eastAsia="Calibri" w:hAnsi="Calibri"/>
          <w:sz w:val="22"/>
          <w:szCs w:val="22"/>
        </w:rPr>
        <w:t xml:space="preserve">El objetivo no es solo traducción: es comprensión cultural.</w:t>
      </w:r>
    </w:p>
    <w:p>
      <w:pPr>
        <w:pStyle w:val="Heading1"/>
        <w:spacing w:before="320" w:after="120"/>
      </w:pPr>
      <w:r>
        <w:rPr>
          <w:rFonts w:ascii="Calibri" w:cs="Calibri" w:eastAsia="Calibri" w:hAnsi="Calibri"/>
          <w:b/>
          <w:bCs/>
          <w:color w:val="1B3A4B"/>
        </w:rPr>
        <w:t xml:space="preserve">5. INFRAESTRUCTURA DE CÓMPUTO</w:t>
      </w:r>
    </w:p>
    <w:p>
      <w:pPr>
        <w:pStyle w:val="Heading2"/>
        <w:spacing w:before="220" w:after="120"/>
      </w:pPr>
      <w:r>
        <w:rPr>
          <w:rFonts w:ascii="Calibri" w:cs="Calibri" w:eastAsia="Calibri" w:hAnsi="Calibri"/>
          <w:b/>
          <w:bCs/>
          <w:color w:val="222222"/>
        </w:rPr>
        <w:t xml:space="preserve">5.1 Requerimientos (mixto 2026)</w:t>
      </w:r>
    </w:p>
    <w:p>
      <w:pPr>
        <w:spacing w:after="140" w:line="276"/>
        <w:jc w:val="both"/>
      </w:pPr>
      <w:r>
        <w:rPr>
          <w:rFonts w:ascii="Calibri" w:cs="Calibri" w:eastAsia="Calibri" w:hAnsi="Calibri"/>
          <w:sz w:val="22"/>
          <w:szCs w:val="22"/>
        </w:rPr>
        <w:t xml:space="preserve">El Plan no compra solo H100. Mezcla Hopper (H100/H200) para CPT de Vía A, Blackwell (B200/GB200) para MoE e inferencia FP4, y un piso de AMD MI300/MI350 más aceleradores no estadounidenses contra controles de exportación.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Trabajo</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Hardware de referencia</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Tiempo indicativo</w:t>
            </w:r>
          </w:p>
        </w:tc>
        <w:tc>
          <w:tcPr>
            <w:tcW w:type="dxa" w:w="2411"/>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Notas</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CPT IGA-E / IGA-S (Vía A)</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64–128 H100 o 32–64 H200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14–30 días</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Sobre base abierta</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CPT IGA-M</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128 H200 o 64 B200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21–40 días</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Mid-training IGA-L (Vía B)</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256 B200 o 512 H200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45–70 días</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Tokenizador nativo</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IGA-F MoE (Vía B)</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256–512 B200 / GB200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60–90 días</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No es un denso 200B</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SFT + RL (por SKU)</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16–64 GPU</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7–21 días</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GRPO/PPO, preferencias</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Destilación a borde</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8–32 GPU</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7–14 días</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Profesor - alumno</w:t>
            </w:r>
          </w:p>
        </w:tc>
      </w:tr>
    </w:tbl>
    <w:p>
      <w:pPr>
        <w:spacing w:after="200"/>
      </w:pPr>
    </w:p>
    <w:p>
      <w:pPr>
        <w:spacing w:after="140" w:line="276"/>
        <w:jc w:val="both"/>
      </w:pPr>
      <w:r>
        <w:rPr>
          <w:rFonts w:ascii="Calibri" w:cs="Calibri" w:eastAsia="Calibri" w:hAnsi="Calibri"/>
          <w:sz w:val="22"/>
          <w:szCs w:val="22"/>
        </w:rPr>
        <w:t xml:space="preserve">Las GPU-horas de un denso 200B desde cero se eliminan como línea insignia. El presupuesto se desplaza a post-entrenamiento, evaluación y datos de voz/visión.</w:t>
      </w:r>
    </w:p>
    <w:p>
      <w:pPr>
        <w:pStyle w:val="Heading2"/>
        <w:spacing w:before="220" w:after="120"/>
      </w:pPr>
      <w:r>
        <w:rPr>
          <w:rFonts w:ascii="Calibri" w:cs="Calibri" w:eastAsia="Calibri" w:hAnsi="Calibri"/>
          <w:b/>
          <w:bCs/>
          <w:color w:val="222222"/>
        </w:rPr>
        <w:t xml:space="preserve">5.2 Centros de Cómputo</w:t>
      </w:r>
    </w:p>
    <w:p>
      <w:pPr>
        <w:pStyle w:val="Heading3"/>
        <w:spacing w:before="220" w:after="120"/>
      </w:pPr>
      <w:r>
        <w:rPr>
          <w:rFonts w:ascii="Calibri" w:cs="Calibri" w:eastAsia="Calibri" w:hAnsi="Calibri"/>
          <w:b/>
          <w:bCs/>
          <w:color w:val="222222"/>
        </w:rPr>
        <w:t xml:space="preserve">5.2.1 Centro Principal — Instituto Balseiro (Bariloche)</w:t>
      </w:r>
    </w:p>
    <w:p>
      <w:pPr>
        <w:pStyle w:val="ListParagraph"/>
        <w:numPr>
          <w:ilvl w:val="0"/>
          <w:numId w:val="2"/>
        </w:numPr>
        <w:spacing w:after="60"/>
      </w:pPr>
      <w:r>
        <w:rPr>
          <w:rFonts w:ascii="Calibri" w:cs="Calibri" w:eastAsia="Calibri" w:hAnsi="Calibri"/>
          <w:b/>
          <w:bCs/>
          <w:sz w:val="22"/>
          <w:szCs w:val="22"/>
        </w:rPr>
        <w:t xml:space="preserve">Capacidad:</w:t>
      </w:r>
      <w:r>
        <w:rPr>
          <w:rFonts w:ascii="Calibri" w:cs="Calibri" w:eastAsia="Calibri" w:hAnsi="Calibri"/>
          <w:sz w:val="22"/>
          <w:szCs w:val="22"/>
        </w:rPr>
        <w:t xml:space="preserve"> 128 B200 / GB200 (o equivalente H200) expandible.</w:t>
      </w:r>
    </w:p>
    <w:p>
      <w:pPr>
        <w:pStyle w:val="ListParagraph"/>
        <w:numPr>
          <w:ilvl w:val="0"/>
          <w:numId w:val="2"/>
        </w:numPr>
        <w:spacing w:after="60"/>
      </w:pPr>
      <w:r>
        <w:rPr>
          <w:rFonts w:ascii="Calibri" w:cs="Calibri" w:eastAsia="Calibri" w:hAnsi="Calibri"/>
          <w:b/>
          <w:bCs/>
          <w:sz w:val="22"/>
          <w:szCs w:val="22"/>
        </w:rPr>
        <w:t xml:space="preserve">Función:</w:t>
      </w:r>
      <w:r>
        <w:rPr>
          <w:rFonts w:ascii="Calibri" w:cs="Calibri" w:eastAsia="Calibri" w:hAnsi="Calibri"/>
          <w:sz w:val="22"/>
          <w:szCs w:val="22"/>
        </w:rPr>
        <w:t xml:space="preserve"> Mid-training IGA-L/F, destilación, FP4.</w:t>
      </w:r>
    </w:p>
    <w:p>
      <w:pPr>
        <w:pStyle w:val="ListParagraph"/>
        <w:numPr>
          <w:ilvl w:val="0"/>
          <w:numId w:val="2"/>
        </w:numPr>
        <w:spacing w:after="60"/>
      </w:pPr>
      <w:r>
        <w:rPr>
          <w:rFonts w:ascii="Calibri" w:cs="Calibri" w:eastAsia="Calibri" w:hAnsi="Calibri"/>
          <w:b/>
          <w:bCs/>
          <w:sz w:val="22"/>
          <w:szCs w:val="22"/>
        </w:rPr>
        <w:t xml:space="preserve">Ventaja:</w:t>
      </w:r>
      <w:r>
        <w:rPr>
          <w:rFonts w:ascii="Calibri" w:cs="Calibri" w:eastAsia="Calibri" w:hAnsi="Calibri"/>
          <w:sz w:val="22"/>
          <w:szCs w:val="22"/>
        </w:rPr>
        <w:t xml:space="preserve"> Clima frío, Centro Atómico.</w:t>
      </w:r>
    </w:p>
    <w:p>
      <w:pPr>
        <w:pStyle w:val="ListParagraph"/>
        <w:numPr>
          <w:ilvl w:val="0"/>
          <w:numId w:val="2"/>
        </w:numPr>
        <w:spacing w:after="60"/>
      </w:pPr>
      <w:r>
        <w:rPr>
          <w:rFonts w:ascii="Calibri" w:cs="Calibri" w:eastAsia="Calibri" w:hAnsi="Calibri"/>
          <w:b/>
          <w:bCs/>
          <w:sz w:val="22"/>
          <w:szCs w:val="22"/>
        </w:rPr>
        <w:t xml:space="preserve">Inversión estimada:</w:t>
      </w:r>
      <w:r>
        <w:rPr>
          <w:rFonts w:ascii="Calibri" w:cs="Calibri" w:eastAsia="Calibri" w:hAnsi="Calibri"/>
          <w:sz w:val="22"/>
          <w:szCs w:val="22"/>
        </w:rPr>
        <w:t xml:space="preserve"> USD 300 M (hardware mixto + adecuación, incluye líquido para Blackwell).</w:t>
      </w:r>
    </w:p>
    <w:p>
      <w:pPr>
        <w:pStyle w:val="Heading3"/>
        <w:spacing w:before="220" w:after="120"/>
      </w:pPr>
      <w:r>
        <w:rPr>
          <w:rFonts w:ascii="Calibri" w:cs="Calibri" w:eastAsia="Calibri" w:hAnsi="Calibri"/>
          <w:b/>
          <w:bCs/>
          <w:color w:val="222222"/>
        </w:rPr>
        <w:t xml:space="preserve">5.2.2 Centro de Desarrollo — CONICET (Buenos Aires)</w:t>
      </w:r>
    </w:p>
    <w:p>
      <w:pPr>
        <w:pStyle w:val="ListParagraph"/>
        <w:numPr>
          <w:ilvl w:val="0"/>
          <w:numId w:val="2"/>
        </w:numPr>
        <w:spacing w:after="60"/>
      </w:pPr>
      <w:r>
        <w:rPr>
          <w:rFonts w:ascii="Calibri" w:cs="Calibri" w:eastAsia="Calibri" w:hAnsi="Calibri"/>
          <w:b/>
          <w:bCs/>
          <w:sz w:val="22"/>
          <w:szCs w:val="22"/>
        </w:rPr>
        <w:t xml:space="preserve">Capacidad:</w:t>
      </w:r>
      <w:r>
        <w:rPr>
          <w:rFonts w:ascii="Calibri" w:cs="Calibri" w:eastAsia="Calibri" w:hAnsi="Calibri"/>
          <w:sz w:val="22"/>
          <w:szCs w:val="22"/>
        </w:rPr>
        <w:t xml:space="preserve"> 128 H100/H200.</w:t>
      </w:r>
    </w:p>
    <w:p>
      <w:pPr>
        <w:pStyle w:val="ListParagraph"/>
        <w:numPr>
          <w:ilvl w:val="0"/>
          <w:numId w:val="2"/>
        </w:numPr>
        <w:spacing w:after="60"/>
      </w:pPr>
      <w:r>
        <w:rPr>
          <w:rFonts w:ascii="Calibri" w:cs="Calibri" w:eastAsia="Calibri" w:hAnsi="Calibri"/>
          <w:b/>
          <w:bCs/>
          <w:sz w:val="22"/>
          <w:szCs w:val="22"/>
        </w:rPr>
        <w:t xml:space="preserve">Función:</w:t>
      </w:r>
      <w:r>
        <w:rPr>
          <w:rFonts w:ascii="Calibri" w:cs="Calibri" w:eastAsia="Calibri" w:hAnsi="Calibri"/>
          <w:sz w:val="22"/>
          <w:szCs w:val="22"/>
        </w:rPr>
        <w:t xml:space="preserve"> Vía A, SFT, RL, evaluación, IGA-E/S/M.</w:t>
      </w:r>
    </w:p>
    <w:p>
      <w:pPr>
        <w:pStyle w:val="ListParagraph"/>
        <w:numPr>
          <w:ilvl w:val="0"/>
          <w:numId w:val="2"/>
        </w:numPr>
        <w:spacing w:after="60"/>
      </w:pPr>
      <w:r>
        <w:rPr>
          <w:rFonts w:ascii="Calibri" w:cs="Calibri" w:eastAsia="Calibri" w:hAnsi="Calibri"/>
          <w:b/>
          <w:bCs/>
          <w:sz w:val="22"/>
          <w:szCs w:val="22"/>
        </w:rPr>
        <w:t xml:space="preserve">Inversión estimada:</w:t>
      </w:r>
      <w:r>
        <w:rPr>
          <w:rFonts w:ascii="Calibri" w:cs="Calibri" w:eastAsia="Calibri" w:hAnsi="Calibri"/>
          <w:sz w:val="22"/>
          <w:szCs w:val="22"/>
        </w:rPr>
        <w:t xml:space="preserve"> USD 140 M.</w:t>
      </w:r>
    </w:p>
    <w:p>
      <w:pPr>
        <w:pStyle w:val="Heading3"/>
        <w:spacing w:before="220" w:after="120"/>
      </w:pPr>
      <w:r>
        <w:rPr>
          <w:rFonts w:ascii="Calibri" w:cs="Calibri" w:eastAsia="Calibri" w:hAnsi="Calibri"/>
          <w:b/>
          <w:bCs/>
          <w:color w:val="222222"/>
        </w:rPr>
        <w:t xml:space="preserve">5.2.3 Centro de Inferencia y Agentes — INVAP (Neuquén)</w:t>
      </w:r>
    </w:p>
    <w:p>
      <w:pPr>
        <w:pStyle w:val="ListParagraph"/>
        <w:numPr>
          <w:ilvl w:val="0"/>
          <w:numId w:val="2"/>
        </w:numPr>
        <w:spacing w:after="60"/>
      </w:pPr>
      <w:r>
        <w:rPr>
          <w:rFonts w:ascii="Calibri" w:cs="Calibri" w:eastAsia="Calibri" w:hAnsi="Calibri"/>
          <w:b/>
          <w:bCs/>
          <w:sz w:val="22"/>
          <w:szCs w:val="22"/>
        </w:rPr>
        <w:t xml:space="preserve">Capacidad:</w:t>
      </w:r>
      <w:r>
        <w:rPr>
          <w:rFonts w:ascii="Calibri" w:cs="Calibri" w:eastAsia="Calibri" w:hAnsi="Calibri"/>
          <w:sz w:val="22"/>
          <w:szCs w:val="22"/>
        </w:rPr>
        <w:t xml:space="preserve"> 64 H200 + serving + NPU de referencia P3.</w:t>
      </w:r>
    </w:p>
    <w:p>
      <w:pPr>
        <w:pStyle w:val="ListParagraph"/>
        <w:numPr>
          <w:ilvl w:val="0"/>
          <w:numId w:val="2"/>
        </w:numPr>
        <w:spacing w:after="60"/>
      </w:pPr>
      <w:r>
        <w:rPr>
          <w:rFonts w:ascii="Calibri" w:cs="Calibri" w:eastAsia="Calibri" w:hAnsi="Calibri"/>
          <w:b/>
          <w:bCs/>
          <w:sz w:val="22"/>
          <w:szCs w:val="22"/>
        </w:rPr>
        <w:t xml:space="preserve">Función:</w:t>
      </w:r>
      <w:r>
        <w:rPr>
          <w:rFonts w:ascii="Calibri" w:cs="Calibri" w:eastAsia="Calibri" w:hAnsi="Calibri"/>
          <w:sz w:val="22"/>
          <w:szCs w:val="22"/>
        </w:rPr>
        <w:t xml:space="preserve"> APIs soberanas on-prem, testing de cuantización, puente con Programa 2.</w:t>
      </w:r>
    </w:p>
    <w:p>
      <w:pPr>
        <w:pStyle w:val="ListParagraph"/>
        <w:numPr>
          <w:ilvl w:val="0"/>
          <w:numId w:val="2"/>
        </w:numPr>
        <w:spacing w:after="60"/>
      </w:pPr>
      <w:r>
        <w:rPr>
          <w:rFonts w:ascii="Calibri" w:cs="Calibri" w:eastAsia="Calibri" w:hAnsi="Calibri"/>
          <w:b/>
          <w:bCs/>
          <w:sz w:val="22"/>
          <w:szCs w:val="22"/>
        </w:rPr>
        <w:t xml:space="preserve">Ventaja:</w:t>
      </w:r>
      <w:r>
        <w:rPr>
          <w:rFonts w:ascii="Calibri" w:cs="Calibri" w:eastAsia="Calibri" w:hAnsi="Calibri"/>
          <w:sz w:val="22"/>
          <w:szCs w:val="22"/>
        </w:rPr>
        <w:t xml:space="preserve"> Vaca Muerta, sistemas críticos.</w:t>
      </w:r>
    </w:p>
    <w:p>
      <w:pPr>
        <w:pStyle w:val="ListParagraph"/>
        <w:numPr>
          <w:ilvl w:val="0"/>
          <w:numId w:val="2"/>
        </w:numPr>
        <w:spacing w:after="60"/>
      </w:pPr>
      <w:r>
        <w:rPr>
          <w:rFonts w:ascii="Calibri" w:cs="Calibri" w:eastAsia="Calibri" w:hAnsi="Calibri"/>
          <w:b/>
          <w:bCs/>
          <w:sz w:val="22"/>
          <w:szCs w:val="22"/>
        </w:rPr>
        <w:t xml:space="preserve">Inversión estimada:</w:t>
      </w:r>
      <w:r>
        <w:rPr>
          <w:rFonts w:ascii="Calibri" w:cs="Calibri" w:eastAsia="Calibri" w:hAnsi="Calibri"/>
          <w:sz w:val="22"/>
          <w:szCs w:val="22"/>
        </w:rPr>
        <w:t xml:space="preserve"> USD 80 M.</w:t>
      </w:r>
    </w:p>
    <w:p>
      <w:pPr>
        <w:pStyle w:val="Heading3"/>
        <w:spacing w:before="220" w:after="120"/>
      </w:pPr>
      <w:r>
        <w:rPr>
          <w:rFonts w:ascii="Calibri" w:cs="Calibri" w:eastAsia="Calibri" w:hAnsi="Calibri"/>
          <w:b/>
          <w:bCs/>
          <w:color w:val="222222"/>
        </w:rPr>
        <w:t xml:space="preserve">5.2.4 Contingencia de proveedores</w:t>
      </w:r>
    </w:p>
    <w:p>
      <w:pPr>
        <w:pStyle w:val="ListParagraph"/>
        <w:numPr>
          <w:ilvl w:val="0"/>
          <w:numId w:val="2"/>
        </w:numPr>
        <w:spacing w:after="60"/>
      </w:pPr>
      <w:r>
        <w:rPr>
          <w:rFonts w:ascii="Calibri" w:cs="Calibri" w:eastAsia="Calibri" w:hAnsi="Calibri"/>
          <w:sz w:val="22"/>
          <w:szCs w:val="22"/>
        </w:rPr>
        <w:t xml:space="preserve">AMD MI300/MI350 para entrenamiento e inferencia.</w:t>
      </w:r>
    </w:p>
    <w:p>
      <w:pPr>
        <w:pStyle w:val="ListParagraph"/>
        <w:numPr>
          <w:ilvl w:val="0"/>
          <w:numId w:val="2"/>
        </w:numPr>
        <w:spacing w:after="60"/>
      </w:pPr>
      <w:r>
        <w:rPr>
          <w:rFonts w:ascii="Calibri" w:cs="Calibri" w:eastAsia="Calibri" w:hAnsi="Calibri"/>
          <w:sz w:val="22"/>
          <w:szCs w:val="22"/>
        </w:rPr>
        <w:t xml:space="preserve">Aceleradores no estadounidenses si hay bloqueo de exportación.</w:t>
      </w:r>
    </w:p>
    <w:p>
      <w:pPr>
        <w:pStyle w:val="ListParagraph"/>
        <w:numPr>
          <w:ilvl w:val="0"/>
          <w:numId w:val="2"/>
        </w:numPr>
        <w:spacing w:after="60"/>
      </w:pPr>
      <w:r>
        <w:rPr>
          <w:rFonts w:ascii="Calibri" w:cs="Calibri" w:eastAsia="Calibri" w:hAnsi="Calibri"/>
          <w:sz w:val="22"/>
          <w:szCs w:val="22"/>
        </w:rPr>
        <w:t xml:space="preserve">Ningún centro depende de un único vendor.</w:t>
      </w:r>
    </w:p>
    <w:p>
      <w:pPr>
        <w:pStyle w:val="Heading2"/>
        <w:spacing w:before="220" w:after="120"/>
      </w:pPr>
      <w:r>
        <w:rPr>
          <w:rFonts w:ascii="Calibri" w:cs="Calibri" w:eastAsia="Calibri" w:hAnsi="Calibri"/>
          <w:b/>
          <w:bCs/>
          <w:color w:val="222222"/>
        </w:rPr>
        <w:t xml:space="preserve">5.3 Integración con Programa 2</w:t>
      </w:r>
    </w:p>
    <w:p>
      <w:pPr>
        <w:spacing w:after="140" w:line="276"/>
        <w:jc w:val="both"/>
      </w:pPr>
      <w:r>
        <w:rPr>
          <w:rFonts w:ascii="Calibri" w:cs="Calibri" w:eastAsia="Calibri" w:hAnsi="Calibri"/>
          <w:sz w:val="22"/>
          <w:szCs w:val="22"/>
        </w:rPr>
        <w:t xml:space="preserve">Los nodos PoUW ejecutan </w:t>
      </w:r>
      <w:r>
        <w:rPr>
          <w:rFonts w:ascii="Calibri" w:cs="Calibri" w:eastAsia="Calibri" w:hAnsi="Calibri"/>
          <w:b/>
          <w:bCs/>
          <w:sz w:val="22"/>
          <w:szCs w:val="22"/>
        </w:rPr>
        <w:t xml:space="preserve">fuera de cadena</w:t>
      </w:r>
      <w:r>
        <w:rPr>
          <w:rFonts w:ascii="Calibri" w:cs="Calibri" w:eastAsia="Calibri" w:hAnsi="Calibri"/>
          <w:sz w:val="22"/>
          <w:szCs w:val="22"/>
        </w:rPr>
        <w:t xml:space="preserve"> tareas publicadas: pasos de entrenamiento, lotes de inferencia, corridas de evaluación y curación. La cadena liquida y atestigua. El excedente energético (pozos y renovables) alimenta esos nodos. Los mineros privados sostienen cómputo más allá del presupuesto anual.</w:t>
      </w:r>
    </w:p>
    <w:p>
      <w:pPr>
        <w:pStyle w:val="Heading1"/>
        <w:spacing w:before="320" w:after="120"/>
      </w:pPr>
      <w:r>
        <w:rPr>
          <w:rFonts w:ascii="Calibri" w:cs="Calibri" w:eastAsia="Calibri" w:hAnsi="Calibri"/>
          <w:b/>
          <w:bCs/>
          <w:color w:val="1B3A4B"/>
        </w:rPr>
        <w:t xml:space="preserve">6. CRONOGRAMA DETALLADO</w:t>
      </w:r>
    </w:p>
    <w:p>
      <w:pPr>
        <w:pStyle w:val="Heading2"/>
        <w:spacing w:before="220" w:after="120"/>
      </w:pPr>
      <w:r>
        <w:rPr>
          <w:rFonts w:ascii="Calibri" w:cs="Calibri" w:eastAsia="Calibri" w:hAnsi="Calibri"/>
          <w:b/>
          <w:bCs/>
          <w:color w:val="222222"/>
        </w:rPr>
        <w:t xml:space="preserve">6.1 Fase Fundacional — Vía A (Años 1-2)</w:t>
      </w:r>
    </w:p>
    <w:p>
      <w:pPr>
        <w:spacing w:after="140" w:line="276"/>
        <w:jc w:val="both"/>
      </w:pPr>
      <w:r>
        <w:rPr>
          <w:rFonts w:ascii="Calibri" w:cs="Calibri" w:eastAsia="Calibri" w:hAnsi="Calibri"/>
          <w:b/>
          <w:bCs/>
          <w:sz w:val="22"/>
          <w:szCs w:val="22"/>
        </w:rPr>
        <w:t xml:space="preserve">Inversión: USD 230.000.000</w:t>
      </w:r>
    </w:p>
    <w:p>
      <w:pPr>
        <w:pStyle w:val="Heading3"/>
        <w:spacing w:before="220" w:after="120"/>
      </w:pPr>
      <w:r>
        <w:rPr>
          <w:rFonts w:ascii="Calibri" w:cs="Calibri" w:eastAsia="Calibri" w:hAnsi="Calibri"/>
          <w:b/>
          <w:bCs/>
          <w:color w:val="222222"/>
        </w:rPr>
        <w:t xml:space="preserve">Año 1</w:t>
      </w:r>
    </w:p>
    <w:p>
      <w:pPr>
        <w:pStyle w:val="ListParagraph"/>
        <w:numPr>
          <w:ilvl w:val="0"/>
          <w:numId w:val="2"/>
        </w:numPr>
        <w:spacing w:after="60"/>
      </w:pPr>
      <w:r>
        <w:rPr>
          <w:rFonts w:ascii="Calibri" w:cs="Calibri" w:eastAsia="Calibri" w:hAnsi="Calibri"/>
          <w:b/>
          <w:bCs/>
          <w:sz w:val="22"/>
          <w:szCs w:val="22"/>
        </w:rPr>
        <w:t xml:space="preserve">Q1:</w:t>
      </w:r>
      <w:r>
        <w:rPr>
          <w:rFonts w:ascii="Calibri" w:cs="Calibri" w:eastAsia="Calibri" w:hAnsi="Calibri"/>
          <w:sz w:val="22"/>
          <w:szCs w:val="22"/>
        </w:rPr>
        <w:t xml:space="preserve"> Equipos, convenios, elección de bases Apache/MIT, diseño del banco de evaluación.</w:t>
      </w:r>
    </w:p>
    <w:p>
      <w:pPr>
        <w:pStyle w:val="ListParagraph"/>
        <w:numPr>
          <w:ilvl w:val="0"/>
          <w:numId w:val="2"/>
        </w:numPr>
        <w:spacing w:after="60"/>
      </w:pPr>
      <w:r>
        <w:rPr>
          <w:rFonts w:ascii="Calibri" w:cs="Calibri" w:eastAsia="Calibri" w:hAnsi="Calibri"/>
          <w:b/>
          <w:bCs/>
          <w:sz w:val="22"/>
          <w:szCs w:val="22"/>
        </w:rPr>
        <w:t xml:space="preserve">Q1-Q2:</w:t>
      </w:r>
      <w:r>
        <w:rPr>
          <w:rFonts w:ascii="Calibri" w:cs="Calibri" w:eastAsia="Calibri" w:hAnsi="Calibri"/>
          <w:sz w:val="22"/>
          <w:szCs w:val="22"/>
        </w:rPr>
        <w:t xml:space="preserve"> Licitación e instalación del clúster CONICET (H100/H200).</w:t>
      </w:r>
    </w:p>
    <w:p>
      <w:pPr>
        <w:pStyle w:val="ListParagraph"/>
        <w:numPr>
          <w:ilvl w:val="0"/>
          <w:numId w:val="2"/>
        </w:numPr>
        <w:spacing w:after="60"/>
      </w:pPr>
      <w:r>
        <w:rPr>
          <w:rFonts w:ascii="Calibri" w:cs="Calibri" w:eastAsia="Calibri" w:hAnsi="Calibri"/>
          <w:b/>
          <w:bCs/>
          <w:sz w:val="22"/>
          <w:szCs w:val="22"/>
        </w:rPr>
        <w:t xml:space="preserve">Q2-Q3:</w:t>
      </w:r>
      <w:r>
        <w:rPr>
          <w:rFonts w:ascii="Calibri" w:cs="Calibri" w:eastAsia="Calibri" w:hAnsi="Calibri"/>
          <w:sz w:val="22"/>
          <w:szCs w:val="22"/>
        </w:rPr>
        <w:t xml:space="preserve"> Corpus inicial 400B tokens; tokenizador de trabajo; filtro de lodo sintético.</w:t>
      </w:r>
    </w:p>
    <w:p>
      <w:pPr>
        <w:pStyle w:val="ListParagraph"/>
        <w:numPr>
          <w:ilvl w:val="0"/>
          <w:numId w:val="2"/>
        </w:numPr>
        <w:spacing w:after="60"/>
      </w:pPr>
      <w:r>
        <w:rPr>
          <w:rFonts w:ascii="Calibri" w:cs="Calibri" w:eastAsia="Calibri" w:hAnsi="Calibri"/>
          <w:b/>
          <w:bCs/>
          <w:sz w:val="22"/>
          <w:szCs w:val="22"/>
        </w:rPr>
        <w:t xml:space="preserve">Q3-Q4:</w:t>
      </w:r>
      <w:r>
        <w:rPr>
          <w:rFonts w:ascii="Calibri" w:cs="Calibri" w:eastAsia="Calibri" w:hAnsi="Calibri"/>
          <w:sz w:val="22"/>
          <w:szCs w:val="22"/>
        </w:rPr>
        <w:t xml:space="preserve"> CPT+SFT+RL de IGA-E e IGA-S; runtime de agente local; cuantización GGUF/ONNX.</w:t>
      </w:r>
    </w:p>
    <w:p>
      <w:pPr>
        <w:pStyle w:val="ListParagraph"/>
        <w:numPr>
          <w:ilvl w:val="0"/>
          <w:numId w:val="2"/>
        </w:numPr>
        <w:spacing w:after="60"/>
      </w:pPr>
      <w:r>
        <w:rPr>
          <w:rFonts w:ascii="Calibri" w:cs="Calibri" w:eastAsia="Calibri" w:hAnsi="Calibri"/>
          <w:b/>
          <w:bCs/>
          <w:sz w:val="22"/>
          <w:szCs w:val="22"/>
        </w:rPr>
        <w:t xml:space="preserve">Q4:</w:t>
      </w:r>
      <w:r>
        <w:rPr>
          <w:rFonts w:ascii="Calibri" w:cs="Calibri" w:eastAsia="Calibri" w:hAnsi="Calibri"/>
          <w:sz w:val="22"/>
          <w:szCs w:val="22"/>
        </w:rPr>
        <w:t xml:space="preserve"> Release IGA-E e IGA-S; piloto en dispositivos P3.</w:t>
      </w:r>
    </w:p>
    <w:p>
      <w:pPr>
        <w:pStyle w:val="Heading3"/>
        <w:spacing w:before="220" w:after="120"/>
      </w:pPr>
      <w:r>
        <w:rPr>
          <w:rFonts w:ascii="Calibri" w:cs="Calibri" w:eastAsia="Calibri" w:hAnsi="Calibri"/>
          <w:b/>
          <w:bCs/>
          <w:color w:val="222222"/>
        </w:rPr>
        <w:t xml:space="preserve">Año 2</w:t>
      </w:r>
    </w:p>
    <w:p>
      <w:pPr>
        <w:pStyle w:val="ListParagraph"/>
        <w:numPr>
          <w:ilvl w:val="0"/>
          <w:numId w:val="2"/>
        </w:numPr>
        <w:spacing w:after="60"/>
      </w:pPr>
      <w:r>
        <w:rPr>
          <w:rFonts w:ascii="Calibri" w:cs="Calibri" w:eastAsia="Calibri" w:hAnsi="Calibri"/>
          <w:b/>
          <w:bCs/>
          <w:sz w:val="22"/>
          <w:szCs w:val="22"/>
        </w:rPr>
        <w:t xml:space="preserve">Q1-Q2:</w:t>
      </w:r>
      <w:r>
        <w:rPr>
          <w:rFonts w:ascii="Calibri" w:cs="Calibri" w:eastAsia="Calibri" w:hAnsi="Calibri"/>
          <w:sz w:val="22"/>
          <w:szCs w:val="22"/>
        </w:rPr>
        <w:t xml:space="preserve"> Ampliación Balseiro (H200 y primeras B200). CPT de IGA-M.</w:t>
      </w:r>
    </w:p>
    <w:p>
      <w:pPr>
        <w:pStyle w:val="ListParagraph"/>
        <w:numPr>
          <w:ilvl w:val="0"/>
          <w:numId w:val="2"/>
        </w:numPr>
        <w:spacing w:after="60"/>
      </w:pPr>
      <w:r>
        <w:rPr>
          <w:rFonts w:ascii="Calibri" w:cs="Calibri" w:eastAsia="Calibri" w:hAnsi="Calibri"/>
          <w:b/>
          <w:bCs/>
          <w:sz w:val="22"/>
          <w:szCs w:val="22"/>
        </w:rPr>
        <w:t xml:space="preserve">Q2-Q3:</w:t>
      </w:r>
      <w:r>
        <w:rPr>
          <w:rFonts w:ascii="Calibri" w:cs="Calibri" w:eastAsia="Calibri" w:hAnsi="Calibri"/>
          <w:sz w:val="22"/>
          <w:szCs w:val="22"/>
        </w:rPr>
        <w:t xml:space="preserve"> Visión y voz nativas en IGA-S/M. Banco de evaluación v1.</w:t>
      </w:r>
    </w:p>
    <w:p>
      <w:pPr>
        <w:pStyle w:val="ListParagraph"/>
        <w:numPr>
          <w:ilvl w:val="0"/>
          <w:numId w:val="2"/>
        </w:numPr>
        <w:spacing w:after="60"/>
      </w:pPr>
      <w:r>
        <w:rPr>
          <w:rFonts w:ascii="Calibri" w:cs="Calibri" w:eastAsia="Calibri" w:hAnsi="Calibri"/>
          <w:b/>
          <w:bCs/>
          <w:sz w:val="22"/>
          <w:szCs w:val="22"/>
        </w:rPr>
        <w:t xml:space="preserve">Q3-Q4:</w:t>
      </w:r>
      <w:r>
        <w:rPr>
          <w:rFonts w:ascii="Calibri" w:cs="Calibri" w:eastAsia="Calibri" w:hAnsi="Calibri"/>
          <w:sz w:val="22"/>
          <w:szCs w:val="22"/>
        </w:rPr>
        <w:t xml:space="preserve"> Fine-tuning lenguas originarias (piloto). Release IGA-M.</w:t>
      </w:r>
    </w:p>
    <w:p>
      <w:pPr>
        <w:pStyle w:val="ListParagraph"/>
        <w:numPr>
          <w:ilvl w:val="0"/>
          <w:numId w:val="2"/>
        </w:numPr>
        <w:spacing w:after="60"/>
      </w:pPr>
      <w:r>
        <w:rPr>
          <w:rFonts w:ascii="Calibri" w:cs="Calibri" w:eastAsia="Calibri" w:hAnsi="Calibri"/>
          <w:b/>
          <w:bCs/>
          <w:sz w:val="22"/>
          <w:szCs w:val="22"/>
        </w:rPr>
        <w:t xml:space="preserve">Q4:</w:t>
      </w:r>
      <w:r>
        <w:rPr>
          <w:rFonts w:ascii="Calibri" w:cs="Calibri" w:eastAsia="Calibri" w:hAnsi="Calibri"/>
          <w:sz w:val="22"/>
          <w:szCs w:val="22"/>
        </w:rPr>
        <w:t xml:space="preserve"> Despliegue en dispositivos piloto del Programa 3.</w:t>
      </w:r>
    </w:p>
    <w:p>
      <w:pPr>
        <w:spacing w:after="140" w:line="276"/>
        <w:jc w:val="both"/>
      </w:pPr>
      <w:r>
        <w:rPr>
          <w:rFonts w:ascii="Calibri" w:cs="Calibri" w:eastAsia="Calibri" w:hAnsi="Calibri"/>
          <w:b/>
          <w:bCs/>
          <w:sz w:val="22"/>
          <w:szCs w:val="22"/>
        </w:rPr>
        <w:t xml:space="preserve">Entregable:</w:t>
      </w:r>
      <w:r>
        <w:rPr>
          <w:rFonts w:ascii="Calibri" w:cs="Calibri" w:eastAsia="Calibri" w:hAnsi="Calibri"/>
          <w:sz w:val="22"/>
          <w:szCs w:val="22"/>
        </w:rPr>
        <w:t xml:space="preserve"> IGA-E, IGA-S, IGA-M con agentes; corpus 500B+ curado; evals v1.</w:t>
      </w:r>
    </w:p>
    <w:p>
      <w:pPr>
        <w:pStyle w:val="Heading2"/>
        <w:spacing w:before="220" w:after="120"/>
      </w:pPr>
      <w:r>
        <w:rPr>
          <w:rFonts w:ascii="Calibri" w:cs="Calibri" w:eastAsia="Calibri" w:hAnsi="Calibri"/>
          <w:b/>
          <w:bCs/>
          <w:color w:val="222222"/>
        </w:rPr>
        <w:t xml:space="preserve">6.2 Fase de Expansión (Años 2-4)</w:t>
      </w:r>
    </w:p>
    <w:p>
      <w:pPr>
        <w:spacing w:after="140" w:line="276"/>
        <w:jc w:val="both"/>
      </w:pPr>
      <w:r>
        <w:rPr>
          <w:rFonts w:ascii="Calibri" w:cs="Calibri" w:eastAsia="Calibri" w:hAnsi="Calibri"/>
          <w:b/>
          <w:bCs/>
          <w:sz w:val="22"/>
          <w:szCs w:val="22"/>
        </w:rPr>
        <w:t xml:space="preserve">Inversión: USD 370.000.000</w:t>
      </w:r>
    </w:p>
    <w:p>
      <w:pPr>
        <w:pStyle w:val="Heading3"/>
        <w:spacing w:before="220" w:after="120"/>
      </w:pPr>
      <w:r>
        <w:rPr>
          <w:rFonts w:ascii="Calibri" w:cs="Calibri" w:eastAsia="Calibri" w:hAnsi="Calibri"/>
          <w:b/>
          <w:bCs/>
          <w:color w:val="222222"/>
        </w:rPr>
        <w:t xml:space="preserve">Año 3</w:t>
      </w:r>
    </w:p>
    <w:p>
      <w:pPr>
        <w:pStyle w:val="ListParagraph"/>
        <w:numPr>
          <w:ilvl w:val="0"/>
          <w:numId w:val="2"/>
        </w:numPr>
        <w:spacing w:after="60"/>
      </w:pPr>
      <w:r>
        <w:rPr>
          <w:rFonts w:ascii="Calibri" w:cs="Calibri" w:eastAsia="Calibri" w:hAnsi="Calibri"/>
          <w:b/>
          <w:bCs/>
          <w:sz w:val="22"/>
          <w:szCs w:val="22"/>
        </w:rPr>
        <w:t xml:space="preserve">Q1-Q2:</w:t>
      </w:r>
      <w:r>
        <w:rPr>
          <w:rFonts w:ascii="Calibri" w:cs="Calibri" w:eastAsia="Calibri" w:hAnsi="Calibri"/>
          <w:sz w:val="22"/>
          <w:szCs w:val="22"/>
        </w:rPr>
        <w:t xml:space="preserve"> Tokenizador nativo es-AR + originarias. Inicio Vía B.</w:t>
      </w:r>
    </w:p>
    <w:p>
      <w:pPr>
        <w:pStyle w:val="ListParagraph"/>
        <w:numPr>
          <w:ilvl w:val="0"/>
          <w:numId w:val="2"/>
        </w:numPr>
        <w:spacing w:after="60"/>
      </w:pPr>
      <w:r>
        <w:rPr>
          <w:rFonts w:ascii="Calibri" w:cs="Calibri" w:eastAsia="Calibri" w:hAnsi="Calibri"/>
          <w:b/>
          <w:bCs/>
          <w:sz w:val="22"/>
          <w:szCs w:val="22"/>
        </w:rPr>
        <w:t xml:space="preserve">Q2-Q3:</w:t>
      </w:r>
      <w:r>
        <w:rPr>
          <w:rFonts w:ascii="Calibri" w:cs="Calibri" w:eastAsia="Calibri" w:hAnsi="Calibri"/>
          <w:sz w:val="22"/>
          <w:szCs w:val="22"/>
        </w:rPr>
        <w:t xml:space="preserve"> Mid-training IGA-L. Corpus 800B+.</w:t>
      </w:r>
    </w:p>
    <w:p>
      <w:pPr>
        <w:pStyle w:val="ListParagraph"/>
        <w:numPr>
          <w:ilvl w:val="0"/>
          <w:numId w:val="2"/>
        </w:numPr>
        <w:spacing w:after="60"/>
      </w:pPr>
      <w:r>
        <w:rPr>
          <w:rFonts w:ascii="Calibri" w:cs="Calibri" w:eastAsia="Calibri" w:hAnsi="Calibri"/>
          <w:b/>
          <w:bCs/>
          <w:sz w:val="22"/>
          <w:szCs w:val="22"/>
        </w:rPr>
        <w:t xml:space="preserve">Q3-Q4:</w:t>
      </w:r>
      <w:r>
        <w:rPr>
          <w:rFonts w:ascii="Calibri" w:cs="Calibri" w:eastAsia="Calibri" w:hAnsi="Calibri"/>
          <w:sz w:val="22"/>
          <w:szCs w:val="22"/>
        </w:rPr>
        <w:t xml:space="preserve"> Encoder de visión y stack de voz de producción.</w:t>
      </w:r>
    </w:p>
    <w:p>
      <w:pPr>
        <w:pStyle w:val="Heading3"/>
        <w:spacing w:before="220" w:after="120"/>
      </w:pPr>
      <w:r>
        <w:rPr>
          <w:rFonts w:ascii="Calibri" w:cs="Calibri" w:eastAsia="Calibri" w:hAnsi="Calibri"/>
          <w:b/>
          <w:bCs/>
          <w:color w:val="222222"/>
        </w:rPr>
        <w:t xml:space="preserve">Año 4</w:t>
      </w:r>
    </w:p>
    <w:p>
      <w:pPr>
        <w:pStyle w:val="ListParagraph"/>
        <w:numPr>
          <w:ilvl w:val="0"/>
          <w:numId w:val="2"/>
        </w:numPr>
        <w:spacing w:after="60"/>
      </w:pPr>
      <w:r>
        <w:rPr>
          <w:rFonts w:ascii="Calibri" w:cs="Calibri" w:eastAsia="Calibri" w:hAnsi="Calibri"/>
          <w:b/>
          <w:bCs/>
          <w:sz w:val="22"/>
          <w:szCs w:val="22"/>
        </w:rPr>
        <w:t xml:space="preserve">Q1-Q2:</w:t>
      </w:r>
      <w:r>
        <w:rPr>
          <w:rFonts w:ascii="Calibri" w:cs="Calibri" w:eastAsia="Calibri" w:hAnsi="Calibri"/>
          <w:sz w:val="22"/>
          <w:szCs w:val="22"/>
        </w:rPr>
        <w:t xml:space="preserve"> SFT+RL multimodal de IGA-L.</w:t>
      </w:r>
    </w:p>
    <w:p>
      <w:pPr>
        <w:pStyle w:val="ListParagraph"/>
        <w:numPr>
          <w:ilvl w:val="0"/>
          <w:numId w:val="2"/>
        </w:numPr>
        <w:spacing w:after="60"/>
      </w:pPr>
      <w:r>
        <w:rPr>
          <w:rFonts w:ascii="Calibri" w:cs="Calibri" w:eastAsia="Calibri" w:hAnsi="Calibri"/>
          <w:b/>
          <w:bCs/>
          <w:sz w:val="22"/>
          <w:szCs w:val="22"/>
        </w:rPr>
        <w:t xml:space="preserve">Q2-Q3:</w:t>
      </w:r>
      <w:r>
        <w:rPr>
          <w:rFonts w:ascii="Calibri" w:cs="Calibri" w:eastAsia="Calibri" w:hAnsi="Calibri"/>
          <w:sz w:val="22"/>
          <w:szCs w:val="22"/>
        </w:rPr>
        <w:t xml:space="preserve"> Destilación IGA-L - IGA-E/S de segunda generación.</w:t>
      </w:r>
    </w:p>
    <w:p>
      <w:pPr>
        <w:pStyle w:val="ListParagraph"/>
        <w:numPr>
          <w:ilvl w:val="0"/>
          <w:numId w:val="2"/>
        </w:numPr>
        <w:spacing w:after="60"/>
      </w:pPr>
      <w:r>
        <w:rPr>
          <w:rFonts w:ascii="Calibri" w:cs="Calibri" w:eastAsia="Calibri" w:hAnsi="Calibri"/>
          <w:b/>
          <w:bCs/>
          <w:sz w:val="22"/>
          <w:szCs w:val="22"/>
        </w:rPr>
        <w:t xml:space="preserve">Q3-Q4:</w:t>
      </w:r>
      <w:r>
        <w:rPr>
          <w:rFonts w:ascii="Calibri" w:cs="Calibri" w:eastAsia="Calibri" w:hAnsi="Calibri"/>
          <w:sz w:val="22"/>
          <w:szCs w:val="22"/>
        </w:rPr>
        <w:t xml:space="preserve"> Release IGA-L. Integración profunda con mercado de tareas P2.</w:t>
      </w:r>
    </w:p>
    <w:p>
      <w:pPr>
        <w:spacing w:after="140" w:line="276"/>
        <w:jc w:val="both"/>
      </w:pPr>
      <w:r>
        <w:rPr>
          <w:rFonts w:ascii="Calibri" w:cs="Calibri" w:eastAsia="Calibri" w:hAnsi="Calibri"/>
          <w:b/>
          <w:bCs/>
          <w:sz w:val="22"/>
          <w:szCs w:val="22"/>
        </w:rPr>
        <w:t xml:space="preserve">Entregable:</w:t>
      </w:r>
      <w:r>
        <w:rPr>
          <w:rFonts w:ascii="Calibri" w:cs="Calibri" w:eastAsia="Calibri" w:hAnsi="Calibri"/>
          <w:sz w:val="22"/>
          <w:szCs w:val="22"/>
        </w:rPr>
        <w:t xml:space="preserve"> IGA-L nativo, destilados de borde, lenguas originarias ampliadas.</w:t>
      </w:r>
    </w:p>
    <w:p>
      <w:pPr>
        <w:pStyle w:val="Heading2"/>
        <w:spacing w:before="220" w:after="120"/>
      </w:pPr>
      <w:r>
        <w:rPr>
          <w:rFonts w:ascii="Calibri" w:cs="Calibri" w:eastAsia="Calibri" w:hAnsi="Calibri"/>
          <w:b/>
          <w:bCs/>
          <w:color w:val="222222"/>
        </w:rPr>
        <w:t xml:space="preserve">6.3 Fase de Madurez — Vía B (Años 4-5)</w:t>
      </w:r>
    </w:p>
    <w:p>
      <w:pPr>
        <w:spacing w:after="140" w:line="276"/>
        <w:jc w:val="both"/>
      </w:pPr>
      <w:r>
        <w:rPr>
          <w:rFonts w:ascii="Calibri" w:cs="Calibri" w:eastAsia="Calibri" w:hAnsi="Calibri"/>
          <w:b/>
          <w:bCs/>
          <w:sz w:val="22"/>
          <w:szCs w:val="22"/>
        </w:rPr>
        <w:t xml:space="preserve">Inversión: USD 320.000.000</w:t>
      </w:r>
    </w:p>
    <w:p>
      <w:pPr>
        <w:pStyle w:val="Heading3"/>
        <w:spacing w:before="220" w:after="120"/>
      </w:pPr>
      <w:r>
        <w:rPr>
          <w:rFonts w:ascii="Calibri" w:cs="Calibri" w:eastAsia="Calibri" w:hAnsi="Calibri"/>
          <w:b/>
          <w:bCs/>
          <w:color w:val="222222"/>
        </w:rPr>
        <w:t xml:space="preserve">Año 5</w:t>
      </w:r>
    </w:p>
    <w:p>
      <w:pPr>
        <w:pStyle w:val="ListParagraph"/>
        <w:numPr>
          <w:ilvl w:val="0"/>
          <w:numId w:val="2"/>
        </w:numPr>
        <w:spacing w:after="60"/>
      </w:pPr>
      <w:r>
        <w:rPr>
          <w:rFonts w:ascii="Calibri" w:cs="Calibri" w:eastAsia="Calibri" w:hAnsi="Calibri"/>
          <w:b/>
          <w:bCs/>
          <w:sz w:val="22"/>
          <w:szCs w:val="22"/>
        </w:rPr>
        <w:t xml:space="preserve">Q1-Q2:</w:t>
      </w:r>
      <w:r>
        <w:rPr>
          <w:rFonts w:ascii="Calibri" w:cs="Calibri" w:eastAsia="Calibri" w:hAnsi="Calibri"/>
          <w:sz w:val="22"/>
          <w:szCs w:val="22"/>
        </w:rPr>
        <w:t xml:space="preserve"> Clúster B200/GB200 a régimen. Arquitectura IGA-F MoE.</w:t>
      </w:r>
    </w:p>
    <w:p>
      <w:pPr>
        <w:pStyle w:val="ListParagraph"/>
        <w:numPr>
          <w:ilvl w:val="0"/>
          <w:numId w:val="2"/>
        </w:numPr>
        <w:spacing w:after="60"/>
      </w:pPr>
      <w:r>
        <w:rPr>
          <w:rFonts w:ascii="Calibri" w:cs="Calibri" w:eastAsia="Calibri" w:hAnsi="Calibri"/>
          <w:b/>
          <w:bCs/>
          <w:sz w:val="22"/>
          <w:szCs w:val="22"/>
        </w:rPr>
        <w:t xml:space="preserve">Q2-Q3:</w:t>
      </w:r>
      <w:r>
        <w:rPr>
          <w:rFonts w:ascii="Calibri" w:cs="Calibri" w:eastAsia="Calibri" w:hAnsi="Calibri"/>
          <w:sz w:val="22"/>
          <w:szCs w:val="22"/>
        </w:rPr>
        <w:t xml:space="preserve"> Mid-training IGA-F sobre 1+ billón de tokens.</w:t>
      </w:r>
    </w:p>
    <w:p>
      <w:pPr>
        <w:pStyle w:val="ListParagraph"/>
        <w:numPr>
          <w:ilvl w:val="0"/>
          <w:numId w:val="2"/>
        </w:numPr>
        <w:spacing w:after="60"/>
      </w:pPr>
      <w:r>
        <w:rPr>
          <w:rFonts w:ascii="Calibri" w:cs="Calibri" w:eastAsia="Calibri" w:hAnsi="Calibri"/>
          <w:b/>
          <w:bCs/>
          <w:sz w:val="22"/>
          <w:szCs w:val="22"/>
        </w:rPr>
        <w:t xml:space="preserve">Q3-Q4:</w:t>
      </w:r>
      <w:r>
        <w:rPr>
          <w:rFonts w:ascii="Calibri" w:cs="Calibri" w:eastAsia="Calibri" w:hAnsi="Calibri"/>
          <w:sz w:val="22"/>
          <w:szCs w:val="22"/>
        </w:rPr>
        <w:t xml:space="preserve"> RL de frontera, destilación final a P3, documentación, pesos abiertos.</w:t>
      </w:r>
    </w:p>
    <w:p>
      <w:pPr>
        <w:spacing w:after="140" w:line="276"/>
        <w:jc w:val="both"/>
      </w:pPr>
      <w:r>
        <w:rPr>
          <w:rFonts w:ascii="Calibri" w:cs="Calibri" w:eastAsia="Calibri" w:hAnsi="Calibri"/>
          <w:b/>
          <w:bCs/>
          <w:sz w:val="22"/>
          <w:szCs w:val="22"/>
        </w:rPr>
        <w:t xml:space="preserve">Entregable:</w:t>
      </w:r>
      <w:r>
        <w:rPr>
          <w:rFonts w:ascii="Calibri" w:cs="Calibri" w:eastAsia="Calibri" w:hAnsi="Calibri"/>
          <w:sz w:val="22"/>
          <w:szCs w:val="22"/>
        </w:rPr>
        <w:t xml:space="preserve"> Familia completa IGA-E/S/M/L/F, destilados de borde, licencia soberana, documentación.</w:t>
      </w:r>
    </w:p>
    <w:p>
      <w:pPr>
        <w:pStyle w:val="Heading1"/>
        <w:spacing w:before="320" w:after="120"/>
      </w:pPr>
      <w:r>
        <w:rPr>
          <w:rFonts w:ascii="Calibri" w:cs="Calibri" w:eastAsia="Calibri" w:hAnsi="Calibri"/>
          <w:b/>
          <w:bCs/>
          <w:color w:val="1B3A4B"/>
        </w:rPr>
        <w:t xml:space="preserve">7. PRESUPUESTO DETALLADO</w:t>
      </w:r>
    </w:p>
    <w:p>
      <w:pPr>
        <w:pStyle w:val="Heading2"/>
        <w:spacing w:before="220" w:after="120"/>
      </w:pPr>
      <w:r>
        <w:rPr>
          <w:rFonts w:ascii="Calibri" w:cs="Calibri" w:eastAsia="Calibri" w:hAnsi="Calibri"/>
          <w:b/>
          <w:bCs/>
          <w:color w:val="222222"/>
        </w:rPr>
        <w:t xml:space="preserve">7.1 Distribución por Categoría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Categoría</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Monto (USD)</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 del Total</w:t>
            </w:r>
          </w:p>
        </w:tc>
        <w:tc>
          <w:tcPr>
            <w:tcW w:type="dxa" w:w="2411"/>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Años</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Hardware GPU mixto (H100/H200/B200 + AMD)</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360.000.000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39,1%</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1-5</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Infraestructura y adecuación (incluye líquido Blackwell)</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120.000.000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13,0%</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1-3</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Energía eléctrica (operación)</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100.000.000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10,9%</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1-5</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Personal (investigación, post-entrenamiento, ops)</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180.000.000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19,6%</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1-5</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Corpus (texto, voz, visión, licencias, digitalización)</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70.000.000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7,6%</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1-5</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Post-entrenamiento, evaluación y destilación</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50.000.000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5,4%</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1-5</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Capacitación y becas</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25.000.000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2,7%</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1-5</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Contingencias</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15.000.000</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1,6%</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1-5</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TOTAL</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920.000.000</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100%</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bCs/>
                <w:color w:val="222222"/>
                <w:sz w:val="16"/>
                <w:szCs w:val="16"/>
              </w:rPr>
              <w:t xml:space="preserve">5</w:t>
            </w:r>
          </w:p>
        </w:tc>
      </w:tr>
    </w:tbl>
    <w:p>
      <w:pPr>
        <w:spacing w:after="200"/>
      </w:pPr>
    </w:p>
    <w:p>
      <w:pPr>
        <w:spacing w:after="140" w:line="276"/>
        <w:jc w:val="both"/>
      </w:pPr>
      <w:r>
        <w:rPr>
          <w:rFonts w:ascii="Calibri" w:cs="Calibri" w:eastAsia="Calibri" w:hAnsi="Calibri"/>
          <w:sz w:val="22"/>
          <w:szCs w:val="22"/>
        </w:rPr>
        <w:t xml:space="preserve">Respecto de v3.0 (USD 850 M), se reasigna presupuesto desde “solo H100 para un denso 200B” hacia datos de voz/visión, RL, evaluación y hardware mixto.</w:t>
      </w:r>
    </w:p>
    <w:p>
      <w:pPr>
        <w:pStyle w:val="Heading2"/>
        <w:spacing w:before="220" w:after="120"/>
      </w:pPr>
      <w:r>
        <w:rPr>
          <w:rFonts w:ascii="Calibri" w:cs="Calibri" w:eastAsia="Calibri" w:hAnsi="Calibri"/>
          <w:b/>
          <w:bCs/>
          <w:color w:val="222222"/>
        </w:rPr>
        <w:t xml:space="preserve">7.2 Flujo Anual de Inversión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Año 1</w:t>
            </w:r>
          </w:p>
        </w:tc>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Año 2</w:t>
            </w:r>
          </w:p>
        </w:tc>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Año 3</w:t>
            </w:r>
          </w:p>
        </w:tc>
        <w:tc>
          <w:tcPr>
            <w:tcW w:type="dxa" w:w="1927"/>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Año 4</w:t>
            </w:r>
          </w:p>
        </w:tc>
        <w:tc>
          <w:tcPr>
            <w:tcW w:type="dxa" w:w="1930"/>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Año 5</w:t>
            </w:r>
          </w:p>
        </w:tc>
      </w:tr>
      <w:tr>
        <w:trPr>
          <w:tblHeader w:val="false"/>
        </w:trPr>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$130M</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$160M</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$220M</w:t>
            </w:r>
          </w:p>
        </w:tc>
        <w:tc>
          <w:tcPr>
            <w:tcW w:type="dxa" w:w="1927"/>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$200M</w:t>
            </w:r>
          </w:p>
        </w:tc>
        <w:tc>
          <w:tcPr>
            <w:tcW w:type="dxa" w:w="1930"/>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$210M</w:t>
            </w:r>
          </w:p>
        </w:tc>
      </w:tr>
    </w:tbl>
    <w:p>
      <w:pPr>
        <w:spacing w:after="200"/>
      </w:pPr>
    </w:p>
    <w:p>
      <w:pPr>
        <w:pStyle w:val="Heading1"/>
        <w:spacing w:before="320" w:after="120"/>
      </w:pPr>
      <w:r>
        <w:rPr>
          <w:rFonts w:ascii="Calibri" w:cs="Calibri" w:eastAsia="Calibri" w:hAnsi="Calibri"/>
          <w:b/>
          <w:bCs/>
          <w:color w:val="1B3A4B"/>
        </w:rPr>
        <w:t xml:space="preserve">8. INDICADORES DE ÉXITO</w:t>
      </w:r>
    </w:p>
    <w:p>
      <w:pPr>
        <w:pStyle w:val="Heading2"/>
        <w:spacing w:before="220" w:after="120"/>
      </w:pPr>
      <w:r>
        <w:rPr>
          <w:rFonts w:ascii="Calibri" w:cs="Calibri" w:eastAsia="Calibri" w:hAnsi="Calibri"/>
          <w:b/>
          <w:bCs/>
          <w:color w:val="222222"/>
        </w:rPr>
        <w:t xml:space="preserve">8.1 Indicadores Técnicos</w:t>
      </w:r>
    </w:p>
    <w:p>
      <w:pPr>
        <w:spacing w:after="140" w:line="276"/>
        <w:jc w:val="both"/>
      </w:pPr>
      <w:r>
        <w:rPr>
          <w:rFonts w:ascii="Calibri" w:cs="Calibri" w:eastAsia="Calibri" w:hAnsi="Calibri"/>
          <w:sz w:val="22"/>
          <w:szCs w:val="22"/>
        </w:rPr>
        <w:t xml:space="preserve">1. </w:t>
      </w:r>
      <w:r>
        <w:rPr>
          <w:rFonts w:ascii="Calibri" w:cs="Calibri" w:eastAsia="Calibri" w:hAnsi="Calibri"/>
          <w:b/>
          <w:bCs/>
          <w:sz w:val="22"/>
          <w:szCs w:val="22"/>
        </w:rPr>
        <w:t xml:space="preserve">Razonamiento en español:</w:t>
      </w:r>
      <w:r>
        <w:rPr>
          <w:rFonts w:ascii="Calibri" w:cs="Calibri" w:eastAsia="Calibri" w:hAnsi="Calibri"/>
          <w:sz w:val="22"/>
          <w:szCs w:val="22"/>
        </w:rPr>
        <w:t xml:space="preserve"> IGA-M ≥ umbral Latam (CHOCLO/Trueque-class); IGA-L/F competitivos con destilados DeepSeek/Qwen de igual cómputo activo. 2. </w:t>
      </w:r>
      <w:r>
        <w:rPr>
          <w:rFonts w:ascii="Calibri" w:cs="Calibri" w:eastAsia="Calibri" w:hAnsi="Calibri"/>
          <w:b/>
          <w:bCs/>
          <w:sz w:val="22"/>
          <w:szCs w:val="22"/>
        </w:rPr>
        <w:t xml:space="preserve">Conocimiento argentino:</w:t>
      </w:r>
      <w:r>
        <w:rPr>
          <w:rFonts w:ascii="Calibri" w:cs="Calibri" w:eastAsia="Calibri" w:hAnsi="Calibri"/>
          <w:sz w:val="22"/>
          <w:szCs w:val="22"/>
        </w:rPr>
        <w:t xml:space="preserve"> ≥90% en banco propio de historia, geografía, derecho e instituciones. 3. </w:t>
      </w:r>
      <w:r>
        <w:rPr>
          <w:rFonts w:ascii="Calibri" w:cs="Calibri" w:eastAsia="Calibri" w:hAnsi="Calibri"/>
          <w:b/>
          <w:bCs/>
          <w:sz w:val="22"/>
          <w:szCs w:val="22"/>
        </w:rPr>
        <w:t xml:space="preserve">Código:</w:t>
      </w:r>
      <w:r>
        <w:rPr>
          <w:rFonts w:ascii="Calibri" w:cs="Calibri" w:eastAsia="Calibri" w:hAnsi="Calibri"/>
          <w:sz w:val="22"/>
          <w:szCs w:val="22"/>
        </w:rPr>
        <w:t xml:space="preserve"> LiveCodeBench / SWE-bench (subconjunto soberano) reportado por SKU. 4. </w:t>
      </w:r>
      <w:r>
        <w:rPr>
          <w:rFonts w:ascii="Calibri" w:cs="Calibri" w:eastAsia="Calibri" w:hAnsi="Calibri"/>
          <w:b/>
          <w:bCs/>
          <w:sz w:val="22"/>
          <w:szCs w:val="22"/>
        </w:rPr>
        <w:t xml:space="preserve">Agentes:</w:t>
      </w:r>
      <w:r>
        <w:rPr>
          <w:rFonts w:ascii="Calibri" w:cs="Calibri" w:eastAsia="Calibri" w:hAnsi="Calibri"/>
          <w:sz w:val="22"/>
          <w:szCs w:val="22"/>
        </w:rPr>
        <w:t xml:space="preserve"> Tareas ofimáticas offline (archivos + RAG + cálculo) con tasa de éxito publicada. 5. </w:t>
      </w:r>
      <w:r>
        <w:rPr>
          <w:rFonts w:ascii="Calibri" w:cs="Calibri" w:eastAsia="Calibri" w:hAnsi="Calibri"/>
          <w:b/>
          <w:bCs/>
          <w:sz w:val="22"/>
          <w:szCs w:val="22"/>
        </w:rPr>
        <w:t xml:space="preserve">Borde:</w:t>
      </w:r>
      <w:r>
        <w:rPr>
          <w:rFonts w:ascii="Calibri" w:cs="Calibri" w:eastAsia="Calibri" w:hAnsi="Calibri"/>
          <w:sz w:val="22"/>
          <w:szCs w:val="22"/>
        </w:rPr>
        <w:t xml:space="preserve"> IGA-E-Q ≥25 tok/s y IGA-S-Q ≥12 tok/s en hardware P3. 6. </w:t>
      </w:r>
      <w:r>
        <w:rPr>
          <w:rFonts w:ascii="Calibri" w:cs="Calibri" w:eastAsia="Calibri" w:hAnsi="Calibri"/>
          <w:b/>
          <w:bCs/>
          <w:sz w:val="22"/>
          <w:szCs w:val="22"/>
        </w:rPr>
        <w:t xml:space="preserve">Lenguas originarias:</w:t>
      </w:r>
      <w:r>
        <w:rPr>
          <w:rFonts w:ascii="Calibri" w:cs="Calibri" w:eastAsia="Calibri" w:hAnsi="Calibri"/>
          <w:sz w:val="22"/>
          <w:szCs w:val="22"/>
        </w:rPr>
        <w:t xml:space="preserve"> ≥85% en traducción quechua/guaraní  /  español en sets acordados con comunidades. 7. </w:t>
      </w:r>
      <w:r>
        <w:rPr>
          <w:rFonts w:ascii="Calibri" w:cs="Calibri" w:eastAsia="Calibri" w:hAnsi="Calibri"/>
          <w:b/>
          <w:bCs/>
          <w:sz w:val="22"/>
          <w:szCs w:val="22"/>
        </w:rPr>
        <w:t xml:space="preserve">Perplexity / bits-per-byte</w:t>
      </w:r>
      <w:r>
        <w:rPr>
          <w:rFonts w:ascii="Calibri" w:cs="Calibri" w:eastAsia="Calibri" w:hAnsi="Calibri"/>
          <w:sz w:val="22"/>
          <w:szCs w:val="22"/>
        </w:rPr>
        <w:t xml:space="preserve"> en held-out es-AR: mejora monótona por generación (se publica; no se usa MMLU-ES como único número).</w:t>
      </w:r>
    </w:p>
    <w:p>
      <w:pPr>
        <w:pStyle w:val="Heading2"/>
        <w:spacing w:before="220" w:after="120"/>
      </w:pPr>
      <w:r>
        <w:rPr>
          <w:rFonts w:ascii="Calibri" w:cs="Calibri" w:eastAsia="Calibri" w:hAnsi="Calibri"/>
          <w:b/>
          <w:bCs/>
          <w:color w:val="222222"/>
        </w:rPr>
        <w:t xml:space="preserve">8.2 Indicadores de Impacto</w:t>
      </w:r>
    </w:p>
    <w:p>
      <w:pPr>
        <w:spacing w:after="140" w:line="276"/>
        <w:jc w:val="both"/>
      </w:pPr>
      <w:r>
        <w:rPr>
          <w:rFonts w:ascii="Calibri" w:cs="Calibri" w:eastAsia="Calibri" w:hAnsi="Calibri"/>
          <w:sz w:val="22"/>
          <w:szCs w:val="22"/>
        </w:rPr>
        <w:t xml:space="preserve">8. </w:t>
      </w:r>
      <w:r>
        <w:rPr>
          <w:rFonts w:ascii="Calibri" w:cs="Calibri" w:eastAsia="Calibri" w:hAnsi="Calibri"/>
          <w:b/>
          <w:bCs/>
          <w:sz w:val="22"/>
          <w:szCs w:val="22"/>
        </w:rPr>
        <w:t xml:space="preserve">Empleo:</w:t>
      </w:r>
      <w:r>
        <w:rPr>
          <w:rFonts w:ascii="Calibri" w:cs="Calibri" w:eastAsia="Calibri" w:hAnsi="Calibri"/>
          <w:sz w:val="22"/>
          <w:szCs w:val="22"/>
        </w:rPr>
        <w:t xml:space="preserve"> 4.800 puestos directos. 9. </w:t>
      </w:r>
      <w:r>
        <w:rPr>
          <w:rFonts w:ascii="Calibri" w:cs="Calibri" w:eastAsia="Calibri" w:hAnsi="Calibri"/>
          <w:b/>
          <w:bCs/>
          <w:sz w:val="22"/>
          <w:szCs w:val="22"/>
        </w:rPr>
        <w:t xml:space="preserve">Formación:</w:t>
      </w:r>
      <w:r>
        <w:rPr>
          <w:rFonts w:ascii="Calibri" w:cs="Calibri" w:eastAsia="Calibri" w:hAnsi="Calibri"/>
          <w:sz w:val="22"/>
          <w:szCs w:val="22"/>
        </w:rPr>
        <w:t xml:space="preserve"> 600+ profesionales en CPT, RL, eval e inferencia. 10. </w:t>
      </w:r>
      <w:r>
        <w:rPr>
          <w:rFonts w:ascii="Calibri" w:cs="Calibri" w:eastAsia="Calibri" w:hAnsi="Calibri"/>
          <w:b/>
          <w:bCs/>
          <w:sz w:val="22"/>
          <w:szCs w:val="22"/>
        </w:rPr>
        <w:t xml:space="preserve">Publicaciones:</w:t>
      </w:r>
      <w:r>
        <w:rPr>
          <w:rFonts w:ascii="Calibri" w:cs="Calibri" w:eastAsia="Calibri" w:hAnsi="Calibri"/>
          <w:sz w:val="22"/>
          <w:szCs w:val="22"/>
        </w:rPr>
        <w:t xml:space="preserve"> ≥60 papers (NeurIPS, ACL, EMNLP, ICLR) y reportes técnicos abiertos. 11. </w:t>
      </w:r>
      <w:r>
        <w:rPr>
          <w:rFonts w:ascii="Calibri" w:cs="Calibri" w:eastAsia="Calibri" w:hAnsi="Calibri"/>
          <w:b/>
          <w:bCs/>
          <w:sz w:val="22"/>
          <w:szCs w:val="22"/>
        </w:rPr>
        <w:t xml:space="preserve">Adopción:</w:t>
      </w:r>
      <w:r>
        <w:rPr>
          <w:rFonts w:ascii="Calibri" w:cs="Calibri" w:eastAsia="Calibri" w:hAnsi="Calibri"/>
          <w:sz w:val="22"/>
          <w:szCs w:val="22"/>
        </w:rPr>
        <w:t xml:space="preserve"> IGA-E/S en 100% de dispositivos P3. 12. </w:t>
      </w:r>
      <w:r>
        <w:rPr>
          <w:rFonts w:ascii="Calibri" w:cs="Calibri" w:eastAsia="Calibri" w:hAnsi="Calibri"/>
          <w:b/>
          <w:bCs/>
          <w:sz w:val="22"/>
          <w:szCs w:val="22"/>
        </w:rPr>
        <w:t xml:space="preserve">Soberanía:</w:t>
      </w:r>
      <w:r>
        <w:rPr>
          <w:rFonts w:ascii="Calibri" w:cs="Calibri" w:eastAsia="Calibri" w:hAnsi="Calibri"/>
          <w:sz w:val="22"/>
          <w:szCs w:val="22"/>
        </w:rPr>
        <w:t xml:space="preserve"> Reducción del 80% en APIs extranjeras para aplicaciones gubernamentales.</w:t>
      </w:r>
    </w:p>
    <w:p>
      <w:pPr>
        <w:pStyle w:val="Heading1"/>
        <w:spacing w:before="320" w:after="120"/>
      </w:pPr>
      <w:r>
        <w:rPr>
          <w:rFonts w:ascii="Calibri" w:cs="Calibri" w:eastAsia="Calibri" w:hAnsi="Calibri"/>
          <w:b/>
          <w:bCs/>
          <w:color w:val="1B3A4B"/>
        </w:rPr>
        <w:t xml:space="preserve">9. ANÁLISIS DE RIESGOS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Riesgo</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Probabilidad</w:t>
            </w:r>
          </w:p>
        </w:tc>
        <w:tc>
          <w:tcPr>
            <w:tcW w:type="dxa" w:w="2409"/>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Impacto</w:t>
            </w:r>
          </w:p>
        </w:tc>
        <w:tc>
          <w:tcPr>
            <w:tcW w:type="dxa" w:w="2411"/>
            <w:tcBorders>
              <w:top w:val="single" w:color="C4A35A" w:sz="4"/>
              <w:left w:val="single" w:color="C4A35A" w:sz="4"/>
              <w:bottom w:val="single" w:color="C4A35A" w:sz="4"/>
              <w:right w:val="single" w:color="C4A35A" w:sz="4"/>
            </w:tcBorders>
            <w:shd w:fill="1B3A4B" w:val="clear"/>
            <w:tcMar>
              <w:top w:type="dxa" w:w="60"/>
              <w:left w:type="dxa" w:w="80"/>
              <w:bottom w:type="dxa" w:w="60"/>
              <w:right w:type="dxa" w:w="80"/>
            </w:tcMar>
            <w:vAlign w:val="center"/>
          </w:tcPr>
          <w:p>
            <w:r>
              <w:rPr>
                <w:rFonts w:ascii="Calibri" w:cs="Calibri" w:eastAsia="Calibri" w:hAnsi="Calibri"/>
                <w:b/>
                <w:bCs/>
                <w:color w:val="FFFFFF"/>
                <w:sz w:val="16"/>
                <w:szCs w:val="16"/>
              </w:rPr>
              <w:t xml:space="preserve">Mitigación</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Fuga de talento</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Alta</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Alto</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Salarios, proyectos, estabilidad</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Restricciones de exportación de GPU</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Media</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Alto</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AMD + aceleradores no US; Vía A sobre bases ya entrenadas</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Lodo sintético en el corpus</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Alta</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Alto</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Filtros, validación humana, datos permisados</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Licencia restrictiva de una base</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Media</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Alto</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Solo Apache/MIT como base nacional</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Obsolescencia de arquitectura</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Alta</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Medio</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Familia versionada; destilación continua</w:t>
            </w:r>
          </w:p>
        </w:tc>
      </w:tr>
      <w:tr>
        <w:trPr>
          <w:tblHeader w:val="false"/>
        </w:trPr>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Discontinuidad política</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Media</w:t>
            </w:r>
          </w:p>
        </w:tc>
        <w:tc>
          <w:tcPr>
            <w:tcW w:type="dxa" w:w="2409"/>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Alto</w:t>
            </w:r>
          </w:p>
        </w:tc>
        <w:tc>
          <w:tcPr>
            <w:tcW w:type="dxa" w:w="2411"/>
            <w:tcBorders>
              <w:top w:val="single" w:color="C4A35A" w:sz="4"/>
              <w:left w:val="single" w:color="C4A35A" w:sz="4"/>
              <w:bottom w:val="single" w:color="C4A35A" w:sz="4"/>
              <w:right w:val="single" w:color="C4A35A" w:sz="4"/>
            </w:tcBorders>
            <w:shd w:fill="F4F1EA"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Entregables tempranos (Año 1), CC0, consenso</w:t>
            </w:r>
          </w:p>
        </w:tc>
      </w:tr>
      <w:tr>
        <w:trPr>
          <w:tblHeader w:val="false"/>
        </w:trPr>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Calidad insuficiente de PoUW</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Media</w:t>
            </w:r>
          </w:p>
        </w:tc>
        <w:tc>
          <w:tcPr>
            <w:tcW w:type="dxa" w:w="2409"/>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Medio</w:t>
            </w:r>
          </w:p>
        </w:tc>
        <w:tc>
          <w:tcPr>
            <w:tcW w:type="dxa" w:w="2411"/>
            <w:tcBorders>
              <w:top w:val="single" w:color="C4A35A" w:sz="4"/>
              <w:left w:val="single" w:color="C4A35A" w:sz="4"/>
              <w:bottom w:val="single" w:color="C4A35A" w:sz="4"/>
              <w:right w:val="single" w:color="C4A35A"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22222"/>
                <w:sz w:val="16"/>
                <w:szCs w:val="16"/>
              </w:rPr>
              <w:t xml:space="preserve">Tareas de inferencia/eval primero; pretrain distribuido después</w:t>
            </w:r>
          </w:p>
        </w:tc>
      </w:tr>
    </w:tbl>
    <w:p>
      <w:pPr>
        <w:spacing w:after="200"/>
      </w:pPr>
    </w:p>
    <w:p>
      <w:pPr>
        <w:pStyle w:val="Heading1"/>
        <w:spacing w:before="320" w:after="120"/>
      </w:pPr>
      <w:r>
        <w:rPr>
          <w:rFonts w:ascii="Calibri" w:cs="Calibri" w:eastAsia="Calibri" w:hAnsi="Calibri"/>
          <w:b/>
          <w:bCs/>
          <w:color w:val="1B3A4B"/>
        </w:rPr>
        <w:t xml:space="preserve">10. ARTICULACIÓN CON OTROS PROGRAMAS</w:t>
      </w:r>
    </w:p>
    <w:p>
      <w:pPr>
        <w:pStyle w:val="Heading2"/>
        <w:spacing w:before="220" w:after="120"/>
      </w:pPr>
      <w:r>
        <w:rPr>
          <w:rFonts w:ascii="Calibri" w:cs="Calibri" w:eastAsia="Calibri" w:hAnsi="Calibri"/>
          <w:b/>
          <w:bCs/>
          <w:color w:val="222222"/>
        </w:rPr>
        <w:t xml:space="preserve">10.1 Con Programa 2 (Blockchain)</w:t>
      </w:r>
    </w:p>
    <w:p>
      <w:pPr>
        <w:pStyle w:val="ListParagraph"/>
        <w:numPr>
          <w:ilvl w:val="0"/>
          <w:numId w:val="2"/>
        </w:numPr>
        <w:spacing w:after="60"/>
      </w:pPr>
      <w:r>
        <w:rPr>
          <w:rFonts w:ascii="Calibri" w:cs="Calibri" w:eastAsia="Calibri" w:hAnsi="Calibri"/>
          <w:sz w:val="22"/>
          <w:szCs w:val="22"/>
        </w:rPr>
        <w:t xml:space="preserve">Mercado de tareas: entrenamiento, inferencia, evaluación, curación.</w:t>
      </w:r>
    </w:p>
    <w:p>
      <w:pPr>
        <w:pStyle w:val="ListParagraph"/>
        <w:numPr>
          <w:ilvl w:val="0"/>
          <w:numId w:val="2"/>
        </w:numPr>
        <w:spacing w:after="60"/>
      </w:pPr>
      <w:r>
        <w:rPr>
          <w:rFonts w:ascii="Calibri" w:cs="Calibri" w:eastAsia="Calibri" w:hAnsi="Calibri"/>
          <w:sz w:val="22"/>
          <w:szCs w:val="22"/>
        </w:rPr>
        <w:t xml:space="preserve">Liquidación y atestaciones en cadena.</w:t>
      </w:r>
    </w:p>
    <w:p>
      <w:pPr>
        <w:pStyle w:val="ListParagraph"/>
        <w:numPr>
          <w:ilvl w:val="0"/>
          <w:numId w:val="2"/>
        </w:numPr>
        <w:spacing w:after="60"/>
      </w:pPr>
      <w:r>
        <w:rPr>
          <w:rFonts w:ascii="Calibri" w:cs="Calibri" w:eastAsia="Calibri" w:hAnsi="Calibri"/>
          <w:sz w:val="22"/>
          <w:szCs w:val="22"/>
        </w:rPr>
        <w:t xml:space="preserve">Emisión MDDA como financiamiento parcial de cómputo.</w:t>
      </w:r>
    </w:p>
    <w:p>
      <w:pPr>
        <w:pStyle w:val="Heading2"/>
        <w:spacing w:before="220" w:after="120"/>
      </w:pPr>
      <w:r>
        <w:rPr>
          <w:rFonts w:ascii="Calibri" w:cs="Calibri" w:eastAsia="Calibri" w:hAnsi="Calibri"/>
          <w:b/>
          <w:bCs/>
          <w:color w:val="222222"/>
        </w:rPr>
        <w:t xml:space="preserve">10.2 Con Programa 3 (Dispositivos)</w:t>
      </w:r>
    </w:p>
    <w:p>
      <w:pPr>
        <w:pStyle w:val="ListParagraph"/>
        <w:numPr>
          <w:ilvl w:val="0"/>
          <w:numId w:val="2"/>
        </w:numPr>
        <w:spacing w:after="60"/>
      </w:pPr>
      <w:r>
        <w:rPr>
          <w:rFonts w:ascii="Calibri" w:cs="Calibri" w:eastAsia="Calibri" w:hAnsi="Calibri"/>
          <w:sz w:val="22"/>
          <w:szCs w:val="22"/>
        </w:rPr>
        <w:t xml:space="preserve">Destilación y cuantización a IGA-E/S.</w:t>
      </w:r>
    </w:p>
    <w:p>
      <w:pPr>
        <w:pStyle w:val="ListParagraph"/>
        <w:numPr>
          <w:ilvl w:val="0"/>
          <w:numId w:val="2"/>
        </w:numPr>
        <w:spacing w:after="60"/>
      </w:pPr>
      <w:r>
        <w:rPr>
          <w:rFonts w:ascii="Calibri" w:cs="Calibri" w:eastAsia="Calibri" w:hAnsi="Calibri"/>
          <w:sz w:val="22"/>
          <w:szCs w:val="22"/>
        </w:rPr>
        <w:t xml:space="preserve">Hardware P3 dimensionado para 16 GB + NPU.</w:t>
      </w:r>
    </w:p>
    <w:p>
      <w:pPr>
        <w:pStyle w:val="ListParagraph"/>
        <w:numPr>
          <w:ilvl w:val="0"/>
          <w:numId w:val="2"/>
        </w:numPr>
        <w:spacing w:after="60"/>
      </w:pPr>
      <w:r>
        <w:rPr>
          <w:rFonts w:ascii="Calibri" w:cs="Calibri" w:eastAsia="Calibri" w:hAnsi="Calibri"/>
          <w:sz w:val="22"/>
          <w:szCs w:val="22"/>
        </w:rPr>
        <w:t xml:space="preserve">Runtime de agente y voz/OCR embebidos.</w:t>
      </w:r>
    </w:p>
    <w:p>
      <w:pPr>
        <w:pStyle w:val="ListParagraph"/>
        <w:numPr>
          <w:ilvl w:val="0"/>
          <w:numId w:val="2"/>
        </w:numPr>
        <w:spacing w:after="60"/>
      </w:pPr>
      <w:r>
        <w:rPr>
          <w:rFonts w:ascii="Calibri" w:cs="Calibri" w:eastAsia="Calibri" w:hAnsi="Calibri"/>
          <w:sz w:val="22"/>
          <w:szCs w:val="22"/>
        </w:rPr>
        <w:t xml:space="preserve">Sin telemetría de uso hacia P1.</w:t>
      </w:r>
    </w:p>
    <w:p>
      <w:pPr>
        <w:pStyle w:val="Heading2"/>
        <w:spacing w:before="220" w:after="120"/>
      </w:pPr>
      <w:r>
        <w:rPr>
          <w:rFonts w:ascii="Calibri" w:cs="Calibri" w:eastAsia="Calibri" w:hAnsi="Calibri"/>
          <w:b/>
          <w:bCs/>
          <w:color w:val="222222"/>
        </w:rPr>
        <w:t xml:space="preserve">10.3 Con Programa 4 (Universidad Hacker Nacional)</w:t>
      </w:r>
    </w:p>
    <w:p>
      <w:pPr>
        <w:pStyle w:val="ListParagraph"/>
        <w:numPr>
          <w:ilvl w:val="0"/>
          <w:numId w:val="2"/>
        </w:numPr>
        <w:spacing w:after="60"/>
      </w:pPr>
      <w:r>
        <w:rPr>
          <w:rFonts w:ascii="Calibri" w:cs="Calibri" w:eastAsia="Calibri" w:hAnsi="Calibri"/>
          <w:sz w:val="22"/>
          <w:szCs w:val="22"/>
        </w:rPr>
        <w:t xml:space="preserve">Formación en CPT, RL, eval, agentes e inferencia.</w:t>
      </w:r>
    </w:p>
    <w:p>
      <w:pPr>
        <w:pStyle w:val="ListParagraph"/>
        <w:numPr>
          <w:ilvl w:val="0"/>
          <w:numId w:val="2"/>
        </w:numPr>
        <w:spacing w:after="60"/>
      </w:pPr>
      <w:r>
        <w:rPr>
          <w:rFonts w:ascii="Calibri" w:cs="Calibri" w:eastAsia="Calibri" w:hAnsi="Calibri"/>
          <w:sz w:val="22"/>
          <w:szCs w:val="22"/>
        </w:rPr>
        <w:t xml:space="preserve">Prácticas de curación y red-teaming de modelos (defensivo).</w:t>
      </w:r>
    </w:p>
    <w:p>
      <w:pPr>
        <w:pStyle w:val="ListParagraph"/>
        <w:numPr>
          <w:ilvl w:val="0"/>
          <w:numId w:val="2"/>
        </w:numPr>
        <w:spacing w:after="60"/>
      </w:pPr>
      <w:r>
        <w:rPr>
          <w:rFonts w:ascii="Calibri" w:cs="Calibri" w:eastAsia="Calibri" w:hAnsi="Calibri"/>
          <w:sz w:val="22"/>
          <w:szCs w:val="22"/>
        </w:rPr>
        <w:t xml:space="preserve">Tesis articuladas con el banco de evaluación nacional.</w:t>
      </w:r>
    </w:p>
    <w:p>
      <w:pPr>
        <w:pStyle w:val="Heading1"/>
        <w:spacing w:before="320" w:after="120"/>
      </w:pPr>
      <w:r>
        <w:rPr>
          <w:rFonts w:ascii="Calibri" w:cs="Calibri" w:eastAsia="Calibri" w:hAnsi="Calibri"/>
          <w:b/>
          <w:bCs/>
          <w:color w:val="1B3A4B"/>
        </w:rPr>
        <w:t xml:space="preserve">11. CONCLUSIÓN</w:t>
      </w:r>
    </w:p>
    <w:p>
      <w:pPr>
        <w:spacing w:after="140" w:line="276"/>
        <w:jc w:val="both"/>
      </w:pPr>
      <w:r>
        <w:rPr>
          <w:rFonts w:ascii="Calibri" w:cs="Calibri" w:eastAsia="Calibri" w:hAnsi="Calibri"/>
          <w:sz w:val="22"/>
          <w:szCs w:val="22"/>
        </w:rPr>
        <w:t xml:space="preserve">El Programa IGA v4.0 es el núcleo cognitivo del Plan. Con USD 920 millones en 5 años, Argentina publica una familia soberana que corre en la mano del ciudadano, no en una API de California o Shenzhen.</w:t>
      </w:r>
    </w:p>
    <w:p>
      <w:pPr>
        <w:spacing w:after="140" w:line="276"/>
        <w:jc w:val="both"/>
      </w:pPr>
      <w:r>
        <w:rPr>
          <w:rFonts w:ascii="Calibri" w:cs="Calibri" w:eastAsia="Calibri" w:hAnsi="Calibri"/>
          <w:sz w:val="22"/>
          <w:szCs w:val="22"/>
        </w:rPr>
        <w:t xml:space="preserve">No se persigue un denso de 200B para un titular. Se persigue Vía A en 24 meses, Vía B nativa después, destilación a borde, evaluación propia y licencia abierta. Esa es la soberanía informativa que el país requiere en septiembre de 2026.</w:t>
      </w:r>
    </w:p>
    <w:p>
      <w:pPr>
        <w:spacing w:after="140" w:line="276"/>
        <w:jc w:val="both"/>
      </w:pPr>
      <w:r>
        <w:rPr>
          <w:rFonts w:ascii="Calibri" w:cs="Calibri" w:eastAsia="Calibri" w:hAnsi="Calibri"/>
          <w:sz w:val="22"/>
          <w:szCs w:val="22"/>
        </w:rPr>
        <w:t xml:space="preserve">*Programa 1: Inteligencia Generativa Artificial*</w:t>
      </w:r>
    </w:p>
    <w:p>
      <w:pPr>
        <w:spacing w:after="140" w:line="276"/>
        <w:jc w:val="both"/>
      </w:pPr>
      <w:r>
        <w:rPr>
          <w:rFonts w:ascii="Calibri" w:cs="Calibri" w:eastAsia="Calibri" w:hAnsi="Calibri"/>
          <w:sz w:val="22"/>
          <w:szCs w:val="22"/>
        </w:rPr>
        <w:t xml:space="preserve">*Plan Informático Nacional v4.0 — República Argentina*</w:t>
      </w:r>
    </w:p>
    <w:p>
      <w:pPr>
        <w:spacing w:after="140" w:line="276"/>
        <w:jc w:val="both"/>
      </w:pPr>
      <w:r>
        <w:rPr>
          <w:rFonts w:ascii="Calibri" w:cs="Calibri" w:eastAsia="Calibri" w:hAnsi="Calibri"/>
          <w:sz w:val="22"/>
          <w:szCs w:val="22"/>
        </w:rPr>
        <w:t xml:space="preserve">&gt; Este documento está bajo CC0 1.0 (Dominio Público). No se requiere atribución del autor original. &gt; https://creativecommons.org/publicdomain/zero/1.0/deed.es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35A" w:sz="6" w:space="8"/>
      </w:pBdr>
      <w:jc w:val="center"/>
    </w:pPr>
    <w:r>
      <w:rPr>
        <w:rFonts w:ascii="Calibri" w:cs="Calibri" w:eastAsia="Calibri" w:hAnsi="Calibri"/>
        <w:color w:val="666666"/>
        <w:sz w:val="14"/>
        <w:szCs w:val="14"/>
      </w:rPr>
      <w:t xml:space="preserve">CC0 1.0 Dominio Público  ·  República Argentina  ·  </w:t>
    </w:r>
    <w:r>
      <w:rPr>
        <w:rFonts w:ascii="Calibri" w:cs="Calibri" w:eastAsia="Calibri" w:hAnsi="Calibri"/>
        <w:color w:val="1B3A4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35A" w:sz="12" w:space="8"/>
      </w:pBdr>
      <w:tabs>
        <w:tab w:val="right" w:pos="9638"/>
      </w:tabs>
    </w:pPr>
    <w:r>
      <w:rPr>
        <w:rFonts w:ascii="Calibri" w:cs="Calibri" w:eastAsia="Calibri" w:hAnsi="Calibri"/>
        <w:b/>
        <w:bCs/>
        <w:color w:val="1B3A4B"/>
        <w:sz w:val="16"/>
        <w:szCs w:val="16"/>
      </w:rPr>
      <w:t xml:space="preserve">Plan Informático Nacional  v4.0</w:t>
    </w:r>
    <w:r>
      <w:rPr>
        <w:rFonts w:ascii="Calibri" w:cs="Calibri" w:eastAsia="Calibri" w:hAnsi="Calibri"/>
        <w:color w:val="666666"/>
        <w:sz w:val="16"/>
        <w:szCs w:val="16"/>
      </w:rPr>
      <w:t xml:space="preserve">	Septiembre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1B3A4B"/>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1B3A4B"/>
      <w:sz w:val="26"/>
      <w:szCs w:val="26"/>
    </w:rPr>
  </w:style>
  <w:style w:type="paragraph" w:styleId="Heading3">
    <w:name w:val="Heading 3"/>
    <w:basedOn w:val="Normal"/>
    <w:next w:val="Normal"/>
    <w:qFormat/>
    <w:pPr>
      <w:spacing w:before="180" w:after="80"/>
      <w:outlineLvl w:val="2"/>
    </w:pPr>
    <w:rPr>
      <w:rFonts w:ascii="Calibri" w:cs="Calibri" w:eastAsia="Calibri" w:hAnsi="Calibri"/>
      <w:b/>
      <w:bCs/>
      <w:color w:val="333333"/>
      <w:sz w:val="24"/>
      <w:szCs w:val="24"/>
    </w:rPr>
  </w:style>
  <w:style w:type="paragraph" w:styleId="Heading4">
    <w:name w:val="Heading 4"/>
    <w:basedOn w:val="Normal"/>
    <w:next w:val="Normal"/>
    <w:qFormat/>
    <w:pPr>
      <w:spacing w:before="140" w:after="80"/>
      <w:outlineLvl w:val="3"/>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2026-09-04T00:30:40.479Z</dcterms:created>
  <dcterms:modified xsi:type="dcterms:W3CDTF">2026-09-04T00:30:40.479Z</dcterms:modified>
</cp:coreProperties>
</file>

<file path=docProps/custom.xml><?xml version="1.0" encoding="utf-8"?>
<Properties xmlns="http://schemas.openxmlformats.org/officeDocument/2006/custom-properties" xmlns:vt="http://schemas.openxmlformats.org/officeDocument/2006/docPropsVTypes"/>
</file>