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1B3A4B"/>
          <w:spacing w:val="200"/>
          <w:sz w:val="20"/>
          <w:szCs w:val="20"/>
        </w:rPr>
        <w:t xml:space="preserve">REPÚBLICA ARGENTINA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B3A4B"/>
          <w:sz w:val="36"/>
          <w:szCs w:val="36"/>
        </w:rPr>
        <w:t xml:space="preserve">PLAN INFORMÁTICO NACIONAL</w:t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C4A35A"/>
          <w:sz w:val="26"/>
          <w:szCs w:val="26"/>
        </w:rPr>
        <w:t xml:space="preserve">Programa 3 — Dispositivos Portátiles de IA</w:t>
      </w:r>
    </w:p>
    <w:p>
      <w:pPr>
        <w:spacing w:after="40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Versión 4.0  ·  Septiembre 2026  ·  CC0 1.0</w:t>
      </w:r>
    </w:p>
    <w:p>
      <w:pPr>
        <w:pStyle w:val="Heading1"/>
      </w:pPr>
      <w:r>
        <w:rPr>
          <w:rFonts w:ascii="Calibri" w:cs="Calibri" w:eastAsia="Calibri" w:hAnsi="Calibri"/>
          <w:b/>
          <w:bCs/>
        </w:rPr>
        <w:t xml:space="preserve">Índice</w:t>
      </w:r>
    </w:p>
    <w:sdt>
      <w:sdtPr>
        <w:alias w:val="Índice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300"/>
      </w:pPr>
    </w:p>
    <w:p>
      <w:pPr>
        <w:spacing w:after="14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PLAN INFORMÁTICO NACIONAL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Versión 4.0 — Septiembre 2026</w:t>
      </w:r>
    </w:p>
    <w:p>
      <w:pPr>
        <w:pStyle w:val="Heading1"/>
        <w:spacing w:before="320" w:after="120"/>
      </w:pPr>
      <w:r>
        <w:rPr>
          <w:rFonts w:ascii="Calibri" w:cs="Calibri" w:eastAsia="Calibri" w:hAnsi="Calibri"/>
          <w:b/>
          <w:bCs/>
          <w:color w:val="1B3A4B"/>
        </w:rPr>
        <w:t xml:space="preserve">PROGRAMA 3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DISPOSITIVOS PORTÁTILES DE INTELIGENCIA ARTIFICIAL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*Soberanía Individual, 16 GB + NPU, Agente Local Offline*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Documento Detallado de Programa</w:t>
      </w:r>
      <w:r>
        <w:rPr>
          <w:rFonts w:ascii="Calibri" w:cs="Calibri" w:eastAsia="Calibri" w:hAnsi="Calibri"/>
          <w:sz w:val="22"/>
          <w:szCs w:val="22"/>
        </w:rPr>
        <w:t xml:space="preserve"> República Argentina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1B3A4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FICHA TÉCNICA</w:t>
            </w:r>
          </w:p>
        </w:tc>
        <w:tc>
          <w:tcPr>
            <w:tcW w:type="dxa" w:w="4819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1B3A4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Inversión Total</w:t>
            </w:r>
          </w:p>
        </w:tc>
        <w:tc>
          <w:tcPr>
            <w:tcW w:type="dxa" w:w="4819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USD 1.680.000.000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4F1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Plazo de Ejecución</w:t>
            </w:r>
          </w:p>
        </w:tc>
        <w:tc>
          <w:tcPr>
            <w:tcW w:type="dxa" w:w="4819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4F1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5 años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Empleo Directo</w:t>
            </w:r>
          </w:p>
        </w:tc>
        <w:tc>
          <w:tcPr>
            <w:tcW w:type="dxa" w:w="4819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17.800 puestos de trabajo (industria terminal + proveedores)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4F1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Reflejo Social (indirecto)</w:t>
            </w:r>
          </w:p>
        </w:tc>
        <w:tc>
          <w:tcPr>
            <w:tcW w:type="dxa" w:w="4819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4F1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44.500+ puestos adicionales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Producción Total</w:t>
            </w:r>
          </w:p>
        </w:tc>
        <w:tc>
          <w:tcPr>
            <w:tcW w:type="dxa" w:w="4819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655.000 dispositivos en 5 años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4F1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Organismos Ejecutores</w:t>
            </w:r>
          </w:p>
        </w:tc>
        <w:tc>
          <w:tcPr>
            <w:tcW w:type="dxa" w:w="4819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4F1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INVAP S.E., CITEDEF, UTN, Escuelas Técnicas Nacionales, empresas privadas habilitadas*</w:t>
            </w:r>
          </w:p>
        </w:tc>
      </w:tr>
    </w:tbl>
    <w:p>
      <w:pPr>
        <w:spacing w:after="200"/>
      </w:pPr>
    </w:p>
    <w:p>
      <w:pPr>
        <w:spacing w:after="14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**Empresas privadas habilitadas: con participación estatal o capital accionario mayoritariamente nacional (≥51%) certificado durante toda la duración del Plan.*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1B3A4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Entregable Principal</w:t>
            </w:r>
          </w:p>
        </w:tc>
        <w:tc>
          <w:tcPr>
            <w:tcW w:type="dxa" w:w="4819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1B3A4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Dos SKU nacionales (Estudiante / Trabajador) con IGA-E o IGA-S, NPU ≥40 TOPS, operación 100% offline</w:t>
            </w:r>
          </w:p>
        </w:tc>
      </w:tr>
    </w:tbl>
    <w:p>
      <w:pPr>
        <w:spacing w:after="200"/>
      </w:pPr>
    </w:p>
    <w:p>
      <w:pPr>
        <w:spacing w:after="14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&gt; Este documento está bajo CC0 1.0 (Dominio Público). No se requiere atribución del autor original. &gt; https://creativecommons.org/publicdomain/zero/1.0/deed.es</w:t>
      </w:r>
    </w:p>
    <w:p>
      <w:pPr>
        <w:pStyle w:val="Heading1"/>
        <w:spacing w:before="320" w:after="120"/>
      </w:pPr>
      <w:r>
        <w:rPr>
          <w:rFonts w:ascii="Calibri" w:cs="Calibri" w:eastAsia="Calibri" w:hAnsi="Calibri"/>
          <w:b/>
          <w:bCs/>
          <w:color w:val="1B3A4B"/>
        </w:rPr>
        <w:t xml:space="preserve">1. FUNDAMENTACIÓN Y MARCO DOCTRINARIO</w:t>
      </w:r>
    </w:p>
    <w:p>
      <w:pPr>
        <w:pStyle w:val="Heading2"/>
        <w:spacing w:before="220" w:after="120"/>
      </w:pPr>
      <w:r>
        <w:rPr>
          <w:rFonts w:ascii="Calibri" w:cs="Calibri" w:eastAsia="Calibri" w:hAnsi="Calibri"/>
          <w:b/>
          <w:bCs/>
          <w:color w:val="222222"/>
        </w:rPr>
        <w:t xml:space="preserve">1.1 Contexto Estratégico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Cada consulta a Claude, GPT-5.6 o Gemini envía datos a centros extranjeros. El Programa 3 propone lo contrario: el modelo corre en la mano del usuario.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v3.0 especificaba 4–8 GB de RAM y un 7B a 10–15 tok/s. En septiembre de 2026 eso es insuficiente. Los destilados de razonamiento de 2–12B, GGUF Q4 y las NPU de ≥40 TOPS permiten IGA-E a ≥25 tok/s e IGA-S a ≥12 tok/s en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16 GB</w:t>
      </w:r>
      <w:r>
        <w:rPr>
          <w:rFonts w:ascii="Calibri" w:cs="Calibri" w:eastAsia="Calibri" w:hAnsi="Calibri"/>
          <w:sz w:val="22"/>
          <w:szCs w:val="22"/>
        </w:rPr>
        <w:t xml:space="preserve">. El dispositivo v4.0 se dimensiona para ese piso, no para el de 2025.</w:t>
      </w:r>
    </w:p>
    <w:p>
      <w:pPr>
        <w:pStyle w:val="Heading2"/>
        <w:spacing w:before="220" w:after="120"/>
      </w:pPr>
      <w:r>
        <w:rPr>
          <w:rFonts w:ascii="Calibri" w:cs="Calibri" w:eastAsia="Calibri" w:hAnsi="Calibri"/>
          <w:b/>
          <w:bCs/>
          <w:color w:val="222222"/>
        </w:rPr>
        <w:t xml:space="preserve">1.2 Principios Doctrinarios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Soberanía Individual:</w:t>
      </w:r>
      <w:r>
        <w:rPr>
          <w:rFonts w:ascii="Calibri" w:cs="Calibri" w:eastAsia="Calibri" w:hAnsi="Calibri"/>
          <w:sz w:val="22"/>
          <w:szCs w:val="22"/>
        </w:rPr>
        <w:t xml:space="preserve"> El usuario es dueño del aparato, los datos y la IA. 2.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Privacidad por Diseño:</w:t>
      </w:r>
      <w:r>
        <w:rPr>
          <w:rFonts w:ascii="Calibri" w:cs="Calibri" w:eastAsia="Calibri" w:hAnsi="Calibri"/>
          <w:sz w:val="22"/>
          <w:szCs w:val="22"/>
        </w:rPr>
        <w:t xml:space="preserve"> Sesiones efímeras; persistencia solo explícita. 3.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Autonomía Operativa:</w:t>
      </w:r>
      <w:r>
        <w:rPr>
          <w:rFonts w:ascii="Calibri" w:cs="Calibri" w:eastAsia="Calibri" w:hAnsi="Calibri"/>
          <w:sz w:val="22"/>
          <w:szCs w:val="22"/>
        </w:rPr>
        <w:t xml:space="preserve"> 100% offline. Internet es opcional. 4.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Trabajo como Eje:</w:t>
      </w:r>
      <w:r>
        <w:rPr>
          <w:rFonts w:ascii="Calibri" w:cs="Calibri" w:eastAsia="Calibri" w:hAnsi="Calibri"/>
          <w:sz w:val="22"/>
          <w:szCs w:val="22"/>
        </w:rPr>
        <w:t xml:space="preserve"> Escuela-fábrica. 5.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Descentralización Productiva:</w:t>
      </w:r>
      <w:r>
        <w:rPr>
          <w:rFonts w:ascii="Calibri" w:cs="Calibri" w:eastAsia="Calibri" w:hAnsi="Calibri"/>
          <w:sz w:val="22"/>
          <w:szCs w:val="22"/>
        </w:rPr>
        <w:t xml:space="preserve"> Plantas federales.</w:t>
      </w:r>
    </w:p>
    <w:p>
      <w:pPr>
        <w:pStyle w:val="Heading2"/>
        <w:spacing w:before="220" w:after="120"/>
      </w:pPr>
      <w:r>
        <w:rPr>
          <w:rFonts w:ascii="Calibri" w:cs="Calibri" w:eastAsia="Calibri" w:hAnsi="Calibri"/>
          <w:b/>
          <w:bCs/>
          <w:color w:val="222222"/>
        </w:rPr>
        <w:t xml:space="preserve">1.3 Rechazo al Modelo Centralizado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Sin cuenta obligatoria.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Sin sincronización automática.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Sin telemetría.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Sin obsolescencia programada. Diseño modular.</w:t>
      </w:r>
    </w:p>
    <w:p>
      <w:pPr>
        <w:pStyle w:val="Heading2"/>
        <w:spacing w:before="220" w:after="120"/>
      </w:pPr>
      <w:r>
        <w:rPr>
          <w:rFonts w:ascii="Calibri" w:cs="Calibri" w:eastAsia="Calibri" w:hAnsi="Calibri"/>
          <w:b/>
          <w:bCs/>
          <w:color w:val="222222"/>
        </w:rPr>
        <w:t xml:space="preserve">1.4 Población Objetivo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Estudiantes técnicos y universitarios, trabajadores del Estado, investigadores CONICET, ciudadanía general.</w:t>
      </w:r>
    </w:p>
    <w:p>
      <w:pPr>
        <w:pStyle w:val="Heading1"/>
        <w:spacing w:before="320" w:after="120"/>
      </w:pPr>
      <w:r>
        <w:rPr>
          <w:rFonts w:ascii="Calibri" w:cs="Calibri" w:eastAsia="Calibri" w:hAnsi="Calibri"/>
          <w:b/>
          <w:bCs/>
          <w:color w:val="1B3A4B"/>
        </w:rPr>
        <w:t xml:space="preserve">2. OBJETIVOS DEL PROGRAMA</w:t>
      </w:r>
    </w:p>
    <w:p>
      <w:pPr>
        <w:pStyle w:val="Heading2"/>
        <w:spacing w:before="220" w:after="120"/>
      </w:pPr>
      <w:r>
        <w:rPr>
          <w:rFonts w:ascii="Calibri" w:cs="Calibri" w:eastAsia="Calibri" w:hAnsi="Calibri"/>
          <w:b/>
          <w:bCs/>
          <w:color w:val="222222"/>
        </w:rPr>
        <w:t xml:space="preserve">2.1 Objetivo General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Manufacturar dispositivos nacionales que ejecuten IGA-E / IGA-S del Programa 1, con agente local, voz y OCR, sin nube.</w:t>
      </w:r>
    </w:p>
    <w:p>
      <w:pPr>
        <w:pStyle w:val="Heading2"/>
        <w:spacing w:before="220" w:after="120"/>
      </w:pPr>
      <w:r>
        <w:rPr>
          <w:rFonts w:ascii="Calibri" w:cs="Calibri" w:eastAsia="Calibri" w:hAnsi="Calibri"/>
          <w:b/>
          <w:bCs/>
          <w:color w:val="222222"/>
        </w:rPr>
        <w:t xml:space="preserve">2.2 Objetivos Específicos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1. Fase 1: 105.000 unidades (Años 1–3), componentes mixtos. 2. Fase 2: 550.000 unidades (Años 4–5), 80%+ nacional. 3. 35 plantas escuela-fábrica. 4. SKU Estudiante (IGA-E) y SKU Trabajador (IGA-S + RAG local). 5. Verificación offline de credenciales P2. 6. 80%+ de componentes nacionales en Año 5. 7. Retail USD 449–599 (subsidio interno vía exportación). 8. 17.800 empleos directos.</w:t>
      </w:r>
    </w:p>
    <w:p>
      <w:pPr>
        <w:pStyle w:val="Heading1"/>
        <w:spacing w:before="320" w:after="120"/>
      </w:pPr>
      <w:r>
        <w:rPr>
          <w:rFonts w:ascii="Calibri" w:cs="Calibri" w:eastAsia="Calibri" w:hAnsi="Calibri"/>
          <w:b/>
          <w:bCs/>
          <w:color w:val="1B3A4B"/>
        </w:rPr>
        <w:t xml:space="preserve">3. ESPECIFICACIONES TÉCNICAS</w:t>
      </w:r>
    </w:p>
    <w:p>
      <w:pPr>
        <w:pStyle w:val="Heading2"/>
        <w:spacing w:before="220" w:after="120"/>
      </w:pPr>
      <w:r>
        <w:rPr>
          <w:rFonts w:ascii="Calibri" w:cs="Calibri" w:eastAsia="Calibri" w:hAnsi="Calibri"/>
          <w:b/>
          <w:bCs/>
          <w:color w:val="222222"/>
        </w:rPr>
        <w:t xml:space="preserve">3.1 Hardware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1B3A4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Componente</w:t>
            </w:r>
          </w:p>
        </w:tc>
        <w:tc>
          <w:tcPr>
            <w:tcW w:type="dxa" w:w="4819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1B3A4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Especificación v4.0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Pantalla</w:t>
            </w:r>
          </w:p>
        </w:tc>
        <w:tc>
          <w:tcPr>
            <w:tcW w:type="dxa" w:w="4819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Táctil 8–10", mín. 1400×1050, IPS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4F1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Procesador Fase 1</w:t>
            </w:r>
          </w:p>
        </w:tc>
        <w:tc>
          <w:tcPr>
            <w:tcW w:type="dxa" w:w="4819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4F1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SoC ARM importado + NPU ≥40 TOPS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Procesador Fase 2</w:t>
            </w:r>
          </w:p>
        </w:tc>
        <w:tc>
          <w:tcPr>
            <w:tcW w:type="dxa" w:w="4819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CPU/NPU nacional (Plan Electrónico)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4F1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Memoria RAM</w:t>
            </w:r>
          </w:p>
        </w:tc>
        <w:tc>
          <w:tcPr>
            <w:tcW w:type="dxa" w:w="4819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4F1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16 GB LPDDR5X (piso; no 4–8 GB)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Almacenamiento</w:t>
            </w:r>
          </w:p>
        </w:tc>
        <w:tc>
          <w:tcPr>
            <w:tcW w:type="dxa" w:w="4819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256–512 GB UFS/NVMe, expandible microSD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4F1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Teclado</w:t>
            </w:r>
          </w:p>
        </w:tc>
        <w:tc>
          <w:tcPr>
            <w:tcW w:type="dxa" w:w="4819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4F1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Integrado desmontable + USB-C / Bluetooth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Conectividad</w:t>
            </w:r>
          </w:p>
        </w:tc>
        <w:tc>
          <w:tcPr>
            <w:tcW w:type="dxa" w:w="4819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Wi-Fi 6E/7, Bluetooth 5.3, USB-C (×2)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4F1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Batería</w:t>
            </w:r>
          </w:p>
        </w:tc>
        <w:tc>
          <w:tcPr>
            <w:tcW w:type="dxa" w:w="4819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4F1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12–16 h, USB-C PD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Cámara</w:t>
            </w:r>
          </w:p>
        </w:tc>
        <w:tc>
          <w:tcPr>
            <w:tcW w:type="dxa" w:w="4819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Frontal 5 MP, trasera 8 MP (documentos / OCR)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4F1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Audio</w:t>
            </w:r>
          </w:p>
        </w:tc>
        <w:tc>
          <w:tcPr>
            <w:tcW w:type="dxa" w:w="4819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4F1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Micrófono dual ANC, altavoces estéreo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Chasis</w:t>
            </w:r>
          </w:p>
        </w:tc>
        <w:tc>
          <w:tcPr>
            <w:tcW w:type="dxa" w:w="4819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Nacional, modular, reparable</w:t>
            </w:r>
          </w:p>
        </w:tc>
      </w:tr>
    </w:tbl>
    <w:p>
      <w:pPr>
        <w:spacing w:after="200"/>
      </w:pPr>
    </w:p>
    <w:p>
      <w:pPr>
        <w:pStyle w:val="Heading2"/>
        <w:spacing w:before="220" w:after="120"/>
      </w:pPr>
      <w:r>
        <w:rPr>
          <w:rFonts w:ascii="Calibri" w:cs="Calibri" w:eastAsia="Calibri" w:hAnsi="Calibri"/>
          <w:b/>
          <w:bCs/>
          <w:color w:val="222222"/>
        </w:rPr>
        <w:t xml:space="preserve">3.2 Software</w:t>
      </w:r>
    </w:p>
    <w:p>
      <w:pPr>
        <w:pStyle w:val="Heading3"/>
        <w:spacing w:before="220" w:after="120"/>
      </w:pPr>
      <w:r>
        <w:rPr>
          <w:rFonts w:ascii="Calibri" w:cs="Calibri" w:eastAsia="Calibri" w:hAnsi="Calibri"/>
          <w:b/>
          <w:bCs/>
          <w:color w:val="222222"/>
        </w:rPr>
        <w:t xml:space="preserve">3.2.1 Sistema Operativo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Distribución Linux argentina (Debian/Ubuntu). Escritorio liviano táctil. Español argentino por defecto; lenguas originarias. Actualizaciones opcionales, nunca forzadas.</w:t>
      </w:r>
    </w:p>
    <w:p>
      <w:pPr>
        <w:pStyle w:val="Heading3"/>
        <w:spacing w:before="220" w:after="120"/>
      </w:pPr>
      <w:r>
        <w:rPr>
          <w:rFonts w:ascii="Calibri" w:cs="Calibri" w:eastAsia="Calibri" w:hAnsi="Calibri"/>
          <w:b/>
          <w:bCs/>
          <w:color w:val="222222"/>
        </w:rPr>
        <w:t xml:space="preserve">3.2.2 Pila de IA (septiembre 2026)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Runtime:</w:t>
      </w:r>
      <w:r>
        <w:rPr>
          <w:rFonts w:ascii="Calibri" w:cs="Calibri" w:eastAsia="Calibri" w:hAnsi="Calibri"/>
          <w:sz w:val="22"/>
          <w:szCs w:val="22"/>
        </w:rPr>
        <w:t xml:space="preserve"> llama.cpp / GGUF + ONNX Runtime para NPU.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Modelos:</w:t>
      </w:r>
      <w:r>
        <w:rPr>
          <w:rFonts w:ascii="Calibri" w:cs="Calibri" w:eastAsia="Calibri" w:hAnsi="Calibri"/>
          <w:sz w:val="22"/>
          <w:szCs w:val="22"/>
        </w:rPr>
        <w:t xml:space="preserve"> IGA-E-Q (Estudiante), IGA-S-Q (Trabajador).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Metas:</w:t>
      </w:r>
      <w:r>
        <w:rPr>
          <w:rFonts w:ascii="Calibri" w:cs="Calibri" w:eastAsia="Calibri" w:hAnsi="Calibri"/>
          <w:sz w:val="22"/>
          <w:szCs w:val="22"/>
        </w:rPr>
        <w:t xml:space="preserve"> IGA-E ≥25 tok/s; IGA-S ≥12 tok/s.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Voz y OCR:</w:t>
      </w:r>
      <w:r>
        <w:rPr>
          <w:rFonts w:ascii="Calibri" w:cs="Calibri" w:eastAsia="Calibri" w:hAnsi="Calibri"/>
          <w:sz w:val="22"/>
          <w:szCs w:val="22"/>
        </w:rPr>
        <w:t xml:space="preserve"> Nativos desde el Año 1 (no “Fase 2 visión”).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Agente local:</w:t>
      </w:r>
      <w:r>
        <w:rPr>
          <w:rFonts w:ascii="Calibri" w:cs="Calibri" w:eastAsia="Calibri" w:hAnsi="Calibri"/>
          <w:sz w:val="22"/>
          <w:szCs w:val="22"/>
        </w:rPr>
        <w:t xml:space="preserve"> Archivos del usuario, calculadora, RAG sobre carpeta elegida, verificación de firmas P2. Sin red.</w:t>
      </w:r>
    </w:p>
    <w:p>
      <w:pPr>
        <w:pStyle w:val="Heading3"/>
        <w:spacing w:before="220" w:after="120"/>
      </w:pPr>
      <w:r>
        <w:rPr>
          <w:rFonts w:ascii="Calibri" w:cs="Calibri" w:eastAsia="Calibri" w:hAnsi="Calibri"/>
          <w:b/>
          <w:bCs/>
          <w:color w:val="222222"/>
        </w:rPr>
        <w:t xml:space="preserve">3.2.3 Interfaz Web Local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Servidor en http://dispositivo.local:8080. El procesamiento no sale de la LAN.</w:t>
      </w:r>
    </w:p>
    <w:p>
      <w:pPr>
        <w:pStyle w:val="Heading2"/>
        <w:spacing w:before="220" w:after="120"/>
      </w:pPr>
      <w:r>
        <w:rPr>
          <w:rFonts w:ascii="Calibri" w:cs="Calibri" w:eastAsia="Calibri" w:hAnsi="Calibri"/>
          <w:b/>
          <w:bCs/>
          <w:color w:val="222222"/>
        </w:rPr>
        <w:t xml:space="preserve">3.3 Dos SKU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rPr>
          <w:tblHeader/>
        </w:trPr>
        <w:tc>
          <w:tcPr>
            <w:tcW w:type="dxa" w:w="3212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1B3A4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type="dxa" w:w="3212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1B3A4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Estudiante</w:t>
            </w:r>
          </w:p>
        </w:tc>
        <w:tc>
          <w:tcPr>
            <w:tcW w:type="dxa" w:w="3214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1B3A4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Trabajador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Modelo</w:t>
            </w:r>
          </w:p>
        </w:tc>
        <w:tc>
          <w:tcPr>
            <w:tcW w:type="dxa" w:w="3212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IGA-E-Q</w:t>
            </w:r>
          </w:p>
        </w:tc>
        <w:tc>
          <w:tcPr>
            <w:tcW w:type="dxa" w:w="3214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IGA-S-Q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4F1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RAM / NPU</w:t>
            </w:r>
          </w:p>
        </w:tc>
        <w:tc>
          <w:tcPr>
            <w:tcW w:type="dxa" w:w="3212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4F1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16 GB / ≥40 TOPS</w:t>
            </w:r>
          </w:p>
        </w:tc>
        <w:tc>
          <w:tcPr>
            <w:tcW w:type="dxa" w:w="3214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4F1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16 GB / ≥40 TOPS (misma placa; más peso de modelo)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RAG local</w:t>
            </w:r>
          </w:p>
        </w:tc>
        <w:tc>
          <w:tcPr>
            <w:tcW w:type="dxa" w:w="3212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Opcional</w:t>
            </w:r>
          </w:p>
        </w:tc>
        <w:tc>
          <w:tcPr>
            <w:tcW w:type="dxa" w:w="3214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Predeterminado (carpeta de trabajo)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4F1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Destino</w:t>
            </w:r>
          </w:p>
        </w:tc>
        <w:tc>
          <w:tcPr>
            <w:tcW w:type="dxa" w:w="3212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4F1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Escuelas técnicas, UN</w:t>
            </w:r>
          </w:p>
        </w:tc>
        <w:tc>
          <w:tcPr>
            <w:tcW w:type="dxa" w:w="3214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4F1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Estado, CONICET, PyME, oficios</w:t>
            </w:r>
          </w:p>
        </w:tc>
      </w:tr>
    </w:tbl>
    <w:p>
      <w:pPr>
        <w:spacing w:after="200"/>
      </w:pPr>
    </w:p>
    <w:p>
      <w:pPr>
        <w:pStyle w:val="Heading1"/>
        <w:spacing w:before="320" w:after="120"/>
      </w:pPr>
      <w:r>
        <w:rPr>
          <w:rFonts w:ascii="Calibri" w:cs="Calibri" w:eastAsia="Calibri" w:hAnsi="Calibri"/>
          <w:b/>
          <w:bCs/>
          <w:color w:val="1B3A4B"/>
        </w:rPr>
        <w:t xml:space="preserve">4. ARQUITECTURA DE PRIVACIDAD</w:t>
      </w:r>
    </w:p>
    <w:p>
      <w:pPr>
        <w:pStyle w:val="Heading2"/>
        <w:spacing w:before="220" w:after="120"/>
      </w:pPr>
      <w:r>
        <w:rPr>
          <w:rFonts w:ascii="Calibri" w:cs="Calibri" w:eastAsia="Calibri" w:hAnsi="Calibri"/>
          <w:b/>
          <w:bCs/>
          <w:color w:val="222222"/>
        </w:rPr>
        <w:t xml:space="preserve">4.1 Cero Memoria Automática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Sesiones efímeras. Sin historial. Si se pierde el aparato, no hay conversaciones extraíbles.</w:t>
      </w:r>
    </w:p>
    <w:p>
      <w:pPr>
        <w:pStyle w:val="Heading2"/>
        <w:spacing w:before="220" w:after="120"/>
      </w:pPr>
      <w:r>
        <w:rPr>
          <w:rFonts w:ascii="Calibri" w:cs="Calibri" w:eastAsia="Calibri" w:hAnsi="Calibri"/>
          <w:b/>
          <w:bCs/>
          <w:color w:val="222222"/>
        </w:rPr>
        <w:t xml:space="preserve">4.2 Preámbulo Configurable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Nombre de la IA, valores, atributos del usuario, tono, especialidades. Sugerencias que exigen confirmación explícita. El preámbulo nunca se sincroniza a un servidor.</w:t>
      </w:r>
    </w:p>
    <w:p>
      <w:pPr>
        <w:pStyle w:val="Heading2"/>
        <w:spacing w:before="220" w:after="120"/>
      </w:pPr>
      <w:r>
        <w:rPr>
          <w:rFonts w:ascii="Calibri" w:cs="Calibri" w:eastAsia="Calibri" w:hAnsi="Calibri"/>
          <w:b/>
          <w:bCs/>
          <w:color w:val="222222"/>
        </w:rPr>
        <w:t xml:space="preserve">4.3 Seguridad ante Pérdida o Robo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1B3A4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Escenario</w:t>
            </w:r>
          </w:p>
        </w:tc>
        <w:tc>
          <w:tcPr>
            <w:tcW w:type="dxa" w:w="4819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1B3A4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Protección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Pérdida</w:t>
            </w:r>
          </w:p>
        </w:tc>
        <w:tc>
          <w:tcPr>
            <w:tcW w:type="dxa" w:w="4819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Conversaciones ya borradas; solo Preámbulo si fue guardado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4F1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Robo</w:t>
            </w:r>
          </w:p>
        </w:tc>
        <w:tc>
          <w:tcPr>
            <w:tcW w:type="dxa" w:w="4819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4F1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Sin historial; cifrado AES-256 de lo persistido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Red</w:t>
            </w:r>
          </w:p>
        </w:tc>
        <w:tc>
          <w:tcPr>
            <w:tcW w:type="dxa" w:w="4819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Procesamiento local; cero telemetría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4F1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Backup</w:t>
            </w:r>
          </w:p>
        </w:tc>
        <w:tc>
          <w:tcPr>
            <w:tcW w:type="dxa" w:w="4819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4F1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No hay backup automático</w:t>
            </w:r>
          </w:p>
        </w:tc>
      </w:tr>
    </w:tbl>
    <w:p>
      <w:pPr>
        <w:spacing w:after="200"/>
      </w:pPr>
    </w:p>
    <w:p>
      <w:pPr>
        <w:spacing w:after="14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Borrado seguro al cerrar sesión. Borrado remoto opcional, definido por el usuario.</w:t>
      </w:r>
    </w:p>
    <w:p>
      <w:pPr>
        <w:pStyle w:val="Heading1"/>
        <w:spacing w:before="320" w:after="120"/>
      </w:pPr>
      <w:r>
        <w:rPr>
          <w:rFonts w:ascii="Calibri" w:cs="Calibri" w:eastAsia="Calibri" w:hAnsi="Calibri"/>
          <w:b/>
          <w:bCs/>
          <w:color w:val="1B3A4B"/>
        </w:rPr>
        <w:t xml:space="preserve">5. MODELO ESCUELA-FÁBRICA</w:t>
      </w:r>
    </w:p>
    <w:p>
      <w:pPr>
        <w:pStyle w:val="Heading2"/>
        <w:spacing w:before="220" w:after="120"/>
      </w:pPr>
      <w:r>
        <w:rPr>
          <w:rFonts w:ascii="Calibri" w:cs="Calibri" w:eastAsia="Calibri" w:hAnsi="Calibri"/>
          <w:b/>
          <w:bCs/>
          <w:color w:val="222222"/>
        </w:rPr>
        <w:t xml:space="preserve">5.1 Concepto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Plantas dentro de escuelas técnicas, UTN y centros de formación. El estudiante produce y se forma.</w:t>
      </w:r>
    </w:p>
    <w:p>
      <w:pPr>
        <w:pStyle w:val="Heading2"/>
        <w:spacing w:before="220" w:after="120"/>
      </w:pPr>
      <w:r>
        <w:rPr>
          <w:rFonts w:ascii="Calibri" w:cs="Calibri" w:eastAsia="Calibri" w:hAnsi="Calibri"/>
          <w:b/>
          <w:bCs/>
          <w:color w:val="222222"/>
        </w:rPr>
        <w:t xml:space="preserve">5.2 Infraestructura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Fase 1 (Años 1–3):</w:t>
      </w:r>
      <w:r>
        <w:rPr>
          <w:rFonts w:ascii="Calibri" w:cs="Calibri" w:eastAsia="Calibri" w:hAnsi="Calibri"/>
          <w:sz w:val="22"/>
          <w:szCs w:val="22"/>
        </w:rPr>
        <w:t xml:space="preserve"> 12 escuelas + 1 UTN; PBA, Córdoba, Santa Fe.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Fase 2 (Años 4–5, con horizonte a 8):</w:t>
      </w:r>
      <w:r>
        <w:rPr>
          <w:rFonts w:ascii="Calibri" w:cs="Calibri" w:eastAsia="Calibri" w:hAnsi="Calibri"/>
          <w:sz w:val="22"/>
          <w:szCs w:val="22"/>
        </w:rPr>
        <w:t xml:space="preserve"> 25 escuelas + 3 UTN + 7 CFP en Cuyo, NOA, Patagonia = 35 plantas.</w:t>
      </w:r>
    </w:p>
    <w:p>
      <w:pPr>
        <w:pStyle w:val="Heading2"/>
        <w:spacing w:before="220" w:after="120"/>
      </w:pPr>
      <w:r>
        <w:rPr>
          <w:rFonts w:ascii="Calibri" w:cs="Calibri" w:eastAsia="Calibri" w:hAnsi="Calibri"/>
          <w:b/>
          <w:bCs/>
          <w:color w:val="222222"/>
        </w:rPr>
        <w:t xml:space="preserve">5.3 Beneficios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Formación práctica, inserción, descentralización, desarrollo regional, cultura productiva.</w:t>
      </w:r>
    </w:p>
    <w:p>
      <w:pPr>
        <w:pStyle w:val="Heading1"/>
        <w:spacing w:before="320" w:after="120"/>
      </w:pPr>
      <w:r>
        <w:rPr>
          <w:rFonts w:ascii="Calibri" w:cs="Calibri" w:eastAsia="Calibri" w:hAnsi="Calibri"/>
          <w:b/>
          <w:bCs/>
          <w:color w:val="1B3A4B"/>
        </w:rPr>
        <w:t xml:space="preserve">6. FASES DE PRODUCCIÓN Y COMPONENTES</w:t>
      </w:r>
    </w:p>
    <w:p>
      <w:pPr>
        <w:pStyle w:val="Heading2"/>
        <w:spacing w:before="220" w:after="120"/>
      </w:pPr>
      <w:r>
        <w:rPr>
          <w:rFonts w:ascii="Calibri" w:cs="Calibri" w:eastAsia="Calibri" w:hAnsi="Calibri"/>
          <w:b/>
          <w:bCs/>
          <w:color w:val="222222"/>
        </w:rPr>
        <w:t xml:space="preserve">6.1 Fase 1 (Años 1-3)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rPr>
          <w:tblHeader/>
        </w:trPr>
        <w:tc>
          <w:tcPr>
            <w:tcW w:type="dxa" w:w="2409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1B3A4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Componente</w:t>
            </w:r>
          </w:p>
        </w:tc>
        <w:tc>
          <w:tcPr>
            <w:tcW w:type="dxa" w:w="2409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1B3A4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Inversión/Año</w:t>
            </w:r>
          </w:p>
        </w:tc>
        <w:tc>
          <w:tcPr>
            <w:tcW w:type="dxa" w:w="2409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1B3A4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Origen</w:t>
            </w:r>
          </w:p>
        </w:tc>
        <w:tc>
          <w:tcPr>
            <w:tcW w:type="dxa" w:w="2411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1B3A4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Empleo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SoC ARM + NPU ≥40 TOPS</w:t>
            </w:r>
          </w:p>
        </w:tc>
        <w:tc>
          <w:tcPr>
            <w:tcW w:type="dxa" w:w="2409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USD 22M</w:t>
            </w:r>
          </w:p>
        </w:tc>
        <w:tc>
          <w:tcPr>
            <w:tcW w:type="dxa" w:w="2409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Importado</w:t>
            </w:r>
          </w:p>
        </w:tc>
        <w:tc>
          <w:tcPr>
            <w:tcW w:type="dxa" w:w="2411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850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4F1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Memoria RAM 16 GB</w:t>
            </w:r>
          </w:p>
        </w:tc>
        <w:tc>
          <w:tcPr>
            <w:tcW w:type="dxa" w:w="2409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4F1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USD 16M</w:t>
            </w:r>
          </w:p>
        </w:tc>
        <w:tc>
          <w:tcPr>
            <w:tcW w:type="dxa" w:w="2409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4F1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Importado</w:t>
            </w:r>
          </w:p>
        </w:tc>
        <w:tc>
          <w:tcPr>
            <w:tcW w:type="dxa" w:w="2411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4F1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580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Almacenamiento 256–512 GB</w:t>
            </w:r>
          </w:p>
        </w:tc>
        <w:tc>
          <w:tcPr>
            <w:tcW w:type="dxa" w:w="2409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USD 16M</w:t>
            </w:r>
          </w:p>
        </w:tc>
        <w:tc>
          <w:tcPr>
            <w:tcW w:type="dxa" w:w="2409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Importado</w:t>
            </w:r>
          </w:p>
        </w:tc>
        <w:tc>
          <w:tcPr>
            <w:tcW w:type="dxa" w:w="2411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650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4F1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Display táctil</w:t>
            </w:r>
          </w:p>
        </w:tc>
        <w:tc>
          <w:tcPr>
            <w:tcW w:type="dxa" w:w="2409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4F1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USD 24M</w:t>
            </w:r>
          </w:p>
        </w:tc>
        <w:tc>
          <w:tcPr>
            <w:tcW w:type="dxa" w:w="2409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4F1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Importado</w:t>
            </w:r>
          </w:p>
        </w:tc>
        <w:tc>
          <w:tcPr>
            <w:tcW w:type="dxa" w:w="2411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4F1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1.072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Teclado + periféricos</w:t>
            </w:r>
          </w:p>
        </w:tc>
        <w:tc>
          <w:tcPr>
            <w:tcW w:type="dxa" w:w="2409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USD 12M</w:t>
            </w:r>
          </w:p>
        </w:tc>
        <w:tc>
          <w:tcPr>
            <w:tcW w:type="dxa" w:w="2409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Nacional</w:t>
            </w:r>
          </w:p>
        </w:tc>
        <w:tc>
          <w:tcPr>
            <w:tcW w:type="dxa" w:w="2411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535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4F1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Batería</w:t>
            </w:r>
          </w:p>
        </w:tc>
        <w:tc>
          <w:tcPr>
            <w:tcW w:type="dxa" w:w="2409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4F1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USD 10M</w:t>
            </w:r>
          </w:p>
        </w:tc>
        <w:tc>
          <w:tcPr>
            <w:tcW w:type="dxa" w:w="2409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4F1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Nacional</w:t>
            </w:r>
          </w:p>
        </w:tc>
        <w:tc>
          <w:tcPr>
            <w:tcW w:type="dxa" w:w="2411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4F1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447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Conectividad (Wi-Fi 6E/7)</w:t>
            </w:r>
          </w:p>
        </w:tc>
        <w:tc>
          <w:tcPr>
            <w:tcW w:type="dxa" w:w="2409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USD 8M</w:t>
            </w:r>
          </w:p>
        </w:tc>
        <w:tc>
          <w:tcPr>
            <w:tcW w:type="dxa" w:w="2409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Importado</w:t>
            </w:r>
          </w:p>
        </w:tc>
        <w:tc>
          <w:tcPr>
            <w:tcW w:type="dxa" w:w="2411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357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4F1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Chasis/Estructura</w:t>
            </w:r>
          </w:p>
        </w:tc>
        <w:tc>
          <w:tcPr>
            <w:tcW w:type="dxa" w:w="2409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4F1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USD 8M</w:t>
            </w:r>
          </w:p>
        </w:tc>
        <w:tc>
          <w:tcPr>
            <w:tcW w:type="dxa" w:w="2409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4F1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Nacional</w:t>
            </w:r>
          </w:p>
        </w:tc>
        <w:tc>
          <w:tcPr>
            <w:tcW w:type="dxa" w:w="2411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4F1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357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Software (SO, GGUF, ONNX, agente)</w:t>
            </w:r>
          </w:p>
        </w:tc>
        <w:tc>
          <w:tcPr>
            <w:tcW w:type="dxa" w:w="2409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USD 16M</w:t>
            </w:r>
          </w:p>
        </w:tc>
        <w:tc>
          <w:tcPr>
            <w:tcW w:type="dxa" w:w="2409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Nacional</w:t>
            </w:r>
          </w:p>
        </w:tc>
        <w:tc>
          <w:tcPr>
            <w:tcW w:type="dxa" w:w="2411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680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4F1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Ensamblado y QA</w:t>
            </w:r>
          </w:p>
        </w:tc>
        <w:tc>
          <w:tcPr>
            <w:tcW w:type="dxa" w:w="2409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4F1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USD 13M</w:t>
            </w:r>
          </w:p>
        </w:tc>
        <w:tc>
          <w:tcPr>
            <w:tcW w:type="dxa" w:w="2409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4F1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Nacional</w:t>
            </w:r>
          </w:p>
        </w:tc>
        <w:tc>
          <w:tcPr>
            <w:tcW w:type="dxa" w:w="2411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4F1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560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TOTAL FASE 1 (por año)</w:t>
            </w:r>
          </w:p>
        </w:tc>
        <w:tc>
          <w:tcPr>
            <w:tcW w:type="dxa" w:w="2409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USD 145M</w:t>
            </w:r>
          </w:p>
        </w:tc>
        <w:tc>
          <w:tcPr>
            <w:tcW w:type="dxa" w:w="2409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Mixto</w:t>
            </w:r>
          </w:p>
        </w:tc>
        <w:tc>
          <w:tcPr>
            <w:tcW w:type="dxa" w:w="2411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6.088</w:t>
            </w:r>
          </w:p>
        </w:tc>
      </w:tr>
    </w:tbl>
    <w:p>
      <w:pPr>
        <w:spacing w:after="200"/>
      </w:pPr>
    </w:p>
    <w:p>
      <w:pPr>
        <w:spacing w:after="14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*Producción Fase 1: 20.000 + 35.000 + 50.000 = 105.000*</w:t>
      </w:r>
    </w:p>
    <w:p>
      <w:pPr>
        <w:pStyle w:val="Heading2"/>
        <w:spacing w:before="220" w:after="120"/>
      </w:pPr>
      <w:r>
        <w:rPr>
          <w:rFonts w:ascii="Calibri" w:cs="Calibri" w:eastAsia="Calibri" w:hAnsi="Calibri"/>
          <w:b/>
          <w:bCs/>
          <w:color w:val="222222"/>
        </w:rPr>
        <w:t xml:space="preserve">6.2 Fase 2 (Años 4-5)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rPr>
          <w:tblHeader/>
        </w:trPr>
        <w:tc>
          <w:tcPr>
            <w:tcW w:type="dxa" w:w="2409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1B3A4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Componente</w:t>
            </w:r>
          </w:p>
        </w:tc>
        <w:tc>
          <w:tcPr>
            <w:tcW w:type="dxa" w:w="2409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1B3A4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Inversión/Año</w:t>
            </w:r>
          </w:p>
        </w:tc>
        <w:tc>
          <w:tcPr>
            <w:tcW w:type="dxa" w:w="2409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1B3A4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Origen</w:t>
            </w:r>
          </w:p>
        </w:tc>
        <w:tc>
          <w:tcPr>
            <w:tcW w:type="dxa" w:w="2411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1B3A4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Empleo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Placa base nacional</w:t>
            </w:r>
          </w:p>
        </w:tc>
        <w:tc>
          <w:tcPr>
            <w:tcW w:type="dxa" w:w="2409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USD 18M</w:t>
            </w:r>
          </w:p>
        </w:tc>
        <w:tc>
          <w:tcPr>
            <w:tcW w:type="dxa" w:w="2409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Nacional</w:t>
            </w:r>
          </w:p>
        </w:tc>
        <w:tc>
          <w:tcPr>
            <w:tcW w:type="dxa" w:w="2411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750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4F1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CPU/NPU nacional</w:t>
            </w:r>
          </w:p>
        </w:tc>
        <w:tc>
          <w:tcPr>
            <w:tcW w:type="dxa" w:w="2409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4F1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USD 22M</w:t>
            </w:r>
          </w:p>
        </w:tc>
        <w:tc>
          <w:tcPr>
            <w:tcW w:type="dxa" w:w="2409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4F1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Nacional</w:t>
            </w:r>
          </w:p>
        </w:tc>
        <w:tc>
          <w:tcPr>
            <w:tcW w:type="dxa" w:w="2411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4F1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880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Memoria RAM nacional</w:t>
            </w:r>
          </w:p>
        </w:tc>
        <w:tc>
          <w:tcPr>
            <w:tcW w:type="dxa" w:w="2409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USD 14M</w:t>
            </w:r>
          </w:p>
        </w:tc>
        <w:tc>
          <w:tcPr>
            <w:tcW w:type="dxa" w:w="2409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Nacional</w:t>
            </w:r>
          </w:p>
        </w:tc>
        <w:tc>
          <w:tcPr>
            <w:tcW w:type="dxa" w:w="2411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560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4F1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Almacenamiento nacional</w:t>
            </w:r>
          </w:p>
        </w:tc>
        <w:tc>
          <w:tcPr>
            <w:tcW w:type="dxa" w:w="2409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4F1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USD 16M</w:t>
            </w:r>
          </w:p>
        </w:tc>
        <w:tc>
          <w:tcPr>
            <w:tcW w:type="dxa" w:w="2409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4F1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Nacional</w:t>
            </w:r>
          </w:p>
        </w:tc>
        <w:tc>
          <w:tcPr>
            <w:tcW w:type="dxa" w:w="2411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4F1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650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Display táctil nacional</w:t>
            </w:r>
          </w:p>
        </w:tc>
        <w:tc>
          <w:tcPr>
            <w:tcW w:type="dxa" w:w="2409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USD 24M</w:t>
            </w:r>
          </w:p>
        </w:tc>
        <w:tc>
          <w:tcPr>
            <w:tcW w:type="dxa" w:w="2409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Nacional</w:t>
            </w:r>
          </w:p>
        </w:tc>
        <w:tc>
          <w:tcPr>
            <w:tcW w:type="dxa" w:w="2411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1.072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4F1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Resto componentes nacionales</w:t>
            </w:r>
          </w:p>
        </w:tc>
        <w:tc>
          <w:tcPr>
            <w:tcW w:type="dxa" w:w="2409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4F1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USD 50M</w:t>
            </w:r>
          </w:p>
        </w:tc>
        <w:tc>
          <w:tcPr>
            <w:tcW w:type="dxa" w:w="2409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4F1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Nacional</w:t>
            </w:r>
          </w:p>
        </w:tc>
        <w:tc>
          <w:tcPr>
            <w:tcW w:type="dxa" w:w="2411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4F1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2.100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Software + modelos IGA-E/S</w:t>
            </w:r>
          </w:p>
        </w:tc>
        <w:tc>
          <w:tcPr>
            <w:tcW w:type="dxa" w:w="2409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USD 20M</w:t>
            </w:r>
          </w:p>
        </w:tc>
        <w:tc>
          <w:tcPr>
            <w:tcW w:type="dxa" w:w="2409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Nacional</w:t>
            </w:r>
          </w:p>
        </w:tc>
        <w:tc>
          <w:tcPr>
            <w:tcW w:type="dxa" w:w="2411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800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4F1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Ensamblado y QA</w:t>
            </w:r>
          </w:p>
        </w:tc>
        <w:tc>
          <w:tcPr>
            <w:tcW w:type="dxa" w:w="2409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4F1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USD 16M</w:t>
            </w:r>
          </w:p>
        </w:tc>
        <w:tc>
          <w:tcPr>
            <w:tcW w:type="dxa" w:w="2409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4F1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Nacional</w:t>
            </w:r>
          </w:p>
        </w:tc>
        <w:tc>
          <w:tcPr>
            <w:tcW w:type="dxa" w:w="2411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4F1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680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TOTAL FASE 2 (por año)</w:t>
            </w:r>
          </w:p>
        </w:tc>
        <w:tc>
          <w:tcPr>
            <w:tcW w:type="dxa" w:w="2409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USD 180M</w:t>
            </w:r>
          </w:p>
        </w:tc>
        <w:tc>
          <w:tcPr>
            <w:tcW w:type="dxa" w:w="2409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80%+ Nac.</w:t>
            </w:r>
          </w:p>
        </w:tc>
        <w:tc>
          <w:tcPr>
            <w:tcW w:type="dxa" w:w="2411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7.492</w:t>
            </w:r>
          </w:p>
        </w:tc>
      </w:tr>
    </w:tbl>
    <w:p>
      <w:pPr>
        <w:spacing w:after="200"/>
      </w:pPr>
    </w:p>
    <w:p>
      <w:pPr>
        <w:spacing w:after="14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*Producción Fase 2: 150.000 + 400.000 = 550.000*</w:t>
      </w:r>
    </w:p>
    <w:p>
      <w:pPr>
        <w:pStyle w:val="Heading1"/>
        <w:spacing w:before="320" w:after="120"/>
      </w:pPr>
      <w:r>
        <w:rPr>
          <w:rFonts w:ascii="Calibri" w:cs="Calibri" w:eastAsia="Calibri" w:hAnsi="Calibri"/>
          <w:b/>
          <w:bCs/>
          <w:color w:val="1B3A4B"/>
        </w:rPr>
        <w:t xml:space="preserve">7. PRECIOS Y MERCADO</w:t>
      </w:r>
    </w:p>
    <w:p>
      <w:pPr>
        <w:pStyle w:val="Heading2"/>
        <w:spacing w:before="220" w:after="120"/>
      </w:pPr>
      <w:r>
        <w:rPr>
          <w:rFonts w:ascii="Calibri" w:cs="Calibri" w:eastAsia="Calibri" w:hAnsi="Calibri"/>
          <w:b/>
          <w:bCs/>
          <w:color w:val="222222"/>
        </w:rPr>
        <w:t xml:space="preserve">7.1 Costos y Precios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rPr>
          <w:tblHeader/>
        </w:trPr>
        <w:tc>
          <w:tcPr>
            <w:tcW w:type="dxa" w:w="2409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1B3A4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Fase</w:t>
            </w:r>
          </w:p>
        </w:tc>
        <w:tc>
          <w:tcPr>
            <w:tcW w:type="dxa" w:w="2409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1B3A4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BOM Unitario</w:t>
            </w:r>
          </w:p>
        </w:tc>
        <w:tc>
          <w:tcPr>
            <w:tcW w:type="dxa" w:w="2409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1B3A4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Precio Retail</w:t>
            </w:r>
          </w:p>
        </w:tc>
        <w:tc>
          <w:tcPr>
            <w:tcW w:type="dxa" w:w="2411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1B3A4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Estrategia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Fase 1</w:t>
            </w:r>
          </w:p>
        </w:tc>
        <w:tc>
          <w:tcPr>
            <w:tcW w:type="dxa" w:w="2409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USD 240–280</w:t>
            </w:r>
          </w:p>
        </w:tc>
        <w:tc>
          <w:tcPr>
            <w:tcW w:type="dxa" w:w="2409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USD 449–529</w:t>
            </w:r>
          </w:p>
        </w:tc>
        <w:tc>
          <w:tcPr>
            <w:tcW w:type="dxa" w:w="2411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Introducción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4F1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Fase 2</w:t>
            </w:r>
          </w:p>
        </w:tc>
        <w:tc>
          <w:tcPr>
            <w:tcW w:type="dxa" w:w="2409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4F1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USD 280–330</w:t>
            </w:r>
          </w:p>
        </w:tc>
        <w:tc>
          <w:tcPr>
            <w:tcW w:type="dxa" w:w="2409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4F1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USD 529–599</w:t>
            </w:r>
          </w:p>
        </w:tc>
        <w:tc>
          <w:tcPr>
            <w:tcW w:type="dxa" w:w="2411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4F1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NPU/RAM nacionales</w:t>
            </w:r>
          </w:p>
        </w:tc>
      </w:tr>
    </w:tbl>
    <w:p>
      <w:pPr>
        <w:spacing w:after="200"/>
      </w:pPr>
    </w:p>
    <w:p>
      <w:pPr>
        <w:spacing w:after="14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El alza de BOM respecto de v3.0 (USD 210–300) cubre 16 GB y NPU. El retail se mantiene accesible por subsidio cruzado de exportación.</w:t>
      </w:r>
    </w:p>
    <w:p>
      <w:pPr>
        <w:pStyle w:val="Heading2"/>
        <w:spacing w:before="220" w:after="120"/>
      </w:pPr>
      <w:r>
        <w:rPr>
          <w:rFonts w:ascii="Calibri" w:cs="Calibri" w:eastAsia="Calibri" w:hAnsi="Calibri"/>
          <w:b/>
          <w:bCs/>
          <w:color w:val="222222"/>
        </w:rPr>
        <w:t xml:space="preserve">7.2 Demanda Inicial (Años 1-3)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Escuelas técnicas 15.000; universidades 8.000; investigación 5.000; sector público piloto 10.000; resto venta al público.</w:t>
      </w:r>
    </w:p>
    <w:p>
      <w:pPr>
        <w:pStyle w:val="Heading2"/>
        <w:spacing w:before="220" w:after="120"/>
      </w:pPr>
      <w:r>
        <w:rPr>
          <w:rFonts w:ascii="Calibri" w:cs="Calibri" w:eastAsia="Calibri" w:hAnsi="Calibri"/>
          <w:b/>
          <w:bCs/>
          <w:color w:val="222222"/>
        </w:rPr>
        <w:t xml:space="preserve">7.3 Exportación Regional (Año 4+)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MERCOSUR y UNASUR. Ventaja: IA en español latinoamericano, offline, agente local, precio de franja media.</w:t>
      </w:r>
    </w:p>
    <w:p>
      <w:pPr>
        <w:pStyle w:val="Heading1"/>
        <w:spacing w:before="320" w:after="120"/>
      </w:pPr>
      <w:r>
        <w:rPr>
          <w:rFonts w:ascii="Calibri" w:cs="Calibri" w:eastAsia="Calibri" w:hAnsi="Calibri"/>
          <w:b/>
          <w:bCs/>
          <w:color w:val="1B3A4B"/>
        </w:rPr>
        <w:t xml:space="preserve">8. CRONOGRAMA DETALLADO</w:t>
      </w:r>
    </w:p>
    <w:p>
      <w:pPr>
        <w:pStyle w:val="Heading2"/>
        <w:spacing w:before="220" w:after="120"/>
      </w:pPr>
      <w:r>
        <w:rPr>
          <w:rFonts w:ascii="Calibri" w:cs="Calibri" w:eastAsia="Calibri" w:hAnsi="Calibri"/>
          <w:b/>
          <w:bCs/>
          <w:color w:val="222222"/>
        </w:rPr>
        <w:t xml:space="preserve">8.1 Año 1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Meses 1–4: diseño y licitación (NPU, 16 GB). Meses 5–9: 12 plantas, instructores. Meses 10–12: 20.000 unidades, IGA-E-Q.</w:t>
      </w:r>
    </w:p>
    <w:p>
      <w:pPr>
        <w:pStyle w:val="Heading2"/>
        <w:spacing w:before="220" w:after="120"/>
      </w:pPr>
      <w:r>
        <w:rPr>
          <w:rFonts w:ascii="Calibri" w:cs="Calibri" w:eastAsia="Calibri" w:hAnsi="Calibri"/>
          <w:b/>
          <w:bCs/>
          <w:color w:val="222222"/>
        </w:rPr>
        <w:t xml:space="preserve">8.2 Años 2-3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Año 2: 35.000, IGA-S-Q en SKU Trabajador, voz/OCR. Año 3: 50.000, venta pública, credenciales P2 offline.</w:t>
      </w:r>
    </w:p>
    <w:p>
      <w:pPr>
        <w:pStyle w:val="Heading2"/>
        <w:spacing w:before="220" w:after="120"/>
      </w:pPr>
      <w:r>
        <w:rPr>
          <w:rFonts w:ascii="Calibri" w:cs="Calibri" w:eastAsia="Calibri" w:hAnsi="Calibri"/>
          <w:b/>
          <w:bCs/>
          <w:color w:val="222222"/>
        </w:rPr>
        <w:t xml:space="preserve">8.3 Años 4-5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Año 4: componentes del Plan Electrónico; 150.000. Año 5: 35 plantas, 400.000, 80%+ nacional, wallet MDDA, exportación.</w:t>
      </w:r>
    </w:p>
    <w:p>
      <w:pPr>
        <w:pStyle w:val="Heading1"/>
        <w:spacing w:before="320" w:after="120"/>
      </w:pPr>
      <w:r>
        <w:rPr>
          <w:rFonts w:ascii="Calibri" w:cs="Calibri" w:eastAsia="Calibri" w:hAnsi="Calibri"/>
          <w:b/>
          <w:bCs/>
          <w:color w:val="1B3A4B"/>
        </w:rPr>
        <w:t xml:space="preserve">9. PRESUPUESTO CONSOLIDADO</w:t>
      </w:r>
    </w:p>
    <w:p>
      <w:pPr>
        <w:pStyle w:val="Heading2"/>
        <w:spacing w:before="220" w:after="120"/>
      </w:pPr>
      <w:r>
        <w:rPr>
          <w:rFonts w:ascii="Calibri" w:cs="Calibri" w:eastAsia="Calibri" w:hAnsi="Calibri"/>
          <w:b/>
          <w:bCs/>
          <w:color w:val="222222"/>
        </w:rPr>
        <w:t xml:space="preserve">9.1 Inversión por Categoría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1B3A4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Concepto</w:t>
            </w:r>
          </w:p>
        </w:tc>
        <w:tc>
          <w:tcPr>
            <w:tcW w:type="dxa" w:w="4819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1B3A4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Monto (USD)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Infraestructura de plantas</w:t>
            </w:r>
          </w:p>
        </w:tc>
        <w:tc>
          <w:tcPr>
            <w:tcW w:type="dxa" w:w="4819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220.000.000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4F1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Componentes y ensamblado</w:t>
            </w:r>
          </w:p>
        </w:tc>
        <w:tc>
          <w:tcPr>
            <w:tcW w:type="dxa" w:w="4819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4F1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1.150.000.000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I+D software, NPU, agente, modelos de borde</w:t>
            </w:r>
          </w:p>
        </w:tc>
        <w:tc>
          <w:tcPr>
            <w:tcW w:type="dxa" w:w="4819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160.000.000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4F1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Capacitación escuela-fábrica</w:t>
            </w:r>
          </w:p>
        </w:tc>
        <w:tc>
          <w:tcPr>
            <w:tcW w:type="dxa" w:w="4819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4F1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70.000.000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Contingencias</w:t>
            </w:r>
          </w:p>
        </w:tc>
        <w:tc>
          <w:tcPr>
            <w:tcW w:type="dxa" w:w="4819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80.000.000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4F1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TOTAL</w:t>
            </w:r>
          </w:p>
        </w:tc>
        <w:tc>
          <w:tcPr>
            <w:tcW w:type="dxa" w:w="4819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4F1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1.680.000.000</w:t>
            </w:r>
          </w:p>
        </w:tc>
      </w:tr>
    </w:tbl>
    <w:p>
      <w:pPr>
        <w:spacing w:after="200"/>
      </w:pPr>
    </w:p>
    <w:p>
      <w:pPr>
        <w:pStyle w:val="Heading2"/>
        <w:spacing w:before="220" w:after="120"/>
      </w:pPr>
      <w:r>
        <w:rPr>
          <w:rFonts w:ascii="Calibri" w:cs="Calibri" w:eastAsia="Calibri" w:hAnsi="Calibri"/>
          <w:b/>
          <w:bCs/>
          <w:color w:val="222222"/>
        </w:rPr>
        <w:t xml:space="preserve">9.2 Inversión por Fase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rPr>
          <w:tblHeader/>
        </w:trPr>
        <w:tc>
          <w:tcPr>
            <w:tcW w:type="dxa" w:w="2409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1B3A4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Concepto</w:t>
            </w:r>
          </w:p>
        </w:tc>
        <w:tc>
          <w:tcPr>
            <w:tcW w:type="dxa" w:w="2409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1B3A4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Fase 1 (Años 1-3)</w:t>
            </w:r>
          </w:p>
        </w:tc>
        <w:tc>
          <w:tcPr>
            <w:tcW w:type="dxa" w:w="2409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1B3A4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Fase 2 (Años 4-5)</w:t>
            </w:r>
          </w:p>
        </w:tc>
        <w:tc>
          <w:tcPr>
            <w:tcW w:type="dxa" w:w="2411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1B3A4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Total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Infraestructura de plantas</w:t>
            </w:r>
          </w:p>
        </w:tc>
        <w:tc>
          <w:tcPr>
            <w:tcW w:type="dxa" w:w="2409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USD 130M</w:t>
            </w:r>
          </w:p>
        </w:tc>
        <w:tc>
          <w:tcPr>
            <w:tcW w:type="dxa" w:w="2409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USD 90M</w:t>
            </w:r>
          </w:p>
        </w:tc>
        <w:tc>
          <w:tcPr>
            <w:tcW w:type="dxa" w:w="2411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USD 220M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4F1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Componentes y ensamblado</w:t>
            </w:r>
          </w:p>
        </w:tc>
        <w:tc>
          <w:tcPr>
            <w:tcW w:type="dxa" w:w="2409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4F1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USD 520M</w:t>
            </w:r>
          </w:p>
        </w:tc>
        <w:tc>
          <w:tcPr>
            <w:tcW w:type="dxa" w:w="2409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4F1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USD 630M</w:t>
            </w:r>
          </w:p>
        </w:tc>
        <w:tc>
          <w:tcPr>
            <w:tcW w:type="dxa" w:w="2411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4F1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USD 1.150M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I+D software, NPU, agente</w:t>
            </w:r>
          </w:p>
        </w:tc>
        <w:tc>
          <w:tcPr>
            <w:tcW w:type="dxa" w:w="2409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USD 70M</w:t>
            </w:r>
          </w:p>
        </w:tc>
        <w:tc>
          <w:tcPr>
            <w:tcW w:type="dxa" w:w="2409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USD 90M</w:t>
            </w:r>
          </w:p>
        </w:tc>
        <w:tc>
          <w:tcPr>
            <w:tcW w:type="dxa" w:w="2411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USD 160M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4F1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Capacitación escuela-fábrica</w:t>
            </w:r>
          </w:p>
        </w:tc>
        <w:tc>
          <w:tcPr>
            <w:tcW w:type="dxa" w:w="2409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4F1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USD 40M</w:t>
            </w:r>
          </w:p>
        </w:tc>
        <w:tc>
          <w:tcPr>
            <w:tcW w:type="dxa" w:w="2409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4F1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USD 30M</w:t>
            </w:r>
          </w:p>
        </w:tc>
        <w:tc>
          <w:tcPr>
            <w:tcW w:type="dxa" w:w="2411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4F1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USD 70M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Contingencias</w:t>
            </w:r>
          </w:p>
        </w:tc>
        <w:tc>
          <w:tcPr>
            <w:tcW w:type="dxa" w:w="2409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USD 40M</w:t>
            </w:r>
          </w:p>
        </w:tc>
        <w:tc>
          <w:tcPr>
            <w:tcW w:type="dxa" w:w="2409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USD 40M</w:t>
            </w:r>
          </w:p>
        </w:tc>
        <w:tc>
          <w:tcPr>
            <w:tcW w:type="dxa" w:w="2411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USD 80M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4F1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TOTAL</w:t>
            </w:r>
          </w:p>
        </w:tc>
        <w:tc>
          <w:tcPr>
            <w:tcW w:type="dxa" w:w="2409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4F1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USD 800M</w:t>
            </w:r>
          </w:p>
        </w:tc>
        <w:tc>
          <w:tcPr>
            <w:tcW w:type="dxa" w:w="2409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4F1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USD 880M</w:t>
            </w:r>
          </w:p>
        </w:tc>
        <w:tc>
          <w:tcPr>
            <w:tcW w:type="dxa" w:w="2411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4F1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USD 1.680M</w:t>
            </w:r>
          </w:p>
        </w:tc>
      </w:tr>
    </w:tbl>
    <w:p>
      <w:pPr>
        <w:spacing w:after="200"/>
      </w:pPr>
    </w:p>
    <w:p>
      <w:pPr>
        <w:spacing w:after="14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La tabla de categorías (sección 9.1) es la que rige: 220 + 1.150 + 160 + 70 + 80 = 1.680.</w:t>
      </w:r>
    </w:p>
    <w:p>
      <w:pPr>
        <w:pStyle w:val="Heading1"/>
        <w:spacing w:before="320" w:after="120"/>
      </w:pPr>
      <w:r>
        <w:rPr>
          <w:rFonts w:ascii="Calibri" w:cs="Calibri" w:eastAsia="Calibri" w:hAnsi="Calibri"/>
          <w:b/>
          <w:bCs/>
          <w:color w:val="1B3A4B"/>
        </w:rPr>
        <w:t xml:space="preserve">10. INDICADORES DE ÉXITO</w:t>
      </w:r>
    </w:p>
    <w:p>
      <w:pPr>
        <w:pStyle w:val="Heading2"/>
        <w:spacing w:before="220" w:after="120"/>
      </w:pPr>
      <w:r>
        <w:rPr>
          <w:rFonts w:ascii="Calibri" w:cs="Calibri" w:eastAsia="Calibri" w:hAnsi="Calibri"/>
          <w:b/>
          <w:bCs/>
          <w:color w:val="222222"/>
        </w:rPr>
        <w:t xml:space="preserve">10.1 Producción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1. 655.000 dispositivos. 2. Defectos &lt;2%. 3. 80%+ nacional en Fase 2. 4. 35 plantas.</w:t>
      </w:r>
    </w:p>
    <w:p>
      <w:pPr>
        <w:pStyle w:val="Heading2"/>
        <w:spacing w:before="220" w:after="120"/>
      </w:pPr>
      <w:r>
        <w:rPr>
          <w:rFonts w:ascii="Calibri" w:cs="Calibri" w:eastAsia="Calibri" w:hAnsi="Calibri"/>
          <w:b/>
          <w:bCs/>
          <w:color w:val="222222"/>
        </w:rPr>
        <w:t xml:space="preserve">10.2 Impacto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5. 17.800 empleos directos; 44.500+ indirectos. 6. 5.000+ estudiantes en escuela-fábrica. 7. 100% escuelas técnicas cubiertas. 8. Satisfacción &gt;85%.</w:t>
      </w:r>
    </w:p>
    <w:p>
      <w:pPr>
        <w:pStyle w:val="Heading2"/>
        <w:spacing w:before="220" w:after="120"/>
      </w:pPr>
      <w:r>
        <w:rPr>
          <w:rFonts w:ascii="Calibri" w:cs="Calibri" w:eastAsia="Calibri" w:hAnsi="Calibri"/>
          <w:b/>
          <w:bCs/>
          <w:color w:val="222222"/>
        </w:rPr>
        <w:t xml:space="preserve">10.3 Soberanía y desempeño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9. 0% APIs externas para inferencia. 10. 0 bytes de telemetría. 11. IGA-E/S en 100% de unidades. 12. IGA-E ≥25 tok/s; IGA-S ≥12 tok/s en QA de fábrica. 13. Credenciales P2 offline desde Año 3. 14. Agente local operativo sin red en 100% de unidades.</w:t>
      </w:r>
    </w:p>
    <w:p>
      <w:pPr>
        <w:pStyle w:val="Heading1"/>
        <w:spacing w:before="320" w:after="120"/>
      </w:pPr>
      <w:r>
        <w:rPr>
          <w:rFonts w:ascii="Calibri" w:cs="Calibri" w:eastAsia="Calibri" w:hAnsi="Calibri"/>
          <w:b/>
          <w:bCs/>
          <w:color w:val="1B3A4B"/>
        </w:rPr>
        <w:t xml:space="preserve">11. ARTICULACIÓN CON OTROS PROGRAMAS</w:t>
      </w:r>
    </w:p>
    <w:p>
      <w:pPr>
        <w:pStyle w:val="Heading2"/>
        <w:spacing w:before="220" w:after="120"/>
      </w:pPr>
      <w:r>
        <w:rPr>
          <w:rFonts w:ascii="Calibri" w:cs="Calibri" w:eastAsia="Calibri" w:hAnsi="Calibri"/>
          <w:b/>
          <w:bCs/>
          <w:color w:val="222222"/>
        </w:rPr>
        <w:t xml:space="preserve">11.1 Con Programa 1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IGA-E-Q e IGA-S-Q preinstalados. Nodos comunitarios con IGA-M/L. Actualizaciones de pesos opcionales, en mano del usuario.</w:t>
      </w:r>
    </w:p>
    <w:p>
      <w:pPr>
        <w:pStyle w:val="Heading2"/>
        <w:spacing w:before="220" w:after="120"/>
      </w:pPr>
      <w:r>
        <w:rPr>
          <w:rFonts w:ascii="Calibri" w:cs="Calibri" w:eastAsia="Calibri" w:hAnsi="Calibri"/>
          <w:b/>
          <w:bCs/>
          <w:color w:val="222222"/>
        </w:rPr>
        <w:t xml:space="preserve">11.2 Con Programa 2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Verificación offline de títulos y matrículas. Wallet básica. Sin claves de identidad residentes en el aparato.</w:t>
      </w:r>
    </w:p>
    <w:p>
      <w:pPr>
        <w:pStyle w:val="Heading2"/>
        <w:spacing w:before="220" w:after="120"/>
      </w:pPr>
      <w:r>
        <w:rPr>
          <w:rFonts w:ascii="Calibri" w:cs="Calibri" w:eastAsia="Calibri" w:hAnsi="Calibri"/>
          <w:b/>
          <w:bCs/>
          <w:color w:val="222222"/>
        </w:rPr>
        <w:t xml:space="preserve">11.3 Con Programa 4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Dispositivos para alumnos. Drivers, ONNX, agente y SO como practicum. Auditoría de firmware.</w:t>
      </w:r>
    </w:p>
    <w:p>
      <w:pPr>
        <w:pStyle w:val="Heading1"/>
        <w:spacing w:before="320" w:after="120"/>
      </w:pPr>
      <w:r>
        <w:rPr>
          <w:rFonts w:ascii="Calibri" w:cs="Calibri" w:eastAsia="Calibri" w:hAnsi="Calibri"/>
          <w:b/>
          <w:bCs/>
          <w:color w:val="1B3A4B"/>
        </w:rPr>
        <w:t xml:space="preserve">12. SUSTENTABILIDAD Y AMBIENTE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Modular, derecho a reparar, acopio nacional, 10+ años de software, auditoría ambiental de proveedores. Rechazo a la obsolescencia programada.</w:t>
      </w:r>
    </w:p>
    <w:p>
      <w:pPr>
        <w:pStyle w:val="Heading1"/>
        <w:spacing w:before="320" w:after="120"/>
      </w:pPr>
      <w:r>
        <w:rPr>
          <w:rFonts w:ascii="Calibri" w:cs="Calibri" w:eastAsia="Calibri" w:hAnsi="Calibri"/>
          <w:b/>
          <w:bCs/>
          <w:color w:val="1B3A4B"/>
        </w:rPr>
        <w:t xml:space="preserve">13. CONCLUSIÓN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El Programa 3 v4.0 pone en la mano de cada argentino un aparato que, en 2026, sí puede correr un destilado de razonamiento con voz, OCR y agente, sin nube. 16 GB y NPU no son lujo: son el piso de soberanía individual.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USD 1.680 millones, 655.000 unidades, 17.800 empleos directos, escuela-fábrica. Tecnología que sirve a la ciudadanía, no que la vigila.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*Programa 3: Dispositivos Portátiles de Inteligencia Artificial*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*Plan Informático Nacional v4.0 — República Argentina*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&gt; Este documento está bajo CC0 1.0 (Dominio Público). No se requiere atribución del autor original. &gt; https://creativecommons.org/publicdomain/zero/1.0/deed.es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4A35A" w:sz="6" w:space="8"/>
      </w:pBdr>
      <w:jc w:val="center"/>
    </w:pPr>
    <w:r>
      <w:rPr>
        <w:rFonts w:ascii="Calibri" w:cs="Calibri" w:eastAsia="Calibri" w:hAnsi="Calibri"/>
        <w:color w:val="666666"/>
        <w:sz w:val="14"/>
        <w:szCs w:val="14"/>
      </w:rPr>
      <w:t xml:space="preserve">CC0 1.0 Dominio Público  ·  República Argentina  ·  </w:t>
    </w:r>
    <w:r>
      <w:rPr>
        <w:rFonts w:ascii="Calibri" w:cs="Calibri" w:eastAsia="Calibri" w:hAnsi="Calibri"/>
        <w:color w:val="1B3A4B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4A35A" w:sz="12" w:space="8"/>
      </w:pBdr>
      <w:tabs>
        <w:tab w:val="right" w:pos="9638"/>
      </w:tabs>
    </w:pPr>
    <w:r>
      <w:rPr>
        <w:rFonts w:ascii="Calibri" w:cs="Calibri" w:eastAsia="Calibri" w:hAnsi="Calibri"/>
        <w:b/>
        <w:bCs/>
        <w:color w:val="1B3A4B"/>
        <w:sz w:val="16"/>
        <w:szCs w:val="16"/>
      </w:rPr>
      <w:t xml:space="preserve">Plan Informático Nacional  v4.0</w:t>
    </w:r>
    <w:r>
      <w:rPr>
        <w:rFonts w:ascii="Calibri" w:cs="Calibri" w:eastAsia="Calibri" w:hAnsi="Calibri"/>
        <w:color w:val="666666"/>
        <w:sz w:val="16"/>
        <w:szCs w:val="16"/>
      </w:rPr>
      <w:t xml:space="preserve">	Septiembre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Calibri" w:cs="Calibri" w:eastAsia="Calibri" w:hAnsi="Calibri"/>
      <w:b/>
      <w:bCs/>
      <w:color w:val="1B3A4B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Calibri" w:cs="Calibri" w:eastAsia="Calibri" w:hAnsi="Calibri"/>
      <w:b/>
      <w:bCs/>
      <w:color w:val="1B3A4B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Calibri" w:cs="Calibri" w:eastAsia="Calibri" w:hAnsi="Calibri"/>
      <w:b/>
      <w:bCs/>
      <w:color w:val="333333"/>
      <w:sz w:val="24"/>
      <w:szCs w:val="24"/>
    </w:rPr>
  </w:style>
  <w:style w:type="paragraph" w:styleId="Heading4">
    <w:name w:val="Heading 4"/>
    <w:basedOn w:val="Normal"/>
    <w:next w:val="Normal"/>
    <w:qFormat/>
    <w:pPr>
      <w:spacing w:before="140" w:after="80"/>
      <w:outlineLvl w:val="3"/>
    </w:pPr>
    <w:rPr>
      <w:rFonts w:ascii="Calibri" w:cs="Calibri" w:eastAsia="Calibri" w:hAnsi="Calibri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2026-09-04T00:30:40.534Z</dcterms:created>
  <dcterms:modified xsi:type="dcterms:W3CDTF">2026-09-04T00:30:40.534Z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