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4B"/>
          <w:spacing w:val="200"/>
          <w:sz w:val="20"/>
          <w:szCs w:val="20"/>
        </w:rPr>
        <w:t xml:space="preserve">REPÚBLICA ARGENTINA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4B"/>
          <w:sz w:val="36"/>
          <w:szCs w:val="36"/>
        </w:rPr>
        <w:t xml:space="preserve">PLAN INFORMÁTICO NACIONAL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4A35A"/>
          <w:sz w:val="26"/>
          <w:szCs w:val="26"/>
        </w:rPr>
        <w:t xml:space="preserve">Programa 4 — Universidad Hacker Nacional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Versión 4.0  ·  Septiembre 2026  ·  CC0 1.0</w:t>
      </w:r>
    </w:p>
    <w:p>
      <w:pPr>
        <w:pStyle w:val="Heading1"/>
      </w:pPr>
      <w:r>
        <w:rPr>
          <w:rFonts w:ascii="Calibri" w:cs="Calibri" w:eastAsia="Calibri" w:hAnsi="Calibri"/>
          <w:b/>
          <w:bCs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3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PLAN INFORMÁTICO NACIONAL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Versión 4.0 — Septiembre 2026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PROGRAMA 4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UNIVERSIDAD HACKER NACIONAL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*Formación de Cuadros Técnicos en Seguridad, IGA, Agentes y Blockchain*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Documento Detallado de Programa</w:t>
      </w:r>
      <w:r>
        <w:rPr>
          <w:rFonts w:ascii="Calibri" w:cs="Calibri" w:eastAsia="Calibri" w:hAnsi="Calibri"/>
          <w:sz w:val="22"/>
          <w:szCs w:val="22"/>
        </w:rPr>
        <w:t xml:space="preserve"> República Argentina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FICHA TÉCNICA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Inversión Total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USD 335.000.000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Plazo de Ejecución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 años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Empleo Directo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2.950 puestos de trabajo (docentes, investigadores, personal)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Egresados Proyectados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15.000 profesionales en 5 años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Sedes Proyectadas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12 sedes federales con especialización regional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Organismos Ejecutores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Ministerio de Educación, CONICET, Universidades Nacionales, CITEDEF, empresas privadas habilitadas*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**Empresas privadas habilitadas: con participación estatal o capital accionario mayoritariamente nacional (≥51%) certificado durante toda la duración del Plan.*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Entregable Principal</w:t>
            </w:r>
          </w:p>
        </w:tc>
        <w:tc>
          <w:tcPr>
            <w:tcW w:type="dxa" w:w="481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Red de instituciones formando generalistas en ciberdefensa, IGA 2026, agentes locales y blockchain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Este documento está bajo CC0 1.0 (Dominio Público). No se requiere atribución del autor original. &gt; https://creativecommons.org/publicdomain/zero/1.0/deed.es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1. FUNDAMENTACIÓN Y MARCO DOCTRINARIO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1.1 Contexto Estratégico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Sin profesionales argentinos, IGA, MDDA y los dispositivos son cascarones. v3.0 ya lo decía. v4.0 actualiza *qué* debe saber ese profesional en septiembre de 2026: no solo “entrenar un transformer”, sino CPT, SFT, RL, evaluación, destilación, inferencia en NPU, agentes locales y seguridad de modelos (envenenamiento de datos, inyección de instrucciones, cadena de suministro de pesos).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Las universidades tradicionales no cubren ese perfil. El mercado internacional absorbe a quien lo tiene. La Universidad Hacker Nacional forma generalistas que dirigen herramientas de IA —no especialistas de nicho sustituibles por un agente extranjero.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1.2 Reivindicación del Término "Hacker"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Definición original: explorar límites con ingenio, al servicio de la comunidad.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Técnico generalista: informática, electrónica, robótica, telecomunicaciones.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Ética: compartir conocimiento, rechazar autoridad arbitraria, empoderar ciudadanos.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 hacker construye y defiende; el cracker destruye y roba.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Precedente: MIT, Stanford, Berkeley — constructores de Internet y Unix.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1.3 Principios Doctrinarios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Soberanía del conocimiento. 2. Defensa nacional. 3. Práctica sobre teoría. 4. Integración con P1, P2 y P3. 5. Retención de talento. 6. Federalismo.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1.4 Disciplina Madre: Seguridad Informática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Toda carrera incluye seguridad como eje transversal. No hay IGA ni blockchain confiables sin ella. La mentalidad es de *revisión y defensa* de sistemas propios y de infraestructura crítica nacional.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Límite de este Plan:</w:t>
      </w:r>
      <w:r>
        <w:rPr>
          <w:rFonts w:ascii="Calibri" w:cs="Calibri" w:eastAsia="Calibri" w:hAnsi="Calibri"/>
          <w:sz w:val="22"/>
          <w:szCs w:val="22"/>
        </w:rPr>
        <w:t xml:space="preserve"> el currículo se describe a nivel de principios, laboratorios controlados y competencias. Este documento no publica procedimientos de ataque ni material explotable.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2. OBJETIVOS DEL PROGRAMA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2.1 Objetivo General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Crear una red de educación superior en Seguridad, IGA y Blockchain, formando 15.000 cuadros que sostengan los Programas 1, 2 y 3.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2.2 Objetivos Específicos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12 sedes federales. 2. 15.000 egresados en 5 años. 3. 600+ especialistas hacia P1 (CPT, RL, eval, destilación). 4. Expertos P2: consenso, liquidación vs trabajo off-chain, auditoría. 5. Software de sistema, ONNX/GGUF y agentes para P3. 6. Cuadros para ciberdefensa nacional. 7. 200+ papers y 50+ patentes. 8. 70%+ de egresados trabajando en Argentina.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3. ESTRUCTURA CURRICULAR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3.1 Ejes de Formación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Eje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Contenidos Principales (v4.0)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Integración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SEGURIDAD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Criptografía, protocolos, respuesta a incidentes, revisión de código, seguridad de infraestructura crítica, seguridad de modelos y datos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Auditoría P1/P2/P3, SOC, investigación de amenazas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IGA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Arquitecturas densas y MoE, CPT/SFT/RL, destilación, evaluación, ética, MLOps soberano, inferencia consciente del hardware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Modelos IGA, corpus, borde P3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BLOCKCHAIN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Consenso, liquidación vs cómputo off-chain, smart contracts, tokens, auditoría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Red MDDA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AGENTES (nuevo)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Herramientas locales, RAG, orquestación, evaluación agentica, límites offline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Runtime P3, tareas P1</w:t>
            </w:r>
          </w:p>
        </w:tc>
      </w:tr>
    </w:tbl>
    <w:p>
      <w:pPr>
        <w:spacing w:after="200"/>
      </w:pP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 Carreras Ofrecidas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3.2.1 Tecnicatura en Ciberdefensa (2 años)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Perfil: respuesta a incidentes, administración segura de P1/P2/P3, SOC/NOC. 2.400 h (60% práctica).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3.2.2 Licenciatura en Seguridad Informática (4 años)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Perfil: arquitectura de seguridad, forense, liderazgo blue team / revisión ofensiva *en laboratorios aislados*. 4.200 h.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3.2.3 Licenciatura en Inteligencia Artificial Aplicada (4 años)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Perfil: CPT/SFT/RL, evals 2026, destilación, MLOps, seguridad de modelos. 4.200 h. Inserción: P1, destilación a P3.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3.2.4 Licenciatura en Sistemas Distribuidos y Blockchain (4 años)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Perfil: protocolos, verificación de trabajo útil, identidad soberana, auditoría de contratos. 4.200 h.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3.2.5 Maestría en Ciberdefensa Nacional (2 años)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Estrategia, política, incidentes de gran escala, ciberinteligencia defensiva. Grado + 3 años de experiencia.</w:t>
      </w:r>
    </w:p>
    <w:p>
      <w:pPr>
        <w:pStyle w:val="Heading3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3.2.6 Diplomatura en Tecnologías Soberanas (6 meses, remota)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400 h. Fundamentos de seguridad, IGA de borde y MDDA. Articulable a la Tecnicatura. Destino: territorio lejos de las 12 sedes.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3.3 Materias Troncales (todas las carreras)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Fundamentos de Seguridad y Revisión de Sistemas (240 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Ingeniería Reversa de Software y Hardware — laboratorio controlado (220 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Análisis de Protocolos y Comunicaciones (180 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Criptografía Aplicada (200 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Sistemas Operativos Internos (200 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Programación de Bajo Nivel (C, Assembly) (160 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Ética Hacker y Marco Legal (80 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Seguridad de Modelos y Datos (envenenamiento, inyección de instrucciones, supply chain de pesos) (160 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Laboratorio de Defensa y Respuesta (240 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Proyecto Integrador con Programas 1/2/3 (400 h)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4. METODOLOGÍA PEDAGÓGICA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4.1 Aprendizaje Basado en Proyectos Reales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50–60% de la carga: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P1:</w:t>
      </w:r>
      <w:r>
        <w:rPr>
          <w:rFonts w:ascii="Calibri" w:cs="Calibri" w:eastAsia="Calibri" w:hAnsi="Calibri"/>
          <w:sz w:val="22"/>
          <w:szCs w:val="22"/>
        </w:rPr>
        <w:t xml:space="preserve"> Curación, SFT, RL, bancos de evaluación, destilación.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P2:</w:t>
      </w:r>
      <w:r>
        <w:rPr>
          <w:rFonts w:ascii="Calibri" w:cs="Calibri" w:eastAsia="Calibri" w:hAnsi="Calibri"/>
          <w:sz w:val="22"/>
          <w:szCs w:val="22"/>
        </w:rPr>
        <w:t xml:space="preserve"> Wallets, auditoría de contratos, verificación de PoUW.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P3:</w:t>
      </w:r>
      <w:r>
        <w:rPr>
          <w:rFonts w:ascii="Calibri" w:cs="Calibri" w:eastAsia="Calibri" w:hAnsi="Calibri"/>
          <w:sz w:val="22"/>
          <w:szCs w:val="22"/>
        </w:rPr>
        <w:t xml:space="preserve"> Drivers, GGUF/ONNX, agente local, 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Bug bounty institucional</w:t>
      </w:r>
      <w:r>
        <w:rPr>
          <w:rFonts w:ascii="Calibri" w:cs="Calibri" w:eastAsia="Calibri" w:hAnsi="Calibri"/>
          <w:sz w:val="22"/>
          <w:szCs w:val="22"/>
        </w:rPr>
        <w:t xml:space="preserve"> sobre infraestructura del Plan.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4.2 Competencias y Certificaciones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CTF internos; preparación para certificaciones defensivas de mercado (OSCP, CISSP u equivalentes vigentes); hackatones; ejercicios red/blue *entre sedes, en red aislada*.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4.3 Laboratorios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Seguridad: entornos aislados.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IA: GPU para CPT/SFT/RL y eval.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Blockchain: testnets MDDA.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Hardware: embebidos y NPU de P3.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Agentes: runtime offline, RAG, evaluación de tareas.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SOC académico.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5. DESPLIEGUE TERRITORIAL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5.1 Fase 1: Sedes Piloto (Años 1-2)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Sede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Especialización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Buenos Aires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Sede Central / Todas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Talento, organismos nacionales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Córdoba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IGA + Evaluación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UNC, ecosistema tech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Mendoza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Blockchain + Energía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Sinergia P2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*Capacidad: 1.500 por sede = 4.500*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5.2 Fase 2 (Años 3-4)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Sede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Especialización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Región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Tucumán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IGA + lenguas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NOA — quechua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Corrientes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IGA + lenguas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NEA — guaraní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Rosario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Seguridad industrial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Litoral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Neuquén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Blockchain + energía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Vaca Muerta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Bariloche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IGA avanzada / MoE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Balseiro, P1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*+800 por sede = 4.000*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5.3 Fase 3 (Años 5-6)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Sede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Especialización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Región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Ushuaia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Hardware + NPU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Polo electrónico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San Juan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Blockchain + solar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Cuyo</w:t>
            </w:r>
          </w:p>
        </w:tc>
      </w:tr>
      <w:tr>
        <w:trPr>
          <w:tblHeader w:val="false"/>
        </w:trPr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La Plata</w:t>
            </w:r>
          </w:p>
        </w:tc>
        <w:tc>
          <w:tcPr>
            <w:tcW w:type="dxa" w:w="3212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Ciberdefensa</w:t>
            </w:r>
          </w:p>
        </w:tc>
        <w:tc>
          <w:tcPr>
            <w:tcW w:type="dxa" w:w="3214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UNLP, defensa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*+600 por sede = 1.800*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6. INTEGRACIÓN CON PROGRAMAS 1, 2 Y 3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6.1 Con Programa 1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Curación, fine-tuning, RL, bancos CHOCLO/Trueque-class y derecho argentino, destilación a borde, tesis en tokenizador nativo y lenguas originarias. Red-teaming *defensivo* de modelos (jailbreaks y envenenamiento como objeto de mitigación).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6.2 Con Programa 2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Cliente de nodo, verificación de tareas, wallets, operación de nodos en sedes, criptografía y zero-knowledge.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6.3 Con Programa 3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 argentino, GGUF/ONNX, agente, firmware, QA de tok/s y energía. Todo alumno recibe un dispositivo P3.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7. CRONOGRAMA DETALLADO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7.1 Año 1: Fundación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Q1 autoridades y currícula 2026. Q2 sedes piloto. Q3 laboratorios (incl. agentes y eval). Q4 tecnicatura.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7.2 Año 2: Consolidación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Licenciaturas. Primeros técnicos a P1/P2/P3.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3 sedes, 4.500 estudiantes, 500+ técnicos.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7.3 Años 3-4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Tucumán, Corrientes, Rosario; Neuquén, Bariloche; Maestría.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8 sedes, 8.500 estudiantes, 3.000+ egresados.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7.4 Año 5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Ushuaia, San Juan, La Plata. 12 sedes.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Entregable:</w:t>
      </w:r>
      <w:r>
        <w:rPr>
          <w:rFonts w:ascii="Calibri" w:cs="Calibri" w:eastAsia="Calibri" w:hAnsi="Calibri"/>
          <w:sz w:val="22"/>
          <w:szCs w:val="22"/>
        </w:rPr>
        <w:t xml:space="preserve"> 12 sedes, 10.300 estudiantes, 15.000 egresados acumulados.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8. PRESUPUESTO DETALLADO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8.1 Distribución por Categoría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Categoría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Monto (USD)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% del Total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Años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Infraestructura edilicia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95.000.000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28,4%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Equipamiento de laboratorios (GPU, NPU, agentes, eval)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62.000.000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18,5%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Personal docente e investigadores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94.000.000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28,1%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Becas estudiantiles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42.000.000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12,5%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Investigación aplicada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27.000.000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8,1%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Contingencias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15.000.000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4,5%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4F1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1-5</w:t>
            </w:r>
          </w:p>
        </w:tc>
      </w:tr>
      <w:tr>
        <w:trPr>
          <w:tblHeader w:val="false"/>
        </w:trPr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TOTAL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335.000.000</w:t>
            </w:r>
          </w:p>
        </w:tc>
        <w:tc>
          <w:tcPr>
            <w:tcW w:type="dxa" w:w="2409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100%</w:t>
            </w:r>
          </w:p>
        </w:tc>
        <w:tc>
          <w:tcPr>
            <w:tcW w:type="dxa" w:w="2411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</w:tr>
    </w:tbl>
    <w:p>
      <w:pPr>
        <w:spacing w:after="20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95+62+94+42+27+15 = 335.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8.2 Flujo Anual de Inversión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30"/>
      </w:tblGrid>
      <w:tr>
        <w:trPr>
          <w:tblHeader/>
        </w:trPr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 1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 2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 3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 4</w:t>
            </w:r>
          </w:p>
        </w:tc>
        <w:tc>
          <w:tcPr>
            <w:tcW w:type="dxa" w:w="1930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1B3A4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Año 5</w:t>
            </w:r>
          </w:p>
        </w:tc>
      </w:tr>
      <w:tr>
        <w:trPr>
          <w:tblHeader w:val="false"/>
        </w:trPr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$78M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$72M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$68M</w:t>
            </w:r>
          </w:p>
        </w:tc>
        <w:tc>
          <w:tcPr>
            <w:tcW w:type="dxa" w:w="1927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$62M</w:t>
            </w:r>
          </w:p>
        </w:tc>
        <w:tc>
          <w:tcPr>
            <w:tcW w:type="dxa" w:w="1930"/>
            <w:tcBorders>
              <w:top w:val="single" w:color="C4A35A" w:sz="4"/>
              <w:left w:val="single" w:color="C4A35A" w:sz="4"/>
              <w:bottom w:val="single" w:color="C4A35A" w:sz="4"/>
              <w:right w:val="single" w:color="C4A35A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$55M</w:t>
            </w:r>
          </w:p>
        </w:tc>
      </w:tr>
    </w:tbl>
    <w:p>
      <w:pPr>
        <w:spacing w:after="200"/>
      </w:pP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9. INDICADORES DE ÉXITO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9.1 Formación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 15.000 egresados. 2. 6.000 técnicos (40%). 3. 8.500 licenciados (57%). 4. 500 magísteres (3%). 5. Deserción &lt;15%. 6. 80%+ con al menos una certificación.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9.2 Investigación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 200+ papers. 8. 50+ patentes INPI. 9. 500+ reportes de vulnerabilidad *coordinada* sobre el Plan. 10. 10.000+ commits a software del Plan.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9.3 Impacto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11. 2.950 empleos directos. 12. 70%+ retención en el país. 13. 40%+ insertos en P1/P2/P3. 14. 500+ en organismos de defensa y seguridad. 15. 12 sedes.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10. GOBERNANZA Y ESTRUCTURA INSTITUCIONAL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10.1 Autoridades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Rector/a nacional (Educación + acuerdo del Senado). Consejo Académico (12 sedes + estudiantes + sector productivo). Directores por concurso. Consejo Asesor: P1, P2, P3, CITEDEF, Comando Ciberdefensa.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10.2 Articulación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Educación (títulos), Defensa (maestría), CONICET (investigación), Universidades Nacionales (reconocimiento de materias).</w:t>
      </w:r>
    </w:p>
    <w:p>
      <w:pPr>
        <w:pStyle w:val="Heading2"/>
        <w:spacing w:before="220" w:after="120"/>
      </w:pPr>
      <w:r>
        <w:rPr>
          <w:rFonts w:ascii="Calibri" w:cs="Calibri" w:eastAsia="Calibri" w:hAnsi="Calibri"/>
          <w:b/>
          <w:bCs/>
          <w:color w:val="222222"/>
        </w:rPr>
        <w:t xml:space="preserve">10.3 Retención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Salarios competitivos, proyectos de punta, carrera académica, presencialidad federal con remoto parcial, red de egresados.</w:t>
      </w:r>
    </w:p>
    <w:p>
      <w:pPr>
        <w:pStyle w:val="Heading1"/>
        <w:spacing w:before="320" w:after="120"/>
      </w:pPr>
      <w:r>
        <w:rPr>
          <w:rFonts w:ascii="Calibri" w:cs="Calibri" w:eastAsia="Calibri" w:hAnsi="Calibri"/>
          <w:b/>
          <w:bCs/>
          <w:color w:val="1B3A4B"/>
        </w:rPr>
        <w:t xml:space="preserve">11. 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Universidad Hacker Nacional v4.0 forma al generalista que 2026 exige: capaz de post-entrenar, evaluar, destilar, servir en NPU y auditar una cadena que liquida trabajo útil. Sin esa persona, no hay soberanía.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USD 335 millones, 15.000 egresados, 12 sedes. No forma empleados de una API extranjera. Forma técnicos al servicio de la Nación.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*Programa 4: Universidad Hacker Nacional*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*Plan Informático Nacional v4.0 — República Argentina*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&gt; Este documento está bajo CC0 1.0 (Dominio Público). No se requiere atribución del autor original. &gt; https://creativecommons.org/publicdomain/zero/1.0/deed.es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A35A" w:sz="6" w:space="8"/>
      </w:pBd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CC0 1.0 Dominio Público  ·  República Argentina  ·  </w:t>
    </w:r>
    <w:r>
      <w:rPr>
        <w:rFonts w:ascii="Calibri" w:cs="Calibri" w:eastAsia="Calibri" w:hAnsi="Calibri"/>
        <w:color w:val="1B3A4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35A" w:sz="12" w:space="8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B3A4B"/>
        <w:sz w:val="16"/>
        <w:szCs w:val="16"/>
      </w:rPr>
      <w:t xml:space="preserve">Plan Informático Nacional  v4.0</w:t>
    </w:r>
    <w:r>
      <w:rPr>
        <w:rFonts w:ascii="Calibri" w:cs="Calibri" w:eastAsia="Calibri" w:hAnsi="Calibri"/>
        <w:color w:val="666666"/>
        <w:sz w:val="16"/>
        <w:szCs w:val="16"/>
      </w:rPr>
      <w:t xml:space="preserve">	Septiembre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40" w:after="80"/>
      <w:outlineLvl w:val="3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2026-09-04T00:30:40.556Z</dcterms:created>
  <dcterms:modified xsi:type="dcterms:W3CDTF">2026-09-04T00:30:40.556Z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