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F0496">
      <w:pPr>
        <w:pStyle w:val="3"/>
        <w:jc w:val="center"/>
        <w:rPr>
          <w:rFonts w:hint="eastAsia" w:ascii="宋体" w:hAnsi="宋体" w:eastAsia="宋体" w:cs="宋体"/>
          <w:sz w:val="48"/>
          <w:szCs w:val="48"/>
        </w:rPr>
      </w:pPr>
      <w:bookmarkStart w:id="0" w:name="巡检机器人出厂产品检测表"/>
      <w:bookmarkStart w:id="1" w:name="六最终验收"/>
    </w:p>
    <w:p w14:paraId="2903CD54">
      <w:pPr>
        <w:pStyle w:val="3"/>
        <w:jc w:val="center"/>
        <w:rPr>
          <w:rFonts w:hint="eastAsia" w:ascii="宋体" w:hAnsi="宋体" w:eastAsia="宋体" w:cs="宋体"/>
          <w:sz w:val="48"/>
          <w:szCs w:val="48"/>
        </w:rPr>
      </w:pPr>
    </w:p>
    <w:p w14:paraId="5922613F">
      <w:pPr>
        <w:pStyle w:val="3"/>
        <w:jc w:val="center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巡检机器人出厂产品检测表</w:t>
      </w:r>
    </w:p>
    <w:p w14:paraId="55986DB6">
      <w:pPr>
        <w:pStyle w:val="3"/>
        <w:rPr>
          <w:rFonts w:hint="eastAsia" w:ascii="宋体" w:hAnsi="宋体" w:eastAsia="宋体" w:cs="宋体"/>
          <w:sz w:val="24"/>
          <w:szCs w:val="24"/>
        </w:rPr>
      </w:pPr>
    </w:p>
    <w:p w14:paraId="0652A16F">
      <w:pPr>
        <w:bidi w:val="0"/>
        <w:rPr>
          <w:rFonts w:hint="eastAsia" w:ascii="宋体" w:hAnsi="宋体" w:eastAsia="宋体" w:cs="宋体"/>
          <w:sz w:val="44"/>
          <w:szCs w:val="44"/>
        </w:rPr>
      </w:pPr>
    </w:p>
    <w:p w14:paraId="0456DFD7">
      <w:pPr>
        <w:bidi w:val="0"/>
        <w:rPr>
          <w:rFonts w:hint="eastAsia" w:ascii="宋体" w:hAnsi="宋体" w:eastAsia="宋体" w:cs="宋体"/>
          <w:sz w:val="44"/>
          <w:szCs w:val="44"/>
        </w:rPr>
      </w:pPr>
    </w:p>
    <w:p w14:paraId="31E11BD4">
      <w:pPr>
        <w:bidi w:val="0"/>
        <w:rPr>
          <w:rFonts w:hint="eastAsia" w:ascii="宋体" w:hAnsi="宋体" w:eastAsia="宋体" w:cs="宋体"/>
          <w:sz w:val="44"/>
          <w:szCs w:val="44"/>
        </w:rPr>
      </w:pPr>
    </w:p>
    <w:p w14:paraId="67F992B4">
      <w:pPr>
        <w:bidi w:val="0"/>
        <w:jc w:val="center"/>
        <w:rPr>
          <w:rFonts w:hint="default" w:ascii="宋体" w:hAnsi="宋体" w:eastAsia="宋体" w:cs="宋体"/>
          <w:sz w:val="44"/>
          <w:szCs w:val="44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u w:val="none"/>
        </w:rPr>
        <w:t>产品名称：智能巡检</w:t>
      </w:r>
      <w:bookmarkStart w:id="2" w:name="_GoBack"/>
      <w:bookmarkEnd w:id="2"/>
      <w:r>
        <w:rPr>
          <w:rFonts w:hint="eastAsia" w:ascii="宋体" w:hAnsi="宋体" w:eastAsia="宋体" w:cs="宋体"/>
          <w:sz w:val="36"/>
          <w:szCs w:val="36"/>
          <w:u w:val="none"/>
        </w:rPr>
        <w:t>机器人</w:t>
      </w:r>
      <w:r>
        <w:rPr>
          <w:rFonts w:hint="eastAsia" w:ascii="宋体" w:hAnsi="宋体" w:eastAsia="宋体" w:cs="宋体"/>
          <w:sz w:val="36"/>
          <w:szCs w:val="36"/>
          <w:u w:val="none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u w:val="none"/>
        </w:rPr>
        <w:t>产品型号：PULANROBO/PL-FHR-100</w:t>
      </w:r>
      <w:r>
        <w:rPr>
          <w:rFonts w:hint="eastAsia" w:ascii="宋体" w:hAnsi="宋体" w:eastAsia="宋体" w:cs="宋体"/>
          <w:sz w:val="36"/>
          <w:szCs w:val="36"/>
          <w:u w:val="none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u w:val="none"/>
        </w:rPr>
        <w:t>生产日期：</w:t>
      </w:r>
      <w:r>
        <w:rPr>
          <w:rFonts w:hint="eastAsia" w:ascii="宋体" w:hAnsi="宋体" w:eastAsia="宋体" w:cs="宋体"/>
          <w:sz w:val="36"/>
          <w:szCs w:val="36"/>
          <w:u w:val="none"/>
          <w:lang w:val="en-US" w:eastAsia="zh-CN"/>
        </w:rPr>
        <w:t>2025年10月</w:t>
      </w:r>
      <w:r>
        <w:rPr>
          <w:rFonts w:hint="eastAsia" w:ascii="宋体" w:hAnsi="宋体" w:eastAsia="宋体" w:cs="宋体"/>
          <w:sz w:val="36"/>
          <w:szCs w:val="36"/>
          <w:u w:val="none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u w:val="none"/>
        </w:rPr>
        <w:t>检测日期：</w:t>
      </w:r>
      <w:r>
        <w:rPr>
          <w:rFonts w:hint="eastAsia" w:ascii="宋体" w:hAnsi="宋体" w:eastAsia="宋体" w:cs="宋体"/>
          <w:sz w:val="36"/>
          <w:szCs w:val="36"/>
          <w:u w:val="none"/>
          <w:lang w:val="en-US" w:eastAsia="zh-CN"/>
        </w:rPr>
        <w:t>2025年12月1日</w:t>
      </w:r>
      <w:r>
        <w:rPr>
          <w:rFonts w:hint="eastAsia" w:ascii="宋体" w:hAnsi="宋体" w:eastAsia="宋体" w:cs="宋体"/>
          <w:sz w:val="36"/>
          <w:szCs w:val="36"/>
          <w:u w:val="none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u w:val="none"/>
        </w:rPr>
        <w:t>检测人员：</w:t>
      </w:r>
      <w:r>
        <w:rPr>
          <w:rFonts w:hint="eastAsia" w:ascii="宋体" w:hAnsi="宋体" w:eastAsia="宋体" w:cs="宋体"/>
          <w:sz w:val="36"/>
          <w:szCs w:val="36"/>
          <w:u w:val="none"/>
          <w:lang w:val="en-US" w:eastAsia="zh-CN"/>
        </w:rPr>
        <w:t>林景聪、邱传魁、谢明进、费国明</w:t>
      </w:r>
    </w:p>
    <w:p w14:paraId="297CDE78">
      <w:pPr>
        <w:pStyle w:val="3"/>
        <w:rPr>
          <w:rFonts w:hint="eastAsia" w:ascii="宋体" w:hAnsi="宋体" w:eastAsia="宋体" w:cs="宋体"/>
          <w:sz w:val="24"/>
          <w:szCs w:val="24"/>
        </w:rPr>
      </w:pPr>
    </w:p>
    <w:p w14:paraId="2B895179">
      <w:pPr>
        <w:pStyle w:val="3"/>
        <w:rPr>
          <w:rFonts w:hint="eastAsia" w:ascii="宋体" w:hAnsi="宋体" w:eastAsia="宋体" w:cs="宋体"/>
          <w:sz w:val="24"/>
          <w:szCs w:val="24"/>
        </w:rPr>
      </w:pPr>
    </w:p>
    <w:p w14:paraId="798D6AA5">
      <w:pPr>
        <w:pStyle w:val="3"/>
        <w:rPr>
          <w:rFonts w:hint="eastAsia" w:ascii="宋体" w:hAnsi="宋体" w:eastAsia="宋体" w:cs="宋体"/>
          <w:sz w:val="24"/>
          <w:szCs w:val="24"/>
        </w:rPr>
      </w:pPr>
    </w:p>
    <w:p w14:paraId="35AE1E9A">
      <w:pPr>
        <w:pStyle w:val="3"/>
        <w:rPr>
          <w:rFonts w:hint="eastAsia" w:ascii="宋体" w:hAnsi="宋体" w:eastAsia="宋体" w:cs="宋体"/>
          <w:sz w:val="24"/>
          <w:szCs w:val="24"/>
        </w:rPr>
      </w:pPr>
    </w:p>
    <w:p w14:paraId="1269C0D7">
      <w:pPr>
        <w:pStyle w:val="3"/>
        <w:rPr>
          <w:rFonts w:hint="eastAsia" w:ascii="宋体" w:hAnsi="宋体" w:eastAsia="宋体" w:cs="宋体"/>
          <w:sz w:val="24"/>
          <w:szCs w:val="24"/>
        </w:rPr>
      </w:pPr>
    </w:p>
    <w:p w14:paraId="42EB195B">
      <w:pPr>
        <w:pStyle w:val="3"/>
        <w:rPr>
          <w:rFonts w:hint="eastAsia" w:ascii="宋体" w:hAnsi="宋体" w:eastAsia="宋体" w:cs="宋体"/>
          <w:sz w:val="24"/>
          <w:szCs w:val="24"/>
        </w:rPr>
      </w:pPr>
    </w:p>
    <w:p w14:paraId="750CCA01">
      <w:pPr>
        <w:pStyle w:val="3"/>
        <w:rPr>
          <w:rFonts w:hint="eastAsia" w:ascii="宋体" w:hAnsi="宋体" w:eastAsia="宋体" w:cs="宋体"/>
          <w:sz w:val="24"/>
          <w:szCs w:val="24"/>
        </w:rPr>
      </w:pPr>
    </w:p>
    <w:p w14:paraId="11557AAB">
      <w:pPr>
        <w:pStyle w:val="3"/>
        <w:rPr>
          <w:rFonts w:hint="eastAsia" w:ascii="宋体" w:hAnsi="宋体" w:eastAsia="宋体" w:cs="宋体"/>
          <w:sz w:val="24"/>
          <w:szCs w:val="24"/>
        </w:rPr>
      </w:pPr>
    </w:p>
    <w:p w14:paraId="4D618228">
      <w:pPr>
        <w:pStyle w:val="3"/>
        <w:rPr>
          <w:rFonts w:hint="eastAsia" w:ascii="宋体" w:hAnsi="宋体" w:eastAsia="宋体" w:cs="宋体"/>
          <w:sz w:val="24"/>
          <w:szCs w:val="24"/>
        </w:rPr>
      </w:pPr>
    </w:p>
    <w:p w14:paraId="7639F6DF">
      <w:pPr>
        <w:pStyle w:val="3"/>
        <w:rPr>
          <w:rFonts w:hint="eastAsia" w:ascii="宋体" w:hAnsi="宋体" w:eastAsia="宋体" w:cs="宋体"/>
          <w:sz w:val="24"/>
          <w:szCs w:val="24"/>
        </w:rPr>
      </w:pPr>
    </w:p>
    <w:p w14:paraId="37CF7CA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一、外观与结构检查</w:t>
      </w:r>
    </w:p>
    <w:tbl>
      <w:tblPr>
        <w:tblStyle w:val="21"/>
        <w:tblW w:w="930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9"/>
        <w:gridCol w:w="4075"/>
        <w:gridCol w:w="2571"/>
        <w:gridCol w:w="888"/>
      </w:tblGrid>
      <w:tr w14:paraId="7E1A7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854B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检查项目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4FA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103064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结果（合格/不合格）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0A6932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64495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7FC8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机体外观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D0B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无划痕、无破损、喷涂均匀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6BBAFA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1571F2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24011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F54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四轮四驱底盘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0D0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结构完整、轮胎完好、无松动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0F9795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3BADAB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6107F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384A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BB0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541" w:type="dxa"/>
            <w:shd w:val="clear" w:color="auto" w:fill="auto"/>
            <w:vAlign w:val="center"/>
          </w:tcPr>
          <w:p w14:paraId="72DC68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1FD64F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66E96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0BC8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传感器位置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B50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激光雷达、RTK定位仪 固定牢靠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4B4E3D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159744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37B03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A71F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线路布置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38C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无裸线、无松脱、无磨损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72F545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40F324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72A99BA9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6A0A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二、功能测试</w:t>
      </w:r>
    </w:p>
    <w:p w14:paraId="215D664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自动驾驶与导航</w:t>
      </w:r>
    </w:p>
    <w:tbl>
      <w:tblPr>
        <w:tblStyle w:val="21"/>
        <w:tblW w:w="930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588"/>
        <w:gridCol w:w="1900"/>
        <w:gridCol w:w="2300"/>
      </w:tblGrid>
      <w:tr w14:paraId="6CE3B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1849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检测项目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479C78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174079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103207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2D04E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6ECC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激光雷达启动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4DA715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正常扫描、数据稳定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7173D0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3ED2AC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4ABCC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0893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自动路径规划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09BA56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能根据地图正常规划路径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22F547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380357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6AE8C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9482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自主避障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7B2587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遇障碍能及时停止并绕行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6D33F4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135CCA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7F00AD5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巡检功能</w:t>
      </w:r>
    </w:p>
    <w:tbl>
      <w:tblPr>
        <w:tblStyle w:val="21"/>
        <w:tblW w:w="92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588"/>
        <w:gridCol w:w="1950"/>
        <w:gridCol w:w="2237"/>
      </w:tblGrid>
      <w:tr w14:paraId="7E5F8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E65E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检测项目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58925D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124A7A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  <w:tc>
          <w:tcPr>
            <w:tcW w:w="2192" w:type="dxa"/>
            <w:shd w:val="clear" w:color="auto" w:fill="auto"/>
            <w:vAlign w:val="center"/>
          </w:tcPr>
          <w:p w14:paraId="0BA337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543AC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BFFD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数据记录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1B1C92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所有巡检数据可正常保存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0E53D9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合格</w:t>
            </w:r>
          </w:p>
        </w:tc>
        <w:tc>
          <w:tcPr>
            <w:tcW w:w="2192" w:type="dxa"/>
            <w:shd w:val="clear" w:color="auto" w:fill="auto"/>
            <w:vAlign w:val="center"/>
          </w:tcPr>
          <w:p w14:paraId="68B688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</w:p>
        </w:tc>
      </w:tr>
    </w:tbl>
    <w:p w14:paraId="37C9FC26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3448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三、电气与系统检查</w:t>
      </w:r>
    </w:p>
    <w:tbl>
      <w:tblPr>
        <w:tblStyle w:val="21"/>
        <w:tblW w:w="92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3363"/>
        <w:gridCol w:w="1950"/>
        <w:gridCol w:w="2237"/>
      </w:tblGrid>
      <w:tr w14:paraId="18DD6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95" w:type="dxa"/>
            <w:shd w:val="clear" w:color="auto" w:fill="auto"/>
            <w:vAlign w:val="center"/>
          </w:tcPr>
          <w:p w14:paraId="00AC53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检测项目</w:t>
            </w:r>
          </w:p>
        </w:tc>
        <w:tc>
          <w:tcPr>
            <w:tcW w:w="3333" w:type="dxa"/>
            <w:shd w:val="clear" w:color="auto" w:fill="auto"/>
            <w:vAlign w:val="center"/>
          </w:tcPr>
          <w:p w14:paraId="169EBD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7BCAB3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  <w:tc>
          <w:tcPr>
            <w:tcW w:w="2192" w:type="dxa"/>
            <w:shd w:val="clear" w:color="auto" w:fill="auto"/>
            <w:vAlign w:val="center"/>
          </w:tcPr>
          <w:p w14:paraId="086EE0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C754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95" w:type="dxa"/>
            <w:shd w:val="clear" w:color="auto" w:fill="auto"/>
            <w:vAlign w:val="center"/>
          </w:tcPr>
          <w:p w14:paraId="768B96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电池健康度</w:t>
            </w:r>
          </w:p>
        </w:tc>
        <w:tc>
          <w:tcPr>
            <w:tcW w:w="3333" w:type="dxa"/>
            <w:shd w:val="clear" w:color="auto" w:fill="auto"/>
            <w:vAlign w:val="center"/>
          </w:tcPr>
          <w:p w14:paraId="41D973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电压正常、无过热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674A60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2192" w:type="dxa"/>
            <w:shd w:val="clear" w:color="auto" w:fill="auto"/>
            <w:vAlign w:val="center"/>
          </w:tcPr>
          <w:p w14:paraId="126B2C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1EBAC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95" w:type="dxa"/>
            <w:shd w:val="clear" w:color="auto" w:fill="auto"/>
            <w:vAlign w:val="center"/>
          </w:tcPr>
          <w:p w14:paraId="023BB9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控制系统</w:t>
            </w:r>
          </w:p>
        </w:tc>
        <w:tc>
          <w:tcPr>
            <w:tcW w:w="3333" w:type="dxa"/>
            <w:shd w:val="clear" w:color="auto" w:fill="auto"/>
            <w:vAlign w:val="center"/>
          </w:tcPr>
          <w:p w14:paraId="1C3E2E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工控机运行稳定，无报错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6FE285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2192" w:type="dxa"/>
            <w:shd w:val="clear" w:color="auto" w:fill="auto"/>
            <w:vAlign w:val="center"/>
          </w:tcPr>
          <w:p w14:paraId="2A092C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29498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95" w:type="dxa"/>
            <w:shd w:val="clear" w:color="auto" w:fill="auto"/>
            <w:vAlign w:val="center"/>
          </w:tcPr>
          <w:p w14:paraId="2B7F75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通讯模块</w:t>
            </w:r>
          </w:p>
        </w:tc>
        <w:tc>
          <w:tcPr>
            <w:tcW w:w="3333" w:type="dxa"/>
            <w:shd w:val="clear" w:color="auto" w:fill="auto"/>
            <w:vAlign w:val="center"/>
          </w:tcPr>
          <w:p w14:paraId="179CBA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4G/WiFi 通讯正常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577CB4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2192" w:type="dxa"/>
            <w:shd w:val="clear" w:color="auto" w:fill="auto"/>
            <w:vAlign w:val="center"/>
          </w:tcPr>
          <w:p w14:paraId="67E936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349E6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95" w:type="dxa"/>
            <w:shd w:val="clear" w:color="auto" w:fill="auto"/>
            <w:vAlign w:val="center"/>
          </w:tcPr>
          <w:p w14:paraId="345E10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紧急停机按钮</w:t>
            </w:r>
          </w:p>
        </w:tc>
        <w:tc>
          <w:tcPr>
            <w:tcW w:w="3333" w:type="dxa"/>
            <w:shd w:val="clear" w:color="auto" w:fill="auto"/>
            <w:vAlign w:val="center"/>
          </w:tcPr>
          <w:p w14:paraId="6F8C84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按下可立即切断动力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732F18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2192" w:type="dxa"/>
            <w:shd w:val="clear" w:color="auto" w:fill="auto"/>
            <w:vAlign w:val="center"/>
          </w:tcPr>
          <w:p w14:paraId="54F341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7CE36AF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D4DB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四、软件与界面检查</w:t>
      </w:r>
    </w:p>
    <w:tbl>
      <w:tblPr>
        <w:tblStyle w:val="21"/>
        <w:tblW w:w="927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588"/>
        <w:gridCol w:w="1950"/>
        <w:gridCol w:w="2225"/>
      </w:tblGrid>
      <w:tr w14:paraId="52E8E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3062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检测项目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7457FF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5E1757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  <w:tc>
          <w:tcPr>
            <w:tcW w:w="2180" w:type="dxa"/>
            <w:shd w:val="clear" w:color="auto" w:fill="auto"/>
            <w:vAlign w:val="center"/>
          </w:tcPr>
          <w:p w14:paraId="250814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015D6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CD8D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主控界面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475938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功能按钮正常、界面流畅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19EEED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2180" w:type="dxa"/>
            <w:shd w:val="clear" w:color="auto" w:fill="auto"/>
            <w:vAlign w:val="center"/>
          </w:tcPr>
          <w:p w14:paraId="355BC2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59DD6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6D57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日志记录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10CFE5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自动生成巡检日志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782FD8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2180" w:type="dxa"/>
            <w:shd w:val="clear" w:color="auto" w:fill="auto"/>
            <w:vAlign w:val="center"/>
          </w:tcPr>
          <w:p w14:paraId="473A02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115E1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0E3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远程控制平台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094F98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可正常连接和操作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5FEAA5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2180" w:type="dxa"/>
            <w:shd w:val="clear" w:color="auto" w:fill="auto"/>
            <w:vAlign w:val="center"/>
          </w:tcPr>
          <w:p w14:paraId="0D734F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3698F020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27B0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五、环境测试</w:t>
      </w:r>
    </w:p>
    <w:tbl>
      <w:tblPr>
        <w:tblStyle w:val="21"/>
        <w:tblW w:w="927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093"/>
        <w:gridCol w:w="1962"/>
        <w:gridCol w:w="2188"/>
      </w:tblGrid>
      <w:tr w14:paraId="125CE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3BAE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检测项目</w:t>
            </w:r>
          </w:p>
        </w:tc>
        <w:tc>
          <w:tcPr>
            <w:tcW w:w="4063" w:type="dxa"/>
            <w:shd w:val="clear" w:color="auto" w:fill="auto"/>
            <w:vAlign w:val="center"/>
          </w:tcPr>
          <w:p w14:paraId="5D74B1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5BD1F4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  <w:tc>
          <w:tcPr>
            <w:tcW w:w="2143" w:type="dxa"/>
            <w:shd w:val="clear" w:color="auto" w:fill="auto"/>
            <w:vAlign w:val="center"/>
          </w:tcPr>
          <w:p w14:paraId="6A43E2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6AE83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CB10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高温测试</w:t>
            </w:r>
          </w:p>
        </w:tc>
        <w:tc>
          <w:tcPr>
            <w:tcW w:w="4063" w:type="dxa"/>
            <w:shd w:val="clear" w:color="auto" w:fill="auto"/>
            <w:vAlign w:val="center"/>
          </w:tcPr>
          <w:p w14:paraId="30EDC7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在高温环境下稳定运行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2582F1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2143" w:type="dxa"/>
            <w:shd w:val="clear" w:color="auto" w:fill="auto"/>
            <w:vAlign w:val="center"/>
          </w:tcPr>
          <w:p w14:paraId="56E2B5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0F067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574E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低温测试</w:t>
            </w:r>
          </w:p>
        </w:tc>
        <w:tc>
          <w:tcPr>
            <w:tcW w:w="4063" w:type="dxa"/>
            <w:shd w:val="clear" w:color="auto" w:fill="auto"/>
            <w:vAlign w:val="center"/>
          </w:tcPr>
          <w:p w14:paraId="20E6B9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在低温环境下稳定运行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411168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2143" w:type="dxa"/>
            <w:shd w:val="clear" w:color="auto" w:fill="auto"/>
            <w:vAlign w:val="center"/>
          </w:tcPr>
          <w:p w14:paraId="7C98AF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7F047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8B01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防水防尘</w:t>
            </w:r>
          </w:p>
        </w:tc>
        <w:tc>
          <w:tcPr>
            <w:tcW w:w="4063" w:type="dxa"/>
            <w:shd w:val="clear" w:color="auto" w:fill="auto"/>
            <w:vAlign w:val="center"/>
          </w:tcPr>
          <w:p w14:paraId="0C4AC6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IP54等级符合要求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00A9D6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  <w:tc>
          <w:tcPr>
            <w:tcW w:w="2143" w:type="dxa"/>
            <w:shd w:val="clear" w:color="auto" w:fill="auto"/>
            <w:vAlign w:val="center"/>
          </w:tcPr>
          <w:p w14:paraId="3C52DE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70EB40D2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3796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六、最终验收</w:t>
      </w:r>
    </w:p>
    <w:tbl>
      <w:tblPr>
        <w:tblStyle w:val="21"/>
        <w:tblW w:w="927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825"/>
        <w:gridCol w:w="2938"/>
      </w:tblGrid>
      <w:tr w14:paraId="0BF4B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776A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4795" w:type="dxa"/>
            <w:shd w:val="clear" w:color="auto" w:fill="auto"/>
            <w:vAlign w:val="center"/>
          </w:tcPr>
          <w:p w14:paraId="12AD42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1CF920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6CD70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9F68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整机测试结果</w:t>
            </w:r>
          </w:p>
        </w:tc>
        <w:tc>
          <w:tcPr>
            <w:tcW w:w="4795" w:type="dxa"/>
            <w:shd w:val="clear" w:color="auto" w:fill="auto"/>
            <w:vAlign w:val="center"/>
          </w:tcPr>
          <w:p w14:paraId="5679D4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所有项目是否全部合格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60993E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</w:tr>
      <w:tr w14:paraId="00DA3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3F65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出厂批准</w:t>
            </w:r>
          </w:p>
        </w:tc>
        <w:tc>
          <w:tcPr>
            <w:tcW w:w="4795" w:type="dxa"/>
            <w:shd w:val="clear" w:color="auto" w:fill="auto"/>
            <w:vAlign w:val="center"/>
          </w:tcPr>
          <w:p w14:paraId="71C7DB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是否准予出厂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22BAC2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合格</w:t>
            </w:r>
          </w:p>
        </w:tc>
      </w:tr>
    </w:tbl>
    <w:p w14:paraId="18895FEB">
      <w:pPr>
        <w:pStyle w:val="20"/>
        <w:keepNext w:val="0"/>
        <w:keepLines w:val="0"/>
        <w:widowControl/>
        <w:suppressLineNumbers w:val="0"/>
        <w:rPr>
          <w:rStyle w:val="23"/>
          <w:rFonts w:hint="eastAsia" w:ascii="宋体" w:hAnsi="宋体" w:eastAsia="宋体" w:cs="宋体"/>
        </w:rPr>
      </w:pPr>
    </w:p>
    <w:p w14:paraId="7E19EB7D">
      <w:pPr>
        <w:pStyle w:val="20"/>
        <w:keepNext w:val="0"/>
        <w:keepLines w:val="0"/>
        <w:widowControl/>
        <w:suppressLineNumbers w:val="0"/>
        <w:rPr>
          <w:rFonts w:hint="default" w:ascii="宋体" w:hAnsi="宋体" w:eastAsia="宋体" w:cs="宋体"/>
          <w:lang w:val="en-US" w:eastAsia="zh-CN"/>
        </w:rPr>
      </w:pPr>
      <w:r>
        <w:rPr>
          <w:rStyle w:val="23"/>
          <w:rFonts w:hint="eastAsia" w:ascii="宋体" w:hAnsi="宋体" w:eastAsia="宋体" w:cs="宋体"/>
        </w:rPr>
        <w:t>负责人签字：</w:t>
      </w:r>
      <w:r>
        <w:rPr>
          <w:rFonts w:hint="eastAsia" w:ascii="宋体" w:hAnsi="宋体" w:eastAsia="宋体" w:cs="宋体"/>
          <w:u w:val="single"/>
        </w:rPr>
        <w:t xml:space="preserve">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林景聪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23"/>
          <w:rFonts w:hint="eastAsia" w:ascii="宋体" w:hAnsi="宋体" w:eastAsia="宋体" w:cs="宋体"/>
        </w:rPr>
        <w:t>日期：</w:t>
      </w:r>
      <w:r>
        <w:rPr>
          <w:rStyle w:val="23"/>
          <w:rFonts w:hint="eastAsia" w:ascii="宋体" w:hAnsi="宋体" w:eastAsia="宋体" w:cs="宋体"/>
          <w:b w:val="0"/>
          <w:bCs/>
          <w:u w:val="single"/>
          <w:lang w:val="en-US" w:eastAsia="zh-CN"/>
        </w:rPr>
        <w:t xml:space="preserve">2025 年 12 月 1 日 </w:t>
      </w:r>
      <w:r>
        <w:rPr>
          <w:rStyle w:val="23"/>
          <w:rFonts w:hint="eastAsia" w:ascii="宋体" w:hAnsi="宋体" w:eastAsia="宋体" w:cs="宋体"/>
          <w:b w:val="0"/>
          <w:bCs/>
          <w:u w:val="none"/>
          <w:lang w:val="en-US" w:eastAsia="zh-CN"/>
        </w:rPr>
        <w:t xml:space="preserve">  </w:t>
      </w:r>
    </w:p>
    <w:p w14:paraId="79831948">
      <w:pPr>
        <w:pStyle w:val="3"/>
        <w:rPr>
          <w:rFonts w:hint="eastAsia" w:ascii="宋体" w:hAnsi="宋体" w:eastAsia="宋体" w:cs="宋体"/>
          <w:sz w:val="24"/>
          <w:szCs w:val="24"/>
        </w:rPr>
      </w:pPr>
    </w:p>
    <w:bookmarkEnd w:id="0"/>
    <w:bookmarkEnd w:id="1"/>
    <w:sectPr>
      <w:headerReference r:id="rId4" w:type="default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18578">
    <w:pPr>
      <w:pStyle w:val="16"/>
      <w:jc w:val="center"/>
    </w:pPr>
    <w:r>
      <w:drawing>
        <wp:inline distT="0" distB="0" distL="114300" distR="114300">
          <wp:extent cx="1281430" cy="101600"/>
          <wp:effectExtent l="0" t="0" r="13970" b="12700"/>
          <wp:docPr id="1" name="图片 1" descr="普蓝机器人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普蓝机器人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1430" cy="10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99BDB09">
    <w:pPr>
      <w:pStyle w:val="16"/>
      <w:jc w:val="center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南通市普蓝机器人有限公司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14F29"/>
    <w:rsid w:val="3DAC1AB8"/>
    <w:rsid w:val="3FA03C91"/>
    <w:rsid w:val="42EE54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2">
    <w:name w:val="Default Paragraph Font"/>
    <w:semiHidden/>
    <w:unhideWhenUsed/>
    <w:qFormat/>
    <w:uiPriority w:val="0"/>
  </w:style>
  <w:style w:type="table" w:default="1" w:styleId="21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5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Subtitle"/>
    <w:basedOn w:val="18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8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5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5">
    <w:name w:val="Body Text Char"/>
    <w:basedOn w:val="22"/>
    <w:link w:val="3"/>
    <w:qFormat/>
    <w:uiPriority w:val="0"/>
  </w:style>
  <w:style w:type="character" w:styleId="26">
    <w:name w:val="footnote reference"/>
    <w:basedOn w:val="25"/>
    <w:qFormat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basedOn w:val="22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22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1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1 Char"/>
    <w:basedOn w:val="2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6">
    <w:name w:val="Heading 2 Char"/>
    <w:basedOn w:val="2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7">
    <w:name w:val="Heading 3 Char"/>
    <w:basedOn w:val="2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8">
    <w:name w:val="Heading 4 Char"/>
    <w:basedOn w:val="2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9">
    <w:name w:val="Heading 5 Char"/>
    <w:basedOn w:val="2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40">
    <w:name w:val="Heading 6 Char"/>
    <w:basedOn w:val="2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Heading 7 Char"/>
    <w:basedOn w:val="2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Heading 8 Char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3">
    <w:name w:val="Heading 9 Char"/>
    <w:basedOn w:val="2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4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qFormat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qFormat/>
    <w:uiPriority w:val="0"/>
  </w:style>
  <w:style w:type="paragraph" w:customStyle="1" w:styleId="48">
    <w:name w:val="Table Caption"/>
    <w:basedOn w:val="12"/>
    <w:qFormat/>
    <w:uiPriority w:val="0"/>
    <w:pPr>
      <w:keepNext/>
    </w:pPr>
  </w:style>
  <w:style w:type="paragraph" w:customStyle="1" w:styleId="49">
    <w:name w:val="Image Caption"/>
    <w:basedOn w:val="12"/>
    <w:qFormat/>
    <w:uiPriority w:val="0"/>
  </w:style>
  <w:style w:type="paragraph" w:customStyle="1" w:styleId="50">
    <w:name w:val="Figure"/>
    <w:basedOn w:val="1"/>
    <w:qFormat/>
    <w:uiPriority w:val="0"/>
  </w:style>
  <w:style w:type="paragraph" w:customStyle="1" w:styleId="51">
    <w:name w:val="Captioned Figure"/>
    <w:basedOn w:val="50"/>
    <w:qFormat/>
    <w:uiPriority w:val="0"/>
    <w:pPr>
      <w:keepNext/>
    </w:pPr>
  </w:style>
  <w:style w:type="character" w:customStyle="1" w:styleId="52">
    <w:name w:val="Verbatim Char"/>
    <w:basedOn w:val="25"/>
    <w:link w:val="53"/>
    <w:qFormat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qFormat/>
    <w:uiPriority w:val="0"/>
    <w:pPr>
      <w:wordWrap w:val="0"/>
    </w:pPr>
  </w:style>
  <w:style w:type="character" w:customStyle="1" w:styleId="54">
    <w:name w:val="Section Number"/>
    <w:basedOn w:val="25"/>
    <w:qFormat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6">
    <w:name w:val="KeywordTok"/>
    <w:basedOn w:val="52"/>
    <w:qFormat/>
    <w:uiPriority w:val="0"/>
    <w:rPr>
      <w:b/>
      <w:color w:val="007020"/>
    </w:rPr>
  </w:style>
  <w:style w:type="character" w:customStyle="1" w:styleId="57">
    <w:name w:val="DataTypeTok"/>
    <w:basedOn w:val="52"/>
    <w:qFormat/>
    <w:uiPriority w:val="0"/>
    <w:rPr>
      <w:color w:val="902000"/>
    </w:rPr>
  </w:style>
  <w:style w:type="character" w:customStyle="1" w:styleId="58">
    <w:name w:val="DecValTok"/>
    <w:basedOn w:val="52"/>
    <w:qFormat/>
    <w:uiPriority w:val="0"/>
    <w:rPr>
      <w:color w:val="40A070"/>
    </w:rPr>
  </w:style>
  <w:style w:type="character" w:customStyle="1" w:styleId="59">
    <w:name w:val="BaseNTok"/>
    <w:basedOn w:val="52"/>
    <w:qFormat/>
    <w:uiPriority w:val="0"/>
    <w:rPr>
      <w:color w:val="40A070"/>
    </w:rPr>
  </w:style>
  <w:style w:type="character" w:customStyle="1" w:styleId="60">
    <w:name w:val="FloatTok"/>
    <w:basedOn w:val="52"/>
    <w:qFormat/>
    <w:uiPriority w:val="0"/>
    <w:rPr>
      <w:color w:val="40A070"/>
    </w:rPr>
  </w:style>
  <w:style w:type="character" w:customStyle="1" w:styleId="61">
    <w:name w:val="ConstantTok"/>
    <w:basedOn w:val="52"/>
    <w:qFormat/>
    <w:uiPriority w:val="0"/>
    <w:rPr>
      <w:color w:val="880000"/>
    </w:rPr>
  </w:style>
  <w:style w:type="character" w:customStyle="1" w:styleId="62">
    <w:name w:val="CharTok"/>
    <w:basedOn w:val="52"/>
    <w:qFormat/>
    <w:uiPriority w:val="0"/>
    <w:rPr>
      <w:color w:val="4070A0"/>
    </w:rPr>
  </w:style>
  <w:style w:type="character" w:customStyle="1" w:styleId="63">
    <w:name w:val="SpecialCharTok"/>
    <w:basedOn w:val="52"/>
    <w:qFormat/>
    <w:uiPriority w:val="0"/>
    <w:rPr>
      <w:color w:val="4070A0"/>
    </w:rPr>
  </w:style>
  <w:style w:type="character" w:customStyle="1" w:styleId="64">
    <w:name w:val="StringTok"/>
    <w:basedOn w:val="52"/>
    <w:qFormat/>
    <w:uiPriority w:val="0"/>
    <w:rPr>
      <w:color w:val="4070A0"/>
    </w:rPr>
  </w:style>
  <w:style w:type="character" w:customStyle="1" w:styleId="65">
    <w:name w:val="VerbatimStringTok"/>
    <w:basedOn w:val="52"/>
    <w:qFormat/>
    <w:uiPriority w:val="0"/>
    <w:rPr>
      <w:color w:val="4070A0"/>
    </w:rPr>
  </w:style>
  <w:style w:type="character" w:customStyle="1" w:styleId="66">
    <w:name w:val="SpecialStringTok"/>
    <w:basedOn w:val="52"/>
    <w:qFormat/>
    <w:uiPriority w:val="0"/>
    <w:rPr>
      <w:color w:val="BB6688"/>
    </w:rPr>
  </w:style>
  <w:style w:type="character" w:customStyle="1" w:styleId="67">
    <w:name w:val="ImportTok"/>
    <w:basedOn w:val="52"/>
    <w:qFormat/>
    <w:uiPriority w:val="0"/>
    <w:rPr>
      <w:b/>
      <w:color w:val="008000"/>
    </w:rPr>
  </w:style>
  <w:style w:type="character" w:customStyle="1" w:styleId="68">
    <w:name w:val="CommentTok"/>
    <w:basedOn w:val="52"/>
    <w:qFormat/>
    <w:uiPriority w:val="0"/>
    <w:rPr>
      <w:i/>
      <w:color w:val="60A0B0"/>
    </w:rPr>
  </w:style>
  <w:style w:type="character" w:customStyle="1" w:styleId="69">
    <w:name w:val="DocumentationTok"/>
    <w:basedOn w:val="52"/>
    <w:qFormat/>
    <w:uiPriority w:val="0"/>
    <w:rPr>
      <w:i/>
      <w:color w:val="BA2121"/>
    </w:rPr>
  </w:style>
  <w:style w:type="character" w:customStyle="1" w:styleId="70">
    <w:name w:val="AnnotationTok"/>
    <w:basedOn w:val="52"/>
    <w:qFormat/>
    <w:uiPriority w:val="0"/>
    <w:rPr>
      <w:b/>
      <w:i/>
      <w:color w:val="60A0B0"/>
    </w:rPr>
  </w:style>
  <w:style w:type="character" w:customStyle="1" w:styleId="71">
    <w:name w:val="CommentVarTok"/>
    <w:basedOn w:val="52"/>
    <w:qFormat/>
    <w:uiPriority w:val="0"/>
    <w:rPr>
      <w:b/>
      <w:i/>
      <w:color w:val="60A0B0"/>
    </w:rPr>
  </w:style>
  <w:style w:type="character" w:customStyle="1" w:styleId="72">
    <w:name w:val="OtherTok"/>
    <w:basedOn w:val="52"/>
    <w:qFormat/>
    <w:uiPriority w:val="0"/>
    <w:rPr>
      <w:color w:val="007020"/>
    </w:rPr>
  </w:style>
  <w:style w:type="character" w:customStyle="1" w:styleId="73">
    <w:name w:val="FunctionTok"/>
    <w:basedOn w:val="52"/>
    <w:qFormat/>
    <w:uiPriority w:val="0"/>
    <w:rPr>
      <w:color w:val="06287E"/>
    </w:rPr>
  </w:style>
  <w:style w:type="character" w:customStyle="1" w:styleId="74">
    <w:name w:val="VariableTok"/>
    <w:basedOn w:val="52"/>
    <w:qFormat/>
    <w:uiPriority w:val="0"/>
    <w:rPr>
      <w:color w:val="19177C"/>
    </w:rPr>
  </w:style>
  <w:style w:type="character" w:customStyle="1" w:styleId="75">
    <w:name w:val="ControlFlowTok"/>
    <w:basedOn w:val="52"/>
    <w:qFormat/>
    <w:uiPriority w:val="0"/>
    <w:rPr>
      <w:b/>
      <w:color w:val="007020"/>
    </w:rPr>
  </w:style>
  <w:style w:type="character" w:customStyle="1" w:styleId="76">
    <w:name w:val="OperatorTok"/>
    <w:basedOn w:val="52"/>
    <w:qFormat/>
    <w:uiPriority w:val="0"/>
    <w:rPr>
      <w:color w:val="666666"/>
    </w:rPr>
  </w:style>
  <w:style w:type="character" w:customStyle="1" w:styleId="77">
    <w:name w:val="BuiltInTok"/>
    <w:basedOn w:val="52"/>
    <w:qFormat/>
    <w:uiPriority w:val="0"/>
    <w:rPr>
      <w:color w:val="008000"/>
    </w:rPr>
  </w:style>
  <w:style w:type="character" w:customStyle="1" w:styleId="78">
    <w:name w:val="ExtensionTok"/>
    <w:basedOn w:val="52"/>
    <w:qFormat/>
    <w:uiPriority w:val="0"/>
  </w:style>
  <w:style w:type="character" w:customStyle="1" w:styleId="79">
    <w:name w:val="PreprocessorTok"/>
    <w:basedOn w:val="52"/>
    <w:qFormat/>
    <w:uiPriority w:val="0"/>
    <w:rPr>
      <w:color w:val="BC7A00"/>
    </w:rPr>
  </w:style>
  <w:style w:type="character" w:customStyle="1" w:styleId="80">
    <w:name w:val="AttributeTok"/>
    <w:basedOn w:val="52"/>
    <w:qFormat/>
    <w:uiPriority w:val="0"/>
    <w:rPr>
      <w:color w:val="7D9029"/>
    </w:rPr>
  </w:style>
  <w:style w:type="character" w:customStyle="1" w:styleId="81">
    <w:name w:val="RegionMarkerTok"/>
    <w:basedOn w:val="52"/>
    <w:qFormat/>
    <w:uiPriority w:val="0"/>
  </w:style>
  <w:style w:type="character" w:customStyle="1" w:styleId="82">
    <w:name w:val="InformationTok"/>
    <w:basedOn w:val="52"/>
    <w:qFormat/>
    <w:uiPriority w:val="0"/>
    <w:rPr>
      <w:b/>
      <w:i/>
      <w:color w:val="60A0B0"/>
    </w:rPr>
  </w:style>
  <w:style w:type="character" w:customStyle="1" w:styleId="83">
    <w:name w:val="WarningTok"/>
    <w:basedOn w:val="52"/>
    <w:qFormat/>
    <w:uiPriority w:val="0"/>
    <w:rPr>
      <w:b/>
      <w:i/>
      <w:color w:val="60A0B0"/>
    </w:rPr>
  </w:style>
  <w:style w:type="character" w:customStyle="1" w:styleId="84">
    <w:name w:val="AlertTok"/>
    <w:basedOn w:val="52"/>
    <w:qFormat/>
    <w:uiPriority w:val="0"/>
    <w:rPr>
      <w:b/>
      <w:color w:val="FF0000"/>
    </w:rPr>
  </w:style>
  <w:style w:type="character" w:customStyle="1" w:styleId="85">
    <w:name w:val="ErrorTok"/>
    <w:basedOn w:val="52"/>
    <w:qFormat/>
    <w:uiPriority w:val="0"/>
    <w:rPr>
      <w:b/>
      <w:color w:val="FF0000"/>
    </w:rPr>
  </w:style>
  <w:style w:type="character" w:customStyle="1" w:styleId="86">
    <w:name w:val="NormalTok"/>
    <w:basedOn w:val="5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550</Words>
  <Characters>594</Characters>
  <Lines>12</Lines>
  <Paragraphs>8</Paragraphs>
  <TotalTime>9</TotalTime>
  <ScaleCrop>false</ScaleCrop>
  <LinksUpToDate>false</LinksUpToDate>
  <CharactersWithSpaces>612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2025-12-04T05:59:00Z</dcterms:created>
  <dc:creator>Pay</dc:creator>
  <cp:lastModifiedBy>乌冬国のカラ松girl</cp:lastModifiedBy>
  <dcterms:modified xsi:type="dcterms:W3CDTF">2025-12-05T01:59:18Z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eyJoZGlkIjoiNWEyMDdiMWIyMTgyYjU2YzBkZmE2MzdkNzY2OGNlOWUiLCJ1c2VySWQiOiIyNzYyMzEyODUifQ==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346F4FA937A246ACB5EA2B4088C595F4_13</vt:lpwstr>
  </property>
</Properties>
</file>