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104d09cd044039a89aff5c48557e52b29bf8de"/>
    <w:p>
      <w:pPr>
        <w:pStyle w:val="Ttulo1"/>
      </w:pPr>
      <w:r>
        <w:t xml:space="preserve">Propuesta de Agente: Monitor de Consumos Ambientales</w:t>
      </w:r>
    </w:p>
    <w:p>
      <w:pPr>
        <w:pStyle w:val="FirstParagraph"/>
      </w:pPr>
      <w:r>
        <w:rPr>
          <w:bCs/>
          <w:b/>
        </w:rPr>
        <w:t xml:space="preserve">Nivel de complejidad:</w:t>
      </w:r>
      <w:r>
        <w:t xml:space="preserve"> </w:t>
      </w:r>
      <w:r>
        <w:t xml:space="preserve">Intermedio</w:t>
      </w:r>
      <w:r>
        <w:t xml:space="preserve"> </w:t>
      </w:r>
      <w:r>
        <w:rPr>
          <w:bCs/>
          <w:b/>
        </w:rPr>
        <w:t xml:space="preserve">Área impulsora:</w:t>
      </w:r>
      <w:r>
        <w:t xml:space="preserve"> </w:t>
      </w:r>
      <w:r>
        <w:t xml:space="preserve">Gestión Ambiental (SGA), con soporte de Infraestructura y Servicios Generales</w:t>
      </w:r>
    </w:p>
    <w:p>
      <w:pPr>
        <w:pStyle w:val="BlockText"/>
      </w:pPr>
      <w:r>
        <w:rPr>
          <w:bCs/>
          <w:b/>
        </w:rPr>
        <w:t xml:space="preserve">Fuente de contexto:</w:t>
      </w:r>
      <w:r>
        <w:t xml:space="preserve"> </w:t>
      </w:r>
      <w:r>
        <w:t xml:space="preserve">esta propuesta incorpora el detalle relevado en el</w:t>
      </w:r>
      <w:r>
        <w:t xml:space="preserve"> </w:t>
      </w:r>
      <w:r>
        <w:rPr>
          <w:iCs/>
          <w:i/>
        </w:rPr>
        <w:t xml:space="preserve">AI Pilot Canvas — Sistema de Gestión Ambiental (SGA)</w:t>
      </w:r>
      <w:r>
        <w:t xml:space="preserve"> </w:t>
      </w:r>
      <w:r>
        <w:t xml:space="preserve">(Gerencia de Planeación, Programa AI Pilot Accelerator, v2.0 — 2025), específicamente la</w:t>
      </w:r>
      <w:r>
        <w:t xml:space="preserve"> </w:t>
      </w:r>
      <w:r>
        <w:rPr>
          <w:bCs/>
          <w:b/>
        </w:rPr>
        <w:t xml:space="preserve">Propuesta 1</w:t>
      </w:r>
      <w:r>
        <w:t xml:space="preserve"> </w:t>
      </w:r>
      <w:r>
        <w:t xml:space="preserve">de ese canvas: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Extracción y Consolidación Automática de Facturas de Servicios Públicos con IA</w:t>
      </w:r>
      <w:r>
        <w:rPr>
          <w:iCs/>
          <w:i/>
        </w:rPr>
        <w:t xml:space="preserve">”</w:t>
      </w:r>
      <w:r>
        <w:t xml:space="preserve">. Los datos operativos (horas, prestadores, reglas de extracción, actores, riesgos, KPIs) provienen de ese documento; donde el canvas no cubre algo, se deja indicado como propuesta adicional.</w:t>
      </w:r>
    </w:p>
    <w:p>
      <w:r>
        <w:pict>
          <v:rect style="width:0;height:1.5pt" o:hralign="center" o:hrstd="t" o:hr="t"/>
        </w:pict>
      </w:r>
    </w:p>
    <w:bookmarkStart w:id="20" w:name="problema"/>
    <w:p>
      <w:pPr>
        <w:pStyle w:val="Ttulo2"/>
      </w:pPr>
      <w:r>
        <w:t xml:space="preserve">1. Problema</w:t>
      </w:r>
    </w:p>
    <w:p>
      <w:pPr>
        <w:pStyle w:val="FirstParagraph"/>
      </w:pPr>
      <w:r>
        <w:t xml:space="preserve">La institución opera múltiples sedes en Bogotá y Medellín, y hoy la consolidación de consumos ambientales depende de un proceso manual documentado así en el canvas SGA: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Recepción de facturas por correo</w:t>
      </w:r>
      <w:r>
        <w:t xml:space="preserve">: Gestión Administrativa Bogotá y Coordinación Administrativa Medellín envían las facturas en PDF al Analista SGA, sin protocolo formal de fecha límite.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Extracción manual dato a dato</w:t>
      </w:r>
      <w:r>
        <w:t xml:space="preserve">: el Analista SGA abre cada PDF y localiza a mano los consumos (m³, kWh, kg) y valores ($) — proceso repetitivo y propenso a error de digitación, agravado porque cada prestador (Enel, EPM, Acueducto de Bogotá, CSU) usa un formato distinto y algunos PDFs son imágenes escaneadas que requieren OCR.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Transcripción y consolidación en Excel</w:t>
      </w:r>
      <w:r>
        <w:t xml:space="preserve">: los datos de Bogotá y Medellín se consolidan a mano en una base Excel por componente (agua, energía, aseo), sede y ciudad.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Cálculo de indicadores y generación de reportes</w:t>
      </w:r>
      <w:r>
        <w:t xml:space="preserve">: el Coordinador SGA calcula consumo per cápita, variación y huella de carbono, y arma los reportes para GreenMetric e inventario GEI.</w:t>
      </w:r>
    </w:p>
    <w:p>
      <w:pPr>
        <w:pStyle w:val="FirstParagraph"/>
      </w:pPr>
      <w:r>
        <w:rPr>
          <w:bCs/>
          <w:b/>
        </w:rPr>
        <w:t xml:space="preserve">Tiempo actual estimado: ~12 horas/mes</w:t>
      </w:r>
      <w:r>
        <w:t xml:space="preserve"> </w:t>
      </w:r>
      <w:r>
        <w:t xml:space="preserve">solo en el flujo de facturas (recepción, extracción, transcripción, consolidación, cálculo y reporte).</w:t>
      </w:r>
    </w:p>
    <w:p>
      <w:pPr>
        <w:pStyle w:val="BodyText"/>
      </w:pPr>
      <w:r>
        <w:rPr>
          <w:bCs/>
          <w:b/>
        </w:rPr>
        <w:t xml:space="preserve">Consecuencias si no se resuelve</w:t>
      </w:r>
      <w:r>
        <w:t xml:space="preserve"> </w:t>
      </w:r>
      <w:r>
        <w:t xml:space="preserve">(según el canvas):</w:t>
      </w:r>
      <w:r>
        <w:t xml:space="preserve"> </w:t>
      </w:r>
      <w:r>
        <w:t xml:space="preserve">1. Errores en la consolidación de consumos que se propagan a los indicadores ambientales.</w:t>
      </w:r>
      <w:r>
        <w:t xml:space="preserve"> </w:t>
      </w:r>
      <w:r>
        <w:t xml:space="preserve">2. Rezagos en los reportes de indicadores energéticos, hídricos y de aseo.</w:t>
      </w:r>
      <w:r>
        <w:t xml:space="preserve"> </w:t>
      </w:r>
      <w:r>
        <w:t xml:space="preserve">3. Impacto directo en la calidad del reporte a GreenMetric, en el cálculo de GEI (gases de efecto invernadero) y en el seguimiento de aspectos ambientales significativos.</w:t>
      </w:r>
      <w:r>
        <w:t xml:space="preserve"> </w:t>
      </w:r>
      <w:r>
        <w:t xml:space="preserve">4. Dificultad para reportar de forma oportuna a directivos y entes de control/acreditación.</w:t>
      </w:r>
    </w:p>
    <w:p>
      <w:pPr>
        <w:pStyle w:val="BodyText"/>
      </w:pPr>
      <w:r>
        <w:rPr>
          <w:iCs/>
          <w:i/>
        </w:rPr>
        <w:t xml:space="preserve">Impacto calificado en el canvas: 5/5 (crítico).</w:t>
      </w:r>
    </w:p>
    <w:bookmarkEnd w:id="20"/>
    <w:bookmarkStart w:id="21" w:name="objetivo-general"/>
    <w:p>
      <w:pPr>
        <w:pStyle w:val="Ttulo2"/>
      </w:pPr>
      <w:r>
        <w:t xml:space="preserve">2. Objetivo general</w:t>
      </w:r>
    </w:p>
    <w:p>
      <w:pPr>
        <w:pStyle w:val="FirstParagraph"/>
      </w:pPr>
      <w:r>
        <w:t xml:space="preserve">Automatizar la extracción, validación y consolidación de los datos de consumo de las facturas de servicios públicos de todas las sedes, para reducir el tiempo de procesamiento de ~12 horas/mes a máximo 2 horas/mes de solo revisión y aprobación, y para anticipar desviaciones de sobreconsumo mediante alertas tempranas validadas por el equipo de Gestión Ambiental.</w:t>
      </w:r>
    </w:p>
    <w:bookmarkEnd w:id="21"/>
    <w:bookmarkStart w:id="22" w:name="usuarios-actores-del-proceso"/>
    <w:p>
      <w:pPr>
        <w:pStyle w:val="Ttulo2"/>
      </w:pPr>
      <w:r>
        <w:t xml:space="preserve">3. Usuarios / Actores del proceso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Rol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Qué hace hoy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Qué hará con el agente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Cs/>
                <w:b/>
                <w:sz w:val="19"/>
              </w:rPr>
              <w:t xml:space="preserve">Analista SGA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Recibe facturas, extrae datos a mano, consolida base, calcula indicadores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Carga facturas, valida los datos marcados por la IA, aprueba la extracción — recibe alertas de datos faltantes o atípicos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bCs/>
                <w:b/>
                <w:sz w:val="19"/>
              </w:rPr>
              <w:t xml:space="preserve">Coordinador SGA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Revisa la base consolidada, genera reportes GreenMetric/GEI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Exporta reportes, descarga la base validada, visualiza tendencias en el tablero — recibe alertas de variaciones significativas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Cs/>
                <w:b/>
                <w:sz w:val="19"/>
              </w:rPr>
              <w:t xml:space="preserve">Gestión Administrativa Bogotá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Envía las facturas por correo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Mantiene el envío en la fecha acordada (no tiene acceso directo al sistema)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bCs/>
                <w:b/>
                <w:sz w:val="19"/>
              </w:rPr>
              <w:t xml:space="preserve">Coordinación Administrativa Medellín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Comparte base Excel de consumos + facturas EPM en PDF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Consulta y valida los datos de su sede en un tablero filtrado por Medellín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bCs/>
                <w:b/>
                <w:sz w:val="19"/>
              </w:rPr>
              <w:t xml:space="preserve">Dirección / Gerencia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Consulta reportes ya consolidados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Consulta el resumen ejecutivo del tablero y descarga el PDF ejecutivo</w:t>
            </w:r>
          </w:p>
        </w:tc>
      </w:tr>
    </w:tbl>
    <w:bookmarkEnd w:id="22"/>
    <w:bookmarkStart w:id="23" w:name="entradas-fuentes-de-datos"/>
    <w:p>
      <w:pPr>
        <w:pStyle w:val="Ttulo2"/>
      </w:pPr>
      <w:r>
        <w:t xml:space="preserve">4. Entradas (fuentes de datos)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Fuente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De dónde viene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Formato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Frecuencia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¿Disponible hoy?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Facturas de energía — Enel (Bogotá)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Correo desde Gestión Administrativa Bogotá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PDF (texto e imagen combinados; varía por sede: Campus, City, Calle 84)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Mensual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Sí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Factura unificada EPM (Medellín) — agua, energía y aseo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Coordinación Administrativa Medellín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PDF / Excel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Mensual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Sí — requiere separar los 3 componentes de un mismo PDF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Facturas de agua — Acueducto de Bogotá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Correo desde Gestión Administrativa Bogotá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PDF (alta proporción de imagen escaneada)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Mensual / bimensual según sede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Sí — algunas sedes son bimensuales; el agente no debe alertar dato faltante en meses sin factura para esas sedes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Facturas CSU propias (Bogotá)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Correo desde Gestión Administrativa Bogotá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PDF (medidores independientes de energía y agua)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Mensual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Sí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Datos maestros de sedes/edificios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(entrada adicional necesaria, no cubierta en el canvas)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A definir con Infraestructura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Área en m², número de colaboradores/estudiantes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Estática, actualizable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Pendiente de confirmar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Historial de consumos (mínimo 12 meses)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Bases Excel manuales existentes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Excel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Una sola vez, para poblar el histórico inicial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Debe construirse antes del MVP</w:t>
            </w:r>
          </w:p>
        </w:tc>
      </w:tr>
    </w:tbl>
    <w:p>
      <w:pPr>
        <w:pStyle w:val="BlockText"/>
      </w:pPr>
      <w:r>
        <w:t xml:space="preserve">Se mantienen excluidos del alcance los</w:t>
      </w:r>
      <w:r>
        <w:t xml:space="preserve"> </w:t>
      </w:r>
      <w:r>
        <w:rPr>
          <w:bCs/>
          <w:b/>
        </w:rPr>
        <w:t xml:space="preserve">Sistemas ERP</w:t>
      </w:r>
      <w:r>
        <w:t xml:space="preserve"> </w:t>
      </w:r>
      <w:r>
        <w:t xml:space="preserve">y los</w:t>
      </w:r>
      <w:r>
        <w:t xml:space="preserve"> </w:t>
      </w:r>
      <w:r>
        <w:rPr>
          <w:bCs/>
          <w:b/>
        </w:rPr>
        <w:t xml:space="preserve">Inventarios</w:t>
      </w:r>
      <w:r>
        <w:t xml:space="preserve"> </w:t>
      </w:r>
      <w:r>
        <w:t xml:space="preserve">como fuentes — no aparecen en el canvas de la sesión SGA como insumos del proceso de facturas.</w:t>
      </w:r>
    </w:p>
    <w:bookmarkEnd w:id="23"/>
    <w:bookmarkStart w:id="24" w:name="actividades-del-agente"/>
    <w:p>
      <w:pPr>
        <w:pStyle w:val="Ttulo2"/>
      </w:pPr>
      <w:r>
        <w:t xml:space="preserve">5. Actividades del agente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Recepción e ingesta</w:t>
      </w:r>
      <w:r>
        <w:t xml:space="preserve"> </w:t>
      </w:r>
      <w:r>
        <w:t xml:space="preserve">de las facturas PDF de cada prestador (Enel, EPM, Acueducto, CSU) por correo o carpeta compartida.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Extracción con OCR/IA</w:t>
      </w:r>
      <w:r>
        <w:t xml:space="preserve">: identifica y extrae consumo (m³/kWh/kg), valor facturado ($), período de consumo (no la fecha de recepción), número de factura y sede; aplica OCR cuando el PDF es una imagen escaneada y registra el nivel de confianza de cada campo.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Separación de facturas unificadas</w:t>
      </w:r>
      <w:r>
        <w:t xml:space="preserve">: en el caso de EPM Medellín, separa los tres componentes (agua, energía, aseo) del mismo PDF en registros independientes.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Validación automática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Verifica que la unidad extraída corresponda al componente (m³ agua, kWh energía, $/kg aseo).</w:t>
      </w:r>
    </w:p>
    <w:p>
      <w:pPr>
        <w:numPr>
          <w:ilvl w:val="1"/>
          <w:numId w:val="1003"/>
        </w:numPr>
      </w:pPr>
      <w:r>
        <w:t xml:space="preserve">Usa el período de consumo real del cuerpo de la factura, nunca la fecha de recepción del correo.</w:t>
      </w:r>
    </w:p>
    <w:p>
      <w:pPr>
        <w:numPr>
          <w:ilvl w:val="1"/>
          <w:numId w:val="1003"/>
        </w:numPr>
      </w:pPr>
      <w:r>
        <w:t xml:space="preserve">Compara el consumo contra el historial (mínimo 12 meses) y marca como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dato atípico — verificar</w:t>
      </w:r>
      <w:r>
        <w:rPr>
          <w:iCs/>
          <w:i/>
        </w:rPr>
        <w:t xml:space="preserve">”</w:t>
      </w:r>
      <w:r>
        <w:t xml:space="preserve"> </w:t>
      </w:r>
      <w:r>
        <w:t xml:space="preserve">toda variación mayor al 20% respecto al mismo período del año anterior.</w:t>
      </w:r>
    </w:p>
    <w:p>
      <w:pPr>
        <w:numPr>
          <w:ilvl w:val="1"/>
          <w:numId w:val="1003"/>
        </w:numPr>
      </w:pPr>
      <w:r>
        <w:t xml:space="preserve">Registra siempre el número de factura para trazabilidad; si no se identifica, lo marca como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N° factura no identificado</w:t>
      </w:r>
      <w:r>
        <w:rPr>
          <w:iCs/>
          <w:i/>
        </w:rPr>
        <w:t xml:space="preserve">”</w:t>
      </w:r>
      <w:r>
        <w:t xml:space="preserve"> </w:t>
      </w:r>
      <w:r>
        <w:t xml:space="preserve">sin rechazar el registro.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Consolidación automática</w:t>
      </w:r>
      <w:r>
        <w:t xml:space="preserve"> </w:t>
      </w:r>
      <w:r>
        <w:t xml:space="preserve">en una base unificada por componente, sede, ciudad y período — solo tras la confirmación del Analista SGA sobre los datos marcados para revisión.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Cálculo de indicadores</w:t>
      </w:r>
      <w:r>
        <w:t xml:space="preserve"> </w:t>
      </w:r>
      <w:r>
        <w:t xml:space="preserve">normalizados (consumo per cápita, variación, huella de carbono) a partir de la base consolidada y los datos maestros de cada sede.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Comparación con líneas base</w:t>
      </w:r>
      <w:r>
        <w:t xml:space="preserve"> </w:t>
      </w:r>
      <w:r>
        <w:t xml:space="preserve">y generación de alertas cuando una factura no llega en la fecha esperada (respetando la periodicidad mensual/bimensual de cada sede) o cuando un consumo es atípico.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Enrutamiento para validación humana</w:t>
      </w:r>
      <w:r>
        <w:t xml:space="preserve">: todo dato marcado como atípico o de baja confianza de OCR (&lt;90%) queda pendiente de revisión antes de incorporarse a la base oficial. Ninguna modificación manual se permite sin dejar registro (quién, cuándo, valor original vs. nuevo).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Publicación de resultados</w:t>
      </w:r>
      <w:r>
        <w:t xml:space="preserve">: actualiza el tablero de indicadores y genera los insumos para el reporte GreenMetric / inventario GEI.</w:t>
      </w:r>
    </w:p>
    <w:bookmarkEnd w:id="24"/>
    <w:bookmarkStart w:id="25" w:name="resultados-entregables"/>
    <w:p>
      <w:pPr>
        <w:pStyle w:val="Ttulo2"/>
      </w:pPr>
      <w:r>
        <w:t xml:space="preserve">6. Resultados (entregables)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Entregable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Contenido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Formato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Para quién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Frecuencia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Base de datos unificada de consumos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Agua (m³), energía (kWh) y aseo ($) por componente, sede y ciudad, con trazabilidad de cada factura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Excel (.xlsx)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Analista SGA, Coordinador SGA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Mensual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Tablero de indicadores ambientales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KPIs de consumo per cápita, tendencias, semáforo de alertas, comparativo por sede/ciudad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HTML interactivo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Directivos, Coordinador SGA, líderes de proceso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Mensual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Reporte GreenMetric / inventario GEI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Datos consolidados listos para el reporte GreenMetric y el cálculo de huella de carbono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Excel / PDF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Coordinador SGA, Gerencia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Semestral / anual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Alerta de datos faltantes o atípicos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Notificación cuando una factura no llega en la fecha esperada o un consumo varía más del 20%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Correo / mensaje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Analista SGA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Inmediata</w:t>
            </w:r>
          </w:p>
        </w:tc>
      </w:tr>
    </w:tbl>
    <w:bookmarkEnd w:id="25"/>
    <w:bookmarkStart w:id="26" w:name="indicadores-de-desempeño-del-agente"/>
    <w:p>
      <w:pPr>
        <w:pStyle w:val="Ttulo2"/>
      </w:pPr>
      <w:r>
        <w:t xml:space="preserve">7. Indicadores de desempeño del agente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Indicador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Valor actual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Meta con el agente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Mínimo aceptable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Tiempo mensual de procesamiento de facturas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~12 h/mes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≤ 2 h/mes (solo revisión y aprobación)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&lt; 4 h/mes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Precisión de extracción (OCR)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N/A (proceso manual)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≥ 98% de campos correctos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≥ 95%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% de facturas procesadas automáticamente sin revisión manual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0% (todo manual)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≥ 80%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≥ 60%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Tiempo de detección de variación atípica en consumo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Días o semanas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&lt; 1 día (automático al cargar la factura)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&lt; 3 días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Satisfacción del equipo SGA con la solución (NPS)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N/A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≥ 8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≥ 6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Precisión de consolidación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(meta institucional original de la propuesta)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&gt; 98%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Alertas atendidas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(meta institucional original de la propuesta)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&gt; 90%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bookmarkEnd w:id="26"/>
    <w:bookmarkStart w:id="27" w:name="kpis-ambientales-monitoreados"/>
    <w:p>
      <w:pPr>
        <w:pStyle w:val="Ttulo2"/>
      </w:pPr>
      <w:r>
        <w:t xml:space="preserve">8. KPIs ambientales monitoreados</w:t>
      </w:r>
    </w:p>
    <w:p>
      <w:pPr>
        <w:numPr>
          <w:ilvl w:val="0"/>
          <w:numId w:val="1004"/>
        </w:numPr>
      </w:pPr>
      <w:r>
        <w:t xml:space="preserve">kWh / m²</w:t>
      </w:r>
    </w:p>
    <w:p>
      <w:pPr>
        <w:numPr>
          <w:ilvl w:val="0"/>
          <w:numId w:val="1004"/>
        </w:numPr>
      </w:pPr>
      <w:r>
        <w:t xml:space="preserve">m³ de agua / persona</w:t>
      </w:r>
    </w:p>
    <w:p>
      <w:pPr>
        <w:numPr>
          <w:ilvl w:val="0"/>
          <w:numId w:val="1004"/>
        </w:numPr>
      </w:pPr>
      <w:r>
        <w:t xml:space="preserve">Huella de carbono asociada (a partir del reporte GreenMetric / inventario GEI)</w:t>
      </w:r>
    </w:p>
    <w:p>
      <w:pPr>
        <w:numPr>
          <w:ilvl w:val="0"/>
          <w:numId w:val="1004"/>
        </w:numPr>
      </w:pPr>
      <w:r>
        <w:t xml:space="preserve">Costo asociado a sobreconsumo</w:t>
      </w:r>
      <w:r>
        <w:t xml:space="preserve"> </w:t>
      </w:r>
      <w:r>
        <w:rPr>
          <w:iCs/>
          <w:i/>
        </w:rPr>
        <w:t xml:space="preserve">(KPI adicional recomendado, para vincular el impacto ambiental con el impacto financiero)</w:t>
      </w:r>
    </w:p>
    <w:p>
      <w:pPr>
        <w:numPr>
          <w:ilvl w:val="0"/>
          <w:numId w:val="1004"/>
        </w:numPr>
      </w:pPr>
      <w:r>
        <w:rPr>
          <w:strike/>
        </w:rPr>
        <w:t xml:space="preserve">Combustible consumido</w:t>
      </w:r>
      <w:r>
        <w:t xml:space="preserve"> </w:t>
      </w:r>
      <w:r>
        <w:t xml:space="preserve">y</w:t>
      </w:r>
      <w:r>
        <w:t xml:space="preserve"> </w:t>
      </w:r>
      <w:r>
        <w:rPr>
          <w:strike/>
        </w:rPr>
        <w:t xml:space="preserve">Papel por colaborador</w:t>
      </w:r>
      <w:r>
        <w:t xml:space="preserve"> </w:t>
      </w:r>
      <w:r>
        <w:rPr>
          <w:iCs/>
          <w:i/>
        </w:rPr>
        <w:t xml:space="preserve">(fuera de alcance por ahora: sin ERP ni inventarios como fuente, no hay dato de origen para calcularlos; el canvas SGA tampoco los contempla como parte del flujo de facturas)</w:t>
      </w:r>
    </w:p>
    <w:bookmarkEnd w:id="27"/>
    <w:bookmarkStart w:id="28" w:name="X7c36e8ba68394ec2ccd5f54df869515ade41539"/>
    <w:p>
      <w:pPr>
        <w:pStyle w:val="Ttulo2"/>
      </w:pPr>
      <w:r>
        <w:t xml:space="preserve">9. Reglas de extracción y validación (críticas para el diseño técnico)</w:t>
      </w:r>
    </w:p>
    <w:p>
      <w:pPr>
        <w:numPr>
          <w:ilvl w:val="0"/>
          <w:numId w:val="1005"/>
        </w:numPr>
      </w:pPr>
      <w:r>
        <w:t xml:space="preserve">El período de consumo (mes/año) se extrae del cuerpo de la factura —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se usa la fecha de recepción del correo.</w:t>
      </w:r>
    </w:p>
    <w:p>
      <w:pPr>
        <w:numPr>
          <w:ilvl w:val="0"/>
          <w:numId w:val="1005"/>
        </w:numPr>
      </w:pPr>
      <w:r>
        <w:t xml:space="preserve">La factura EPM Medellín es unificada (agua + energía + aseo en un solo PDF): deben separarse los tres componentes en columnas/registros distintos.</w:t>
      </w:r>
    </w:p>
    <w:p>
      <w:pPr>
        <w:numPr>
          <w:ilvl w:val="0"/>
          <w:numId w:val="1005"/>
        </w:numPr>
      </w:pPr>
      <w:r>
        <w:t xml:space="preserve">Toda variación de consumo mayor al 20% frente al mismo período del año anterior se marca como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dato atípico — verificar</w:t>
      </w:r>
      <w:r>
        <w:rPr>
          <w:iCs/>
          <w:i/>
        </w:rPr>
        <w:t xml:space="preserve">”</w:t>
      </w:r>
      <w:r>
        <w:t xml:space="preserve"> </w:t>
      </w:r>
      <w:r>
        <w:t xml:space="preserve">y se notifica al Analista SGA antes de incluirla en la base oficial.</w:t>
      </w:r>
    </w:p>
    <w:p>
      <w:pPr>
        <w:numPr>
          <w:ilvl w:val="0"/>
          <w:numId w:val="1005"/>
        </w:numPr>
      </w:pPr>
      <w:r>
        <w:t xml:space="preserve">Los PDF que llegan como imagen escaneada (frecuente en Acueducto de Bogotá) requieren OCR; si la confianza de extracción es menor al 90%, el dato queda para revisión manual obligatoria.</w:t>
      </w:r>
    </w:p>
    <w:p>
      <w:pPr>
        <w:numPr>
          <w:ilvl w:val="0"/>
          <w:numId w:val="1005"/>
        </w:numPr>
      </w:pPr>
      <w:r>
        <w:t xml:space="preserve">El número de factura se registra siempre como identificador único para trazabilidad y control de duplicados.</w:t>
      </w:r>
    </w:p>
    <w:p>
      <w:pPr>
        <w:numPr>
          <w:ilvl w:val="0"/>
          <w:numId w:val="1005"/>
        </w:numPr>
      </w:pPr>
      <w:r>
        <w:t xml:space="preserve">Ningún dato de la base consolidada se modifica manualmente sin dejar registro de auditoría (quién, cuándo, valor original vs. nuevo).</w:t>
      </w:r>
    </w:p>
    <w:p>
      <w:pPr>
        <w:numPr>
          <w:ilvl w:val="0"/>
          <w:numId w:val="1005"/>
        </w:numPr>
      </w:pPr>
      <w:r>
        <w:t xml:space="preserve">Las sedes con facturación bimensual (algunas de Acueducto Bogotá) no deben generar alerta de</w:t>
      </w:r>
      <w:r>
        <w:t xml:space="preserve"> </w:t>
      </w:r>
      <w:r>
        <w:t xml:space="preserve">“</w:t>
      </w:r>
      <w:r>
        <w:t xml:space="preserve">dato faltante</w:t>
      </w:r>
      <w:r>
        <w:t xml:space="preserve">”</w:t>
      </w:r>
      <w:r>
        <w:t xml:space="preserve"> </w:t>
      </w:r>
      <w:r>
        <w:t xml:space="preserve">en los meses sin factura.</w:t>
      </w:r>
    </w:p>
    <w:bookmarkEnd w:id="28"/>
    <w:bookmarkStart w:id="29" w:name="validación-humana"/>
    <w:p>
      <w:pPr>
        <w:pStyle w:val="Ttulo2"/>
      </w:pPr>
      <w:r>
        <w:t xml:space="preserve">10. Validación humana</w:t>
      </w:r>
    </w:p>
    <w:p>
      <w:pPr>
        <w:pStyle w:val="FirstParagraph"/>
      </w:pPr>
      <w:r>
        <w:t xml:space="preserve">Todo dato marcado como atípico o con baja confianza de OCR pasa por revisión del Analista SGA antes de incorporarse a la base oficial; el Coordinador SGA revisa variaciones significativas antes de que alimenten reportes institucionales (GreenMetric, GEI) o se conviertan en acciones correctivas formales. Queda pendiente de definir con el equipo: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Tiempo máximo de respuesta</w:t>
      </w:r>
      <w:r>
        <w:t xml:space="preserve"> </w:t>
      </w:r>
      <w:r>
        <w:t xml:space="preserve">antes de que un hallazgo se considere vencido (insumo directo para el indicador</w:t>
      </w:r>
      <w:r>
        <w:t xml:space="preserve"> </w:t>
      </w:r>
      <w:r>
        <w:t xml:space="preserve">“</w:t>
      </w:r>
      <w:r>
        <w:t xml:space="preserve">Alertas atendidas</w:t>
      </w:r>
      <w:r>
        <w:t xml:space="preserve">”</w:t>
      </w:r>
      <w:r>
        <w:t xml:space="preserve">).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Qué ocurre si no hay respuesta</w:t>
      </w:r>
      <w:r>
        <w:t xml:space="preserve"> </w:t>
      </w:r>
      <w:r>
        <w:t xml:space="preserve">dentro del plazo (escalamiento automático).</w:t>
      </w:r>
    </w:p>
    <w:bookmarkEnd w:id="29"/>
    <w:bookmarkStart w:id="30" w:name="Xec3881eeafd85cccfc517a3166f5082eb6d4337"/>
    <w:p>
      <w:pPr>
        <w:pStyle w:val="Ttulo2"/>
      </w:pPr>
      <w:r>
        <w:t xml:space="preserve">11. Riesgos y restricciones (según el canvas SGA)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Riesgo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Impacto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2060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 xml:space="preserve">Cómo se maneja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PDFs imagen con OCR de menor precisión (tinta borrosa, páginas torcidas) — especialmente Acueducto Bogotá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Alto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OCR de alta calidad + validación manual obligatoria si la confianza es menor al 90%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Variabilidad de formato entre prestadores (Enel ≠ EPM ≠ Acueducto ≠ CSU), que además puede cambiar sin previo aviso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Alto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Plantilla de extracción específica por prestador, actualizable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Dependencia de terceros (Gestión Administrativa / Coordinación Medellín) para el envío oportuno de facturas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Medio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Protocolo de envío con fecha límite + alerta automática si no llegan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Error de OCR en un dígito (p. ej. leer mal un valor facturado)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Alto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Validación automática contra rango histórico (±20%) + revisión manual del primer uso por prestador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Falta de histórico (se requieren mínimo 12 meses para la validación ±20%)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Medio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Construir el historial desde los archivos Excel manuales existentes antes del MVP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Sensibilidad de los datos de facturas (valores $ de contratos con prestadores)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Medio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0F0"/>
          </w:tcPr>
          <w:p>
            <w:pPr>
              <w:jc w:val="left"/>
            </w:pPr>
            <w:r>
              <w:rPr>
                <w:sz w:val="19"/>
              </w:rPr>
              <w:t xml:space="preserve">Usar solución local/institucional; no cargar facturas en servicios cloud no autorizados — validar con TI</w:t>
            </w:r>
          </w:p>
        </w:tc>
      </w:tr>
      <w:tr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Alcance reducido de KPIs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(propio de esta propuesta)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Bajo</w:t>
            </w:r>
          </w:p>
        </w:tc>
        <w:tc>
          <w:tcP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Combustible consumido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“</w:t>
            </w:r>
            <w:r>
              <w:rPr>
                <w:sz w:val="19"/>
              </w:rPr>
              <w:t xml:space="preserve">Papel por colaborador</w:t>
            </w:r>
            <w:r>
              <w:rPr>
                <w:sz w:val="19"/>
              </w:rPr>
              <w:t xml:space="preserve">”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quedan fuera del agente al excluir ERP e inventarios; definir captura alterna si la institución los sigue necesitando</w:t>
            </w:r>
          </w:p>
        </w:tc>
      </w:tr>
    </w:tbl>
    <w:bookmarkEnd w:id="30"/>
    <w:bookmarkStart w:id="31" w:name="X9219740d55f8e94a51e130f55c38cf1eb50b772"/>
    <w:p>
      <w:pPr>
        <w:pStyle w:val="Ttulo2"/>
      </w:pPr>
      <w:r>
        <w:t xml:space="preserve">12. Definición de</w:t>
      </w:r>
      <w:r>
        <w:t xml:space="preserve"> </w:t>
      </w:r>
      <w:r>
        <w:t xml:space="preserve">“</w:t>
      </w:r>
      <w:r>
        <w:t xml:space="preserve">listo para lanzar</w:t>
      </w:r>
      <w:r>
        <w:t xml:space="preserve">”</w:t>
      </w:r>
      <w:r>
        <w:t xml:space="preserve"> </w:t>
      </w:r>
      <w:r>
        <w:t xml:space="preserve">(Definition of Done, según el canvas)</w:t>
      </w:r>
    </w:p>
    <w:p>
      <w:pPr>
        <w:numPr>
          <w:ilvl w:val="0"/>
          <w:numId w:val="1007"/>
        </w:numPr>
      </w:pPr>
      <w:r>
        <w:t xml:space="preserve">La IA extrae correctamente los datos de al menos una factura real de cada prestador activo (Enel, EPM, Acueducto, CSU).</w:t>
      </w:r>
    </w:p>
    <w:p>
      <w:pPr>
        <w:numPr>
          <w:ilvl w:val="0"/>
          <w:numId w:val="1007"/>
        </w:numPr>
      </w:pPr>
      <w:r>
        <w:t xml:space="preserve">La extracción tiene precisión ≥ 95% verificada contra el PDF original en los 3 campos clave (consumo, período, valor).</w:t>
      </w:r>
    </w:p>
    <w:p>
      <w:pPr>
        <w:numPr>
          <w:ilvl w:val="0"/>
          <w:numId w:val="1007"/>
        </w:numPr>
      </w:pPr>
      <w:r>
        <w:t xml:space="preserve">La validación de dato atípico (±20%) funciona correctamente con el histórico cargado.</w:t>
      </w:r>
    </w:p>
    <w:p>
      <w:pPr>
        <w:numPr>
          <w:ilvl w:val="0"/>
          <w:numId w:val="1007"/>
        </w:numPr>
      </w:pPr>
      <w:r>
        <w:t xml:space="preserve">La base Excel consolidada generada coincide con la base manual del mes anterior (prueba de control).</w:t>
      </w:r>
    </w:p>
    <w:p>
      <w:pPr>
        <w:numPr>
          <w:ilvl w:val="0"/>
          <w:numId w:val="1007"/>
        </w:numPr>
      </w:pPr>
      <w:r>
        <w:t xml:space="preserve">El Analista SGA puede procesar un lote de facturas sin ayuda de TI en menos de 2 horas.</w:t>
      </w:r>
    </w:p>
    <w:p>
      <w:pPr>
        <w:numPr>
          <w:ilvl w:val="0"/>
          <w:numId w:val="1007"/>
        </w:numPr>
      </w:pPr>
      <w:r>
        <w:t xml:space="preserve">El tablero HTML muestra los indicadores correctos para el mes de prueba.</w:t>
      </w:r>
    </w:p>
    <w:bookmarkEnd w:id="31"/>
    <w:bookmarkStart w:id="32" w:name="X4e91022d1bf5f07d654f1f55a3b7d2a72a53f8f"/>
    <w:p>
      <w:pPr>
        <w:pStyle w:val="Ttulo2"/>
      </w:pPr>
      <w:r>
        <w:t xml:space="preserve">13. Alcance y propuestas relacionadas no incluidas</w:t>
      </w:r>
    </w:p>
    <w:p>
      <w:pPr>
        <w:pStyle w:val="FirstParagraph"/>
      </w:pPr>
      <w:r>
        <w:t xml:space="preserve">El canvas SGA relevó tres propuestas de automatización; esta ficha se concentra en la</w:t>
      </w:r>
      <w:r>
        <w:t xml:space="preserve"> </w:t>
      </w:r>
      <w:r>
        <w:rPr>
          <w:bCs/>
          <w:b/>
        </w:rPr>
        <w:t xml:space="preserve">Propuesta 1 (facturas)</w:t>
      </w:r>
      <w:r>
        <w:t xml:space="preserve">, que es la más madura y con mayor impacto/factibilidad inmediata. Quedan identificadas como ampliaciones futuras, no incluidas en este alcance: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Propuesta 2 — Captura de información operativa en tiempo real</w:t>
      </w:r>
      <w:r>
        <w:t xml:space="preserve">: digitalización de pesajes de residuos, mantenimientos del STARD y limpieza de centros de acopio (hoy en papel).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Propuesta 3 — Sincronización con IoT</w:t>
      </w:r>
      <w:r>
        <w:t xml:space="preserve">: monitoreo automatizado por sensores de energía, agua, calidad del aire y ruido en equipos e infraestructura. Esta propuesta es la que da origen al insumo de</w:t>
      </w:r>
      <w:r>
        <w:t xml:space="preserve"> </w:t>
      </w:r>
      <w:r>
        <w:t xml:space="preserve">“</w:t>
      </w:r>
      <w:r>
        <w:t xml:space="preserve">medidores inteligentes</w:t>
      </w:r>
      <w:r>
        <w:t xml:space="preserve">”</w:t>
      </w:r>
      <w:r>
        <w:t xml:space="preserve"> </w:t>
      </w:r>
      <w:r>
        <w:t xml:space="preserve">ya contemplado en la sección de Entradas, pero su implementación plena (sensórica en tiempo real) excede el alcance actual centrado en facturas.</w:t>
      </w:r>
    </w:p>
    <w:bookmarkEnd w:id="32"/>
    <w:bookmarkStart w:id="33" w:name="fases-de-implementación-sugeridas"/>
    <w:p>
      <w:pPr>
        <w:pStyle w:val="Ttulo2"/>
      </w:pPr>
      <w:r>
        <w:t xml:space="preserve">14. Fases de implementación sugeridas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Semana 1</w:t>
      </w:r>
      <w:r>
        <w:t xml:space="preserve"> </w:t>
      </w:r>
      <w:r>
        <w:t xml:space="preserve">— Relevar formatos actuales de cada prestador y definir el protocolo de envío de facturas con Gestión Administrativa.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Semana 2</w:t>
      </w:r>
      <w:r>
        <w:t xml:space="preserve"> </w:t>
      </w:r>
      <w:r>
        <w:t xml:space="preserve">— Construir el historial de al menos 12 meses desde las bases Excel existentes; definir la herramienta de OCR/IA a usar.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Semana 3</w:t>
      </w:r>
      <w:r>
        <w:t xml:space="preserve"> </w:t>
      </w:r>
      <w:r>
        <w:t xml:space="preserve">— Prueba de extracción con al menos una factura real de cada prestador (Enel, EPM, Acueducto, CSU).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Semana 4</w:t>
      </w:r>
      <w:r>
        <w:t xml:space="preserve"> </w:t>
      </w:r>
      <w:r>
        <w:t xml:space="preserve">— Validar precisión ≥95% contra el PDF original y probar la validación de dato atípico (±20%) con el histórico cargado.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Semana 5</w:t>
      </w:r>
      <w:r>
        <w:t xml:space="preserve"> </w:t>
      </w:r>
      <w:r>
        <w:t xml:space="preserve">— Prueba de uso autónomo por el Analista SGA (sin ayuda de TI, en menos de 2 horas) y validación del tablero HTML.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Semana 6-8</w:t>
      </w:r>
      <w:r>
        <w:t xml:space="preserve"> </w:t>
      </w:r>
      <w:r>
        <w:t xml:space="preserve">— Medición de KPIs de impacto (tiempo de procesamiento, % de automatización, tiempo de detección de atípicos) y encuesta de satisfacción (NPS) al equipo SGA.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Fase posterior</w:t>
      </w:r>
      <w:r>
        <w:t xml:space="preserve"> </w:t>
      </w:r>
      <w:r>
        <w:t xml:space="preserve">— Integración del reporte GreenMetric/GEI y evaluación de ampliación hacia las Propuestas 2 y 3 (captura operativa e IoT).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de trabajo — próximo paso sugerido: una vez validada esta propuesta, se puede construir la Ficha de Iniciativa oficial del Politécnico Grancolombiano, para lo cual se necesitará: nombre de la iniciativa, líder y su cargo, área, unidad, sponsor, y fechas estimadas de inicio y cierre.</w:t>
      </w:r>
    </w:p>
    <w:bookmarkEnd w:id="33"/>
    <w:bookmarkEnd w:id="34"/>
    <w:sectPr w:rsidR="00FD544B" w:rsidSect="00344511">
      <w:headerReference r:id="rId9" w:type="default"/>
      <w:footerReference r:id="rId10" w:type="default"/>
      <w:pgSz w:h="15840" w:w="12240"/>
      <w:pgMar w:bottom="1702" w:footer="708" w:gutter="0" w:header="426" w:left="1440" w:right="1440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ヒラギノ角ゴ Pro W3">
    <w:charset w:val="00"/>
    <w:family w:val="roman"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461D" w14:textId="77777777" w:rsidR="005D3666" w:rsidRDefault="005D3666" w:rsidP="005D3666">
    <w:pPr>
      <w:pStyle w:val="Piedepgina"/>
    </w:pPr>
    <w:r w:rsidRPr="00C1165F">
      <w:rPr>
        <w:rFonts w:ascii="Gill Sans MT" w:hAnsi="Gill Sans MT"/>
      </w:rPr>
      <w:t>“Este documento es propiedad intelectual del POLIT</w:t>
    </w:r>
    <w:r>
      <w:rPr>
        <w:rFonts w:ascii="Gill Sans MT" w:hAnsi="Gill Sans MT"/>
      </w:rPr>
      <w:t>É</w:t>
    </w:r>
    <w:r w:rsidRPr="00C1165F">
      <w:rPr>
        <w:rFonts w:ascii="Gill Sans MT" w:hAnsi="Gill Sans MT"/>
      </w:rPr>
      <w:t>CNICO GRANCOLOMBIANO, se prohíbe su reproducción total o parcial sin la autorización escrita de la Rectoría. TODO DOCUMENTO IMPRESO ES CONSIDERADO COMO UNA COPIA NO CONTROLADA</w:t>
    </w:r>
    <w:r>
      <w:rPr>
        <w:rFonts w:ascii="Gill Sans MT" w:hAnsi="Gill Sans MT"/>
      </w:rPr>
      <w:t>”</w:t>
    </w:r>
  </w:p>
  <w:p w14:paraId="2A9B59F6" w14:textId="19D0745B" w:rsidR="002D6799" w:rsidRPr="005D3666" w:rsidRDefault="005D3666" w:rsidP="005D3666">
    <w:pPr>
      <w:pStyle w:val="Piedepgina"/>
      <w:jc w:val="right"/>
      <w:rPr>
        <w:rFonts w:ascii="Gill Sans MT" w:hAnsi="Gill Sans MT"/>
        <w:sz w:val="16"/>
        <w:szCs w:val="16"/>
      </w:rPr>
    </w:pPr>
    <w:r w:rsidRPr="00F35B6B">
      <w:rPr>
        <w:rFonts w:ascii="Gill Sans MT" w:hAnsi="Gill Sans MT"/>
        <w:sz w:val="16"/>
        <w:szCs w:val="16"/>
        <w:lang w:val="es-ES"/>
      </w:rPr>
      <w:t xml:space="preserve">Página </w:t>
    </w:r>
    <w:r w:rsidRPr="00F35B6B">
      <w:rPr>
        <w:rFonts w:ascii="Gill Sans MT" w:hAnsi="Gill Sans MT"/>
        <w:bCs/>
        <w:sz w:val="16"/>
        <w:szCs w:val="16"/>
      </w:rPr>
      <w:fldChar w:fldCharType="begin"/>
    </w:r>
    <w:r w:rsidRPr="00F35B6B">
      <w:rPr>
        <w:rFonts w:ascii="Gill Sans MT" w:hAnsi="Gill Sans MT"/>
        <w:bCs/>
        <w:sz w:val="16"/>
        <w:szCs w:val="16"/>
      </w:rPr>
      <w:instrText>PAGE</w:instrText>
    </w:r>
    <w:r w:rsidRPr="00F35B6B">
      <w:rPr>
        <w:rFonts w:ascii="Gill Sans MT" w:hAnsi="Gill Sans MT"/>
        <w:bCs/>
        <w:sz w:val="16"/>
        <w:szCs w:val="16"/>
      </w:rPr>
      <w:fldChar w:fldCharType="separate"/>
    </w:r>
    <w:r>
      <w:rPr>
        <w:rFonts w:ascii="Gill Sans MT" w:hAnsi="Gill Sans MT"/>
        <w:bCs/>
        <w:sz w:val="16"/>
        <w:szCs w:val="16"/>
      </w:rPr>
      <w:t>1</w:t>
    </w:r>
    <w:r w:rsidRPr="00F35B6B">
      <w:rPr>
        <w:rFonts w:ascii="Gill Sans MT" w:hAnsi="Gill Sans MT"/>
        <w:bCs/>
        <w:sz w:val="16"/>
        <w:szCs w:val="16"/>
      </w:rPr>
      <w:fldChar w:fldCharType="end"/>
    </w:r>
    <w:r w:rsidRPr="00F35B6B">
      <w:rPr>
        <w:rFonts w:ascii="Gill Sans MT" w:hAnsi="Gill Sans MT"/>
        <w:sz w:val="16"/>
        <w:szCs w:val="16"/>
        <w:lang w:val="es-ES"/>
      </w:rPr>
      <w:t xml:space="preserve"> de </w:t>
    </w:r>
    <w:r w:rsidRPr="00F35B6B">
      <w:rPr>
        <w:rFonts w:ascii="Gill Sans MT" w:hAnsi="Gill Sans MT"/>
        <w:bCs/>
        <w:sz w:val="16"/>
        <w:szCs w:val="16"/>
      </w:rPr>
      <w:fldChar w:fldCharType="begin"/>
    </w:r>
    <w:r w:rsidRPr="00F35B6B">
      <w:rPr>
        <w:rFonts w:ascii="Gill Sans MT" w:hAnsi="Gill Sans MT"/>
        <w:bCs/>
        <w:sz w:val="16"/>
        <w:szCs w:val="16"/>
      </w:rPr>
      <w:instrText>NUMPAGES</w:instrText>
    </w:r>
    <w:r w:rsidRPr="00F35B6B">
      <w:rPr>
        <w:rFonts w:ascii="Gill Sans MT" w:hAnsi="Gill Sans MT"/>
        <w:bCs/>
        <w:sz w:val="16"/>
        <w:szCs w:val="16"/>
      </w:rPr>
      <w:fldChar w:fldCharType="separate"/>
    </w:r>
    <w:r>
      <w:rPr>
        <w:rFonts w:ascii="Gill Sans MT" w:hAnsi="Gill Sans MT"/>
        <w:bCs/>
        <w:sz w:val="16"/>
        <w:szCs w:val="16"/>
      </w:rPr>
      <w:t>13</w:t>
    </w:r>
    <w:r w:rsidRPr="00F35B6B">
      <w:rPr>
        <w:rFonts w:ascii="Gill Sans MT" w:hAnsi="Gill Sans MT"/>
        <w:bCs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E9624" w14:textId="77C2BD24" w:rsidR="00E90A1A" w:rsidRDefault="00E90A1A" w:rsidP="00E90A1A">
    <w:pPr>
      <w:jc w:val="center"/>
    </w:pPr>
    <w:r>
      <w:rPr>
        <w:noProof/>
      </w:rPr>
      <w:drawing>
        <wp:inline distT="0" distB="0" distL="0" distR="0" wp14:anchorId="04DEF4A9" wp14:editId="785C9E21">
          <wp:extent cx="1302385" cy="748665"/>
          <wp:effectExtent l="0" t="0" r="0" b="0"/>
          <wp:docPr id="1712784699" name="Imagen 17127846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2385" cy="7486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10065" w:type="dxa"/>
      <w:jc w:val="center"/>
      <w:tblLayout w:type="fixed"/>
      <w:tblLook w:val="04A0" w:firstRow="1" w:lastRow="0" w:firstColumn="1" w:lastColumn="0" w:noHBand="0" w:noVBand="1"/>
    </w:tblPr>
    <w:tblGrid>
      <w:gridCol w:w="1843"/>
      <w:gridCol w:w="6095"/>
      <w:gridCol w:w="2127"/>
    </w:tblGrid>
    <w:tr w:rsidR="002056AC" w14:paraId="0B2BA30D" w14:textId="77777777" w:rsidTr="00E90A1A">
      <w:trPr>
        <w:cantSplit/>
        <w:trHeight w:val="504"/>
        <w:jc w:val="center"/>
      </w:trPr>
      <w:tc>
        <w:tcPr>
          <w:tcW w:w="184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BD6138" w14:textId="77777777" w:rsidR="002056AC" w:rsidRPr="008F03BA" w:rsidRDefault="002056AC" w:rsidP="008F03BA">
          <w:pPr>
            <w:pStyle w:val="Ttulo1"/>
            <w:keepNext/>
            <w:jc w:val="center"/>
            <w:rPr>
              <w:rFonts w:ascii="Gill Sans MT" w:eastAsia="Times New Roman" w:hAnsi="Gill Sans MT"/>
              <w:bCs w:val="0"/>
              <w:color w:val="auto"/>
              <w:sz w:val="20"/>
              <w:szCs w:val="18"/>
              <w:lang w:val="es-ES_tradnl" w:eastAsia="en-US"/>
            </w:rPr>
          </w:pPr>
          <w:r w:rsidRPr="008F03BA">
            <w:rPr>
              <w:rFonts w:ascii="Gill Sans MT" w:eastAsia="Times New Roman" w:hAnsi="Gill Sans MT"/>
              <w:bCs w:val="0"/>
              <w:color w:val="auto"/>
              <w:sz w:val="20"/>
              <w:szCs w:val="18"/>
              <w:lang w:val="es-ES_tradnl" w:eastAsia="en-US"/>
            </w:rPr>
            <w:t>PROCESO:</w:t>
          </w:r>
        </w:p>
        <w:p w14:paraId="05449545" w14:textId="71CC9EC3" w:rsidR="002056AC" w:rsidRPr="00710C21" w:rsidRDefault="005D0BBE" w:rsidP="005D0BBE">
          <w:pPr>
            <w:pStyle w:val="Ttulo1"/>
            <w:keepNext/>
            <w:jc w:val="center"/>
            <w:rPr>
              <w:rFonts w:ascii="Gill Sans MT" w:hAnsi="Gill Sans MT"/>
              <w:b w:val="0"/>
              <w:szCs w:val="18"/>
              <w:lang w:eastAsia="en-US"/>
            </w:rPr>
          </w:pPr>
          <w:proofErr w:type="spellStart"/>
          <w:r>
            <w:rPr>
              <w:rFonts w:ascii="Gill Sans MT" w:eastAsia="Times New Roman" w:hAnsi="Gill Sans MT"/>
              <w:b w:val="0"/>
              <w:color w:val="auto"/>
              <w:sz w:val="20"/>
              <w:szCs w:val="18"/>
              <w:lang w:val="es-ES_tradnl" w:eastAsia="en-US"/>
            </w:rPr>
            <w:t>SGA</w:t>
          </w:r>
          <w:proofErr w:type="spellEnd"/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1F1A62" w14:textId="598D8ABD" w:rsidR="002056AC" w:rsidRPr="00710C21" w:rsidRDefault="005D0BBE" w:rsidP="00D601B1">
          <w:pPr>
            <w:pStyle w:val="Ttulo1"/>
            <w:keepNext/>
            <w:ind w:left="432" w:hanging="432"/>
            <w:jc w:val="center"/>
            <w:rPr>
              <w:szCs w:val="18"/>
              <w:lang w:eastAsia="en-US"/>
            </w:rPr>
          </w:pPr>
          <w:r>
            <w:rPr>
              <w:rFonts w:ascii="Gill Sans MT" w:eastAsia="Times New Roman" w:hAnsi="Gill Sans MT"/>
              <w:bCs w:val="0"/>
              <w:color w:val="auto"/>
              <w:sz w:val="20"/>
              <w:szCs w:val="18"/>
              <w:lang w:val="es-ES_tradnl" w:eastAsia="en-US"/>
            </w:rPr>
            <w:t>PROPUESTA DE INICIATIVA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4402C8" w14:textId="2BB8C37A" w:rsidR="002056AC" w:rsidRPr="00710C21" w:rsidRDefault="002056AC" w:rsidP="00F404ED">
          <w:pPr>
            <w:pStyle w:val="Ttulo1"/>
            <w:keepNext/>
            <w:ind w:left="432" w:hanging="432"/>
            <w:rPr>
              <w:b w:val="0"/>
              <w:szCs w:val="18"/>
              <w:lang w:eastAsia="en-US"/>
            </w:rPr>
          </w:pPr>
          <w:r w:rsidRPr="00F404ED">
            <w:rPr>
              <w:rFonts w:ascii="Gill Sans MT" w:eastAsia="Times New Roman" w:hAnsi="Gill Sans MT"/>
              <w:bCs w:val="0"/>
              <w:color w:val="auto"/>
              <w:sz w:val="20"/>
              <w:szCs w:val="18"/>
              <w:lang w:val="es-ES_tradnl" w:eastAsia="en-US"/>
            </w:rPr>
            <w:t xml:space="preserve">Código: </w:t>
          </w:r>
          <w:proofErr w:type="spellStart"/>
          <w:r w:rsidR="005D0BBE">
            <w:rPr>
              <w:rFonts w:ascii="Gill Sans MT" w:eastAsia="Times New Roman" w:hAnsi="Gill Sans MT"/>
              <w:b w:val="0"/>
              <w:color w:val="auto"/>
              <w:sz w:val="20"/>
              <w:szCs w:val="18"/>
              <w:lang w:val="es-ES_tradnl" w:eastAsia="en-US"/>
            </w:rPr>
            <w:t>Por asignar</w:t>
          </w:r>
          <w:proofErr w:type="spellEnd"/>
        </w:p>
      </w:tc>
    </w:tr>
    <w:tr w:rsidR="002056AC" w14:paraId="46E65573" w14:textId="77777777" w:rsidTr="00E90A1A">
      <w:trPr>
        <w:cantSplit/>
        <w:trHeight w:val="539"/>
        <w:jc w:val="center"/>
      </w:trPr>
      <w:tc>
        <w:tcPr>
          <w:tcW w:w="184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1AEEE2" w14:textId="77777777" w:rsidR="002056AC" w:rsidRPr="00710C21" w:rsidRDefault="002056AC" w:rsidP="002056AC">
          <w:pPr>
            <w:rPr>
              <w:rFonts w:ascii="Gill Sans MT" w:hAnsi="Gill Sans MT"/>
              <w:szCs w:val="18"/>
              <w:lang w:eastAsia="en-US"/>
            </w:rPr>
          </w:pP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84B20AE" w14:textId="30FCCE9F" w:rsidR="002056AC" w:rsidRPr="00A131B5" w:rsidRDefault="005D0BBE" w:rsidP="002056AC">
          <w:pPr>
            <w:jc w:val="center"/>
            <w:rPr>
              <w:rFonts w:ascii="Gill Sans MT" w:hAnsi="Gill Sans MT"/>
              <w:b/>
              <w:szCs w:val="18"/>
              <w:lang w:eastAsia="en-US"/>
            </w:rPr>
          </w:pPr>
          <w:r>
            <w:rPr>
              <w:rFonts w:ascii="Gill Sans MT" w:eastAsia="Times New Roman" w:hAnsi="Gill Sans MT"/>
              <w:b/>
              <w:szCs w:val="18"/>
              <w:lang w:val="es-ES_tradnl" w:eastAsia="en-US"/>
            </w:rPr>
            <w:t>MONITOR DE CONSUMOS AMBIENTALES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317F1D" w14:textId="4B0F473E" w:rsidR="002056AC" w:rsidRPr="00710C21" w:rsidRDefault="002056AC" w:rsidP="002056AC">
          <w:pPr>
            <w:rPr>
              <w:rFonts w:ascii="Gill Sans MT" w:hAnsi="Gill Sans MT"/>
              <w:szCs w:val="18"/>
              <w:lang w:eastAsia="en-US"/>
            </w:rPr>
          </w:pPr>
          <w:r>
            <w:rPr>
              <w:rFonts w:ascii="Gill Sans MT" w:hAnsi="Gill Sans MT"/>
              <w:b/>
              <w:szCs w:val="18"/>
              <w:lang w:eastAsia="en-US"/>
            </w:rPr>
            <w:t>V</w:t>
          </w:r>
          <w:r w:rsidRPr="00710C21">
            <w:rPr>
              <w:rFonts w:ascii="Gill Sans MT" w:hAnsi="Gill Sans MT"/>
              <w:b/>
              <w:szCs w:val="18"/>
              <w:lang w:eastAsia="en-US"/>
            </w:rPr>
            <w:t>e</w:t>
          </w:r>
          <w:r>
            <w:rPr>
              <w:rFonts w:ascii="Gill Sans MT" w:hAnsi="Gill Sans MT"/>
              <w:b/>
              <w:szCs w:val="18"/>
              <w:lang w:eastAsia="en-US"/>
            </w:rPr>
            <w:t>rsión</w:t>
          </w:r>
          <w:r w:rsidRPr="00710C21">
            <w:rPr>
              <w:rFonts w:ascii="Gill Sans MT" w:hAnsi="Gill Sans MT"/>
              <w:szCs w:val="18"/>
              <w:lang w:eastAsia="en-US"/>
            </w:rPr>
            <w:t xml:space="preserve">: </w:t>
          </w:r>
          <w:r w:rsidR="005D0BBE">
            <w:rPr>
              <w:rFonts w:ascii="Gill Sans MT" w:hAnsi="Gill Sans MT"/>
              <w:szCs w:val="18"/>
              <w:lang w:eastAsia="en-US"/>
            </w:rPr>
            <w:t>1</w:t>
          </w:r>
        </w:p>
      </w:tc>
    </w:tr>
  </w:tbl>
  <w:p w14:paraId="2A9B59F5" w14:textId="160320CA" w:rsidR="002D6799" w:rsidRPr="002056AC" w:rsidRDefault="002D6799" w:rsidP="002056AC">
    <w:pPr>
      <w:pStyle w:val="Encabezado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49C3C80"/>
    <w:multiLevelType w:val="hybridMultilevel"/>
    <w:tmpl w:val="ADD691CC"/>
    <w:lvl w:ilvl="0" w:tplc="E780D40C">
      <w:start w:val="1"/>
      <w:numFmt w:val="bullet"/>
      <w:lvlText w:val="●"/>
      <w:lvlJc w:val="left"/>
      <w:pPr>
        <w:ind w:hanging="360" w:left="720"/>
      </w:pPr>
    </w:lvl>
    <w:lvl w:ilvl="1" w:tplc="6A080D7A">
      <w:start w:val="1"/>
      <w:numFmt w:val="bullet"/>
      <w:lvlText w:val="○"/>
      <w:lvlJc w:val="left"/>
      <w:pPr>
        <w:ind w:hanging="360" w:left="1440"/>
      </w:pPr>
    </w:lvl>
    <w:lvl w:ilvl="2" w:tplc="86366520">
      <w:start w:val="1"/>
      <w:numFmt w:val="bullet"/>
      <w:lvlText w:val="■"/>
      <w:lvlJc w:val="left"/>
      <w:pPr>
        <w:ind w:hanging="360" w:left="2160"/>
      </w:pPr>
    </w:lvl>
    <w:lvl w:ilvl="3" w:tplc="18ACDFFA">
      <w:start w:val="1"/>
      <w:numFmt w:val="bullet"/>
      <w:lvlText w:val="●"/>
      <w:lvlJc w:val="left"/>
      <w:pPr>
        <w:ind w:hanging="360" w:left="2880"/>
      </w:pPr>
    </w:lvl>
    <w:lvl w:ilvl="4" w:tplc="2C7E4DFE">
      <w:start w:val="1"/>
      <w:numFmt w:val="bullet"/>
      <w:lvlText w:val="○"/>
      <w:lvlJc w:val="left"/>
      <w:pPr>
        <w:ind w:hanging="360" w:left="3600"/>
      </w:pPr>
    </w:lvl>
    <w:lvl w:ilvl="5" w:tplc="6A5E0538">
      <w:start w:val="1"/>
      <w:numFmt w:val="bullet"/>
      <w:lvlText w:val="■"/>
      <w:lvlJc w:val="left"/>
      <w:pPr>
        <w:ind w:hanging="360" w:left="4320"/>
      </w:pPr>
    </w:lvl>
    <w:lvl w:ilvl="6" w:tplc="99665F08">
      <w:start w:val="1"/>
      <w:numFmt w:val="bullet"/>
      <w:lvlText w:val="●"/>
      <w:lvlJc w:val="left"/>
      <w:pPr>
        <w:ind w:hanging="360" w:left="5040"/>
      </w:pPr>
    </w:lvl>
    <w:lvl w:ilvl="7" w:tplc="2578DA00">
      <w:start w:val="1"/>
      <w:numFmt w:val="bullet"/>
      <w:lvlText w:val="●"/>
      <w:lvlJc w:val="left"/>
      <w:pPr>
        <w:ind w:hanging="360" w:left="5760"/>
      </w:pPr>
    </w:lvl>
    <w:lvl w:ilvl="8" w:tplc="C218B3A6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040975839" w:numId="1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lang w:bidi="ar-SA" w:eastAsia="es-CO" w:val="es-CO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tulo1" w:type="paragraph">
    <w:name w:val="heading 1"/>
    <w:link w:val="Ttulo1Car"/>
    <w:uiPriority w:val="9"/>
    <w:qFormat/>
    <w:pPr>
      <w:outlineLvl w:val="0"/>
    </w:pPr>
    <w:rPr>
      <w:b/>
      <w:bCs/>
      <w:color w:val="1F3864"/>
      <w:sz w:val="26"/>
      <w:szCs w:val="26"/>
    </w:rPr>
  </w:style>
  <w:style w:styleId="Ttulo2" w:type="paragraph">
    <w:name w:val="heading 2"/>
    <w:uiPriority w:val="9"/>
    <w:unhideWhenUsed/>
    <w:qFormat/>
    <w:pPr>
      <w:outlineLvl w:val="1"/>
    </w:pPr>
    <w:rPr>
      <w:b/>
      <w:bCs/>
      <w:color w:val="2E5496"/>
      <w:sz w:val="22"/>
      <w:szCs w:val="22"/>
    </w:rPr>
  </w:style>
  <w:style w:styleId="Ttulo3" w:type="paragraph">
    <w:name w:val="heading 3"/>
    <w:uiPriority w:val="9"/>
    <w:unhideWhenUsed/>
    <w:qFormat/>
    <w:pPr>
      <w:outlineLvl w:val="2"/>
    </w:pPr>
    <w:rPr>
      <w:b/>
      <w:bCs/>
      <w:color w:val="44546A"/>
    </w:rPr>
  </w:style>
  <w:style w:styleId="Ttulo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Ttulo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Ttulo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styleId="Ttulo" w:type="paragraph">
    <w:name w:val="Title"/>
    <w:uiPriority w:val="10"/>
    <w:qFormat/>
    <w:rPr>
      <w:sz w:val="56"/>
      <w:szCs w:val="56"/>
    </w:rPr>
  </w:style>
  <w:style w:customStyle="1" w:styleId="Fuerte1" w:type="paragraph">
    <w:name w:val="Fuerte1"/>
    <w:qFormat/>
    <w:rPr>
      <w:b/>
      <w:bCs/>
    </w:rPr>
  </w:style>
  <w:style w:styleId="Prrafodelista" w:type="paragraph">
    <w:name w:val="List Paragraph"/>
    <w:qFormat/>
  </w:style>
  <w:style w:styleId="Hipervnculo" w:type="character">
    <w:name w:val="Hyperlink"/>
    <w:uiPriority w:val="99"/>
    <w:unhideWhenUsed/>
    <w:rPr>
      <w:color w:val="0563C1"/>
      <w:u w:val="single"/>
    </w:rPr>
  </w:style>
  <w:style w:styleId="Refdenotaalpie" w:type="character">
    <w:name w:val="footnote reference"/>
    <w:uiPriority w:val="99"/>
    <w:semiHidden/>
    <w:unhideWhenUsed/>
    <w:rPr>
      <w:vertAlign w:val="superscript"/>
    </w:rPr>
  </w:style>
  <w:style w:styleId="Textonotapie" w:type="paragraph">
    <w:name w:val="footnote text"/>
    <w:link w:val="TextonotapieCar"/>
    <w:uiPriority w:val="99"/>
    <w:semiHidden/>
    <w:unhideWhenUsed/>
  </w:style>
  <w:style w:customStyle="1" w:styleId="TextonotapieCar" w:type="character">
    <w:name w:val="Texto nota pie Car"/>
    <w:link w:val="Textonotapie"/>
    <w:uiPriority w:val="99"/>
    <w:semiHidden/>
    <w:unhideWhenUsed/>
    <w:rPr>
      <w:sz w:val="20"/>
      <w:szCs w:val="20"/>
    </w:rPr>
  </w:style>
  <w:style w:styleId="Refdenotaalfinal" w:type="character">
    <w:name w:val="endnote reference"/>
    <w:uiPriority w:val="99"/>
    <w:semiHidden/>
    <w:unhideWhenUsed/>
    <w:rPr>
      <w:vertAlign w:val="superscript"/>
    </w:rPr>
  </w:style>
  <w:style w:styleId="Textonotaalfinal" w:type="paragraph">
    <w:name w:val="endnote text"/>
    <w:link w:val="TextonotaalfinalCar"/>
    <w:uiPriority w:val="99"/>
    <w:semiHidden/>
    <w:unhideWhenUsed/>
  </w:style>
  <w:style w:customStyle="1" w:styleId="TextonotaalfinalCar" w:type="character">
    <w:name w:val="Texto nota al final Car"/>
    <w:link w:val="Textonotaalfinal"/>
    <w:uiPriority w:val="99"/>
    <w:semiHidden/>
    <w:unhideWhenUsed/>
    <w:rPr>
      <w:sz w:val="20"/>
      <w:szCs w:val="20"/>
    </w:rPr>
  </w:style>
  <w:style w:styleId="Encabezado" w:type="paragraph">
    <w:name w:val="header"/>
    <w:basedOn w:val="Normal"/>
    <w:link w:val="EncabezadoCar"/>
    <w:uiPriority w:val="99"/>
    <w:unhideWhenUsed/>
    <w:rsid w:val="002056AC"/>
    <w:pPr>
      <w:tabs>
        <w:tab w:pos="4419" w:val="center"/>
        <w:tab w:pos="8838" w:val="right"/>
      </w:tabs>
    </w:pPr>
  </w:style>
  <w:style w:customStyle="1" w:styleId="EncabezadoCar" w:type="character">
    <w:name w:val="Encabezado Car"/>
    <w:basedOn w:val="Fuentedeprrafopredeter"/>
    <w:link w:val="Encabezado"/>
    <w:uiPriority w:val="99"/>
    <w:rsid w:val="002056AC"/>
  </w:style>
  <w:style w:styleId="Piedepgina" w:type="paragraph">
    <w:name w:val="footer"/>
    <w:basedOn w:val="Normal"/>
    <w:link w:val="PiedepginaCar"/>
    <w:uiPriority w:val="99"/>
    <w:unhideWhenUsed/>
    <w:rsid w:val="002056AC"/>
    <w:pPr>
      <w:tabs>
        <w:tab w:pos="4419" w:val="center"/>
        <w:tab w:pos="8838" w:val="right"/>
      </w:tabs>
    </w:pPr>
  </w:style>
  <w:style w:customStyle="1" w:styleId="PiedepginaCar" w:type="character">
    <w:name w:val="Pie de página Car"/>
    <w:basedOn w:val="Fuentedeprrafopredeter"/>
    <w:link w:val="Piedepgina"/>
    <w:uiPriority w:val="99"/>
    <w:rsid w:val="002056AC"/>
  </w:style>
  <w:style w:customStyle="1" w:styleId="Ttulo1Car" w:type="character">
    <w:name w:val="Título 1 Car"/>
    <w:basedOn w:val="Fuentedeprrafopredeter"/>
    <w:link w:val="Ttulo1"/>
    <w:uiPriority w:val="9"/>
    <w:rsid w:val="00D601B1"/>
    <w:rPr>
      <w:b/>
      <w:bCs/>
      <w:color w:val="1F3864"/>
      <w:sz w:val="26"/>
      <w:szCs w:val="26"/>
    </w:rPr>
  </w:style>
  <w:style w:styleId="TDC2" w:type="paragraph">
    <w:name w:val="toc 2"/>
    <w:basedOn w:val="Normal"/>
    <w:next w:val="Normal"/>
    <w:autoRedefine/>
    <w:uiPriority w:val="39"/>
    <w:unhideWhenUsed/>
    <w:rsid w:val="00730886"/>
    <w:pPr>
      <w:spacing w:after="100" w:line="259" w:lineRule="auto"/>
      <w:ind w:left="220"/>
    </w:pPr>
    <w:rPr>
      <w:rFonts w:asciiTheme="minorHAnsi" w:cs="Times New Roman" w:eastAsiaTheme="minorEastAsia" w:hAnsiTheme="minorHAnsi"/>
      <w:sz w:val="22"/>
      <w:szCs w:val="22"/>
    </w:rPr>
  </w:style>
  <w:style w:styleId="TDC1" w:type="paragraph">
    <w:name w:val="toc 1"/>
    <w:basedOn w:val="Normal"/>
    <w:next w:val="Normal"/>
    <w:autoRedefine/>
    <w:uiPriority w:val="39"/>
    <w:unhideWhenUsed/>
    <w:rsid w:val="00730886"/>
    <w:pPr>
      <w:spacing w:after="100" w:line="259" w:lineRule="auto"/>
    </w:pPr>
    <w:rPr>
      <w:rFonts w:asciiTheme="minorHAnsi" w:cs="Times New Roman" w:eastAsiaTheme="minorEastAsia" w:hAnsiTheme="minorHAnsi"/>
      <w:sz w:val="22"/>
      <w:szCs w:val="22"/>
    </w:rPr>
  </w:style>
  <w:style w:styleId="TDC3" w:type="paragraph">
    <w:name w:val="toc 3"/>
    <w:basedOn w:val="Normal"/>
    <w:next w:val="Normal"/>
    <w:autoRedefine/>
    <w:uiPriority w:val="39"/>
    <w:unhideWhenUsed/>
    <w:rsid w:val="00730886"/>
    <w:pPr>
      <w:spacing w:after="100" w:line="259" w:lineRule="auto"/>
      <w:ind w:left="440"/>
    </w:pPr>
    <w:rPr>
      <w:rFonts w:asciiTheme="minorHAnsi" w:cs="Times New Roman" w:eastAsiaTheme="minorEastAsia" w:hAnsiTheme="minorHAnsi"/>
      <w:sz w:val="22"/>
      <w:szCs w:val="22"/>
    </w:rPr>
  </w:style>
  <w:style w:customStyle="1" w:styleId="FormatolibreA" w:type="paragraph">
    <w:name w:val="Formato libre A"/>
    <w:rsid w:val="00E34606"/>
    <w:pPr>
      <w:spacing w:after="160" w:line="259" w:lineRule="auto"/>
    </w:pPr>
    <w:rPr>
      <w:rFonts w:ascii="Lucida Grande" w:cs="Times New Roman" w:eastAsia="ヒラギノ角ゴ Pro W3" w:hAnsi="Lucida Grande"/>
      <w:color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136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2026-09-01T20:16:24Z</dcterms:created>
  <dcterms:modified xsi:type="dcterms:W3CDTF">2026-09-01T20:16:24Z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