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40" w:line="276" w:lineRule="auto"/>
      </w:pPr>
      <w:r>
        <w:rPr>
          <w:rFonts w:ascii="Montserrat" w:hAnsi="Montserrat" w:eastAsia="Montserrat"/>
          <w:b/>
          <w:i w:val="0"/>
          <w:color w:val="22B2DE"/>
          <w:sz w:val="18"/>
        </w:rPr>
        <w:t>INFORME EJECUTIVO</w:t>
      </w:r>
    </w:p>
    <w:p>
      <w:pPr>
        <w:spacing w:before="0" w:after="40" w:line="276" w:lineRule="auto"/>
      </w:pPr>
      <w:r>
        <w:rPr>
          <w:rFonts w:ascii="Montserrat" w:hAnsi="Montserrat" w:eastAsia="Montserrat"/>
          <w:b/>
          <w:i w:val="0"/>
          <w:color w:val="263A58"/>
          <w:sz w:val="48"/>
        </w:rPr>
        <w:t>Monitor de Consumos Ambientales</w:t>
      </w:r>
    </w:p>
    <w:p>
      <w:pPr>
        <w:spacing w:before="0" w:after="160" w:line="276" w:lineRule="auto"/>
      </w:pPr>
      <w:r>
        <w:rPr>
          <w:rFonts w:ascii="Montserrat" w:hAnsi="Montserrat" w:eastAsia="Montserrat"/>
          <w:b w:val="0"/>
          <w:i w:val="0"/>
          <w:color w:val="263A58"/>
          <w:sz w:val="24"/>
        </w:rPr>
        <w:t>PoliEcoConsumo · Primera revisión del prototipo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2551"/>
        <w:gridCol w:w="3118"/>
      </w:tblGrid>
      <w:tr>
        <w:tc>
          <w:tcPr>
            <w:tcW w:type="dxa" w:w="3685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single" w:sz="24" w:color="22B2DE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2B2DE"/>
                <w:sz w:val="14"/>
              </w:rPr>
              <w:t>DEPENDENCIA</w:t>
            </w:r>
          </w:p>
          <w:p>
            <w:pPr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8"/>
              </w:rPr>
              <w:t>Gerencia de Planeación y Gestión Institucional · Gestión Ambiental</w:t>
            </w:r>
          </w:p>
        </w:tc>
        <w:tc>
          <w:tcPr>
            <w:tcW w:type="dxa" w:w="2551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single" w:sz="24" w:color="22B2DE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2B2DE"/>
                <w:sz w:val="14"/>
              </w:rPr>
              <w:t>CORTE DE INFORMACIÓN</w:t>
            </w:r>
          </w:p>
          <w:p>
            <w:pPr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8"/>
              </w:rPr>
              <w:t>12 de octubre de 2026</w:t>
            </w:r>
          </w:p>
        </w:tc>
        <w:tc>
          <w:tcPr>
            <w:tcW w:type="dxa" w:w="3118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single" w:sz="24" w:color="22B2DE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2B2DE"/>
                <w:sz w:val="14"/>
              </w:rPr>
              <w:t>ESTADO</w:t>
            </w:r>
          </w:p>
          <w:p>
            <w:pPr>
              <w:spacing w:after="0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8"/>
              </w:rPr>
              <w:t>Prototipo funcional · nivel 2–3 de 8</w:t>
            </w:r>
          </w:p>
        </w:tc>
      </w:tr>
    </w:tbl>
    <w:p>
      <w:pPr>
        <w:spacing w:before="0" w:after="120" w:line="276" w:lineRule="auto"/>
      </w:pPr>
    </w:p>
    <w:p>
      <w:pPr>
        <w:pStyle w:val="Ttulo1"/>
        <w:keepNext/>
        <w:spacing w:before="320" w:after="120"/>
        <w:pBdr>
          <w:bottom w:val="single" w:sz="12" w:space="2" w:color="22B2DE"/>
        </w:pBdr>
      </w:pPr>
      <w:r>
        <w:rPr>
          <w:rFonts w:ascii="Montserrat" w:hAnsi="Montserrat" w:eastAsia="Montserrat"/>
          <w:b/>
          <w:i w:val="0"/>
          <w:color w:val="263A58"/>
          <w:sz w:val="26"/>
        </w:rPr>
        <w:t>1. RESUMEN EJECUTIVO</w:t>
      </w:r>
    </w:p>
    <w:p>
      <w:pPr>
        <w:spacing w:before="0" w:after="120" w:line="276" w:lineRule="auto"/>
      </w:pPr>
      <w:r>
        <w:rPr>
          <w:rFonts w:ascii="Montserrat" w:hAnsi="Montserrat" w:eastAsia="Montserrat"/>
          <w:b w:val="0"/>
          <w:i w:val="0"/>
          <w:color w:val="2F2F2F"/>
          <w:sz w:val="20"/>
        </w:rPr>
        <w:t>El Monitor de Consumos Ambientales automatiza la lectura de las facturas de energía y acueducto de las sedes y los Centros de Servicios Universitarios (CSU) del Politécnico Grancolombiano. Extrae los datos de cada PDF, los consolida en una base única, detecta consumos atípicos y facturas faltantes, y los publica en un tablero de acceso restringido, con trazabilidad completa de cada decisión de revisión.</w:t>
      </w:r>
    </w:p>
    <w:p>
      <w:pPr>
        <w:spacing w:before="0" w:after="120" w:line="276" w:lineRule="auto"/>
      </w:pPr>
      <w:r>
        <w:rPr>
          <w:rFonts w:ascii="Montserrat" w:hAnsi="Montserrat" w:eastAsia="Montserrat"/>
          <w:b w:val="0"/>
          <w:i w:val="0"/>
          <w:color w:val="2F2F2F"/>
          <w:sz w:val="20"/>
        </w:rPr>
        <w:t>En esta primera revisión el sistema procesó 803 facturas PDF de 7 prestadores, que generaron 771 registros únicos en la base. El 89,9 % no requiere revisión humana (la meta es 80 %) y la prueba de control contra la base manual coincidió en 50 de 50 registros.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shd w:val="clear" w:color="auto" w:fill="263A58"/>
            <w:tcMar>
              <w:top w:w="140" w:type="dxa"/>
              <w:left w:w="100" w:type="dxa"/>
              <w:bottom w:w="140" w:type="dxa"/>
              <w:right w:w="100" w:type="dxa"/>
            </w:tcMar>
            <w:tcBorders>
              <w:top w:val="nil"/>
              <w:left w:val="single" w:sz="36" w:color="FFFFFF"/>
              <w:bottom w:val="nil"/>
              <w:right w:val="single" w:sz="36" w:color="FFFFFF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40"/>
              </w:rPr>
              <w:t>771</w:t>
            </w:r>
          </w:p>
          <w:p>
            <w:pPr>
              <w:spacing w:after="0"/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FFFFFF"/>
                <w:sz w:val="16"/>
              </w:rPr>
              <w:t>registros únicos en la base</w:t>
            </w:r>
          </w:p>
        </w:tc>
        <w:tc>
          <w:tcPr>
            <w:tcW w:type="dxa" w:w="2339"/>
            <w:shd w:val="clear" w:color="auto" w:fill="22B2DE"/>
            <w:tcMar>
              <w:top w:w="140" w:type="dxa"/>
              <w:left w:w="100" w:type="dxa"/>
              <w:bottom w:w="140" w:type="dxa"/>
              <w:right w:w="100" w:type="dxa"/>
            </w:tcMar>
            <w:tcBorders>
              <w:top w:val="nil"/>
              <w:left w:val="single" w:sz="36" w:color="FFFFFF"/>
              <w:bottom w:val="nil"/>
              <w:right w:val="single" w:sz="36" w:color="FFFFFF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40"/>
              </w:rPr>
              <w:t>89,9 %</w:t>
            </w:r>
          </w:p>
          <w:p>
            <w:pPr>
              <w:spacing w:after="0"/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FFFFFF"/>
                <w:sz w:val="16"/>
              </w:rPr>
              <w:t>sin revisión humana (meta ≥ 80 %)</w:t>
            </w:r>
          </w:p>
        </w:tc>
        <w:tc>
          <w:tcPr>
            <w:tcW w:type="dxa" w:w="2339"/>
            <w:shd w:val="clear" w:color="auto" w:fill="15BECE"/>
            <w:tcMar>
              <w:top w:w="140" w:type="dxa"/>
              <w:left w:w="100" w:type="dxa"/>
              <w:bottom w:w="140" w:type="dxa"/>
              <w:right w:w="100" w:type="dxa"/>
            </w:tcMar>
            <w:tcBorders>
              <w:top w:val="nil"/>
              <w:left w:val="single" w:sz="36" w:color="FFFFFF"/>
              <w:bottom w:val="nil"/>
              <w:right w:val="single" w:sz="36" w:color="FFFFFF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40"/>
              </w:rPr>
              <w:t>100 %</w:t>
            </w:r>
          </w:p>
          <w:p>
            <w:pPr>
              <w:spacing w:after="0"/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FFFFFF"/>
                <w:sz w:val="16"/>
              </w:rPr>
              <w:t>precisión en prueba control (50/50)</w:t>
            </w:r>
          </w:p>
        </w:tc>
        <w:tc>
          <w:tcPr>
            <w:tcW w:type="dxa" w:w="2339"/>
            <w:shd w:val="clear" w:color="auto" w:fill="263A58"/>
            <w:tcMar>
              <w:top w:w="140" w:type="dxa"/>
              <w:left w:w="100" w:type="dxa"/>
              <w:bottom w:w="140" w:type="dxa"/>
              <w:right w:w="100" w:type="dxa"/>
            </w:tcMar>
            <w:tcBorders>
              <w:top w:val="nil"/>
              <w:left w:val="single" w:sz="36" w:color="FFFFFF"/>
              <w:bottom w:val="nil"/>
              <w:right w:val="single" w:sz="36" w:color="FFFFFF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40"/>
              </w:rPr>
              <w:t>67/67</w:t>
            </w:r>
          </w:p>
          <w:p>
            <w:pPr>
              <w:spacing w:after="0"/>
              <w:jc w:val="center"/>
            </w:pPr>
            <w:r>
              <w:rPr>
                <w:rFonts w:ascii="Montserrat" w:hAnsi="Montserrat" w:eastAsia="Montserrat"/>
                <w:b w:val="0"/>
                <w:i w:val="0"/>
                <w:color w:val="FFFFFF"/>
                <w:sz w:val="16"/>
              </w:rPr>
              <w:t>pruebas automáticas aprobadas</w:t>
            </w:r>
          </w:p>
        </w:tc>
      </w:tr>
    </w:tbl>
    <w:p>
      <w:pPr>
        <w:spacing w:before="0" w:after="8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263A58"/>
            <w:tcMar>
              <w:top w:w="140" w:type="dxa"/>
              <w:left w:w="220" w:type="dxa"/>
              <w:bottom w:w="140" w:type="dxa"/>
              <w:right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2B2DE"/>
                <w:sz w:val="16"/>
              </w:rPr>
              <w:t>MENSAJE CLAVE</w:t>
            </w:r>
          </w:p>
          <w:p>
            <w:pPr>
              <w:spacing w:before="60" w:after="0" w:line="276" w:lineRule="auto"/>
            </w:pPr>
            <w:r>
              <w:rPr>
                <w:rFonts w:ascii="Montserrat" w:hAnsi="Montserrat" w:eastAsia="Montserrat"/>
                <w:b w:val="0"/>
                <w:i w:val="0"/>
                <w:color w:val="FFFFFF"/>
                <w:sz w:val="20"/>
              </w:rPr>
              <w:t>La parte técnica de la primera revisión está cumplida. Lo que falta para pasar a piloto son decisiones de gestión: datos maestros por sede, SLA de alertas y validación de TI. Ninguna depende de desarrollo.</w:t>
            </w:r>
          </w:p>
        </w:tc>
      </w:tr>
    </w:tbl>
    <w:p>
      <w:pPr>
        <w:spacing w:before="0" w:after="80" w:line="276" w:lineRule="auto"/>
      </w:pPr>
    </w:p>
    <w:p>
      <w:pPr>
        <w:pStyle w:val="Ttulo1"/>
        <w:keepNext/>
        <w:spacing w:before="320" w:after="120"/>
        <w:pBdr>
          <w:bottom w:val="single" w:sz="12" w:space="2" w:color="22B2DE"/>
        </w:pBdr>
      </w:pPr>
      <w:r>
        <w:rPr>
          <w:rFonts w:ascii="Montserrat" w:hAnsi="Montserrat" w:eastAsia="Montserrat"/>
          <w:b/>
          <w:i w:val="0"/>
          <w:color w:val="263A58"/>
          <w:sz w:val="26"/>
        </w:rPr>
        <w:t>2. ALCANCE DE LA PRIMERA REVISIÓN</w:t>
      </w:r>
    </w:p>
    <w:p>
      <w:pPr>
        <w:spacing w:before="0" w:after="120" w:line="276" w:lineRule="auto"/>
      </w:pPr>
      <w:r>
        <w:rPr>
          <w:rFonts w:ascii="Montserrat" w:hAnsi="Montserrat" w:eastAsia="Montserrat"/>
          <w:b w:val="0"/>
          <w:i w:val="0"/>
          <w:color w:val="2F2F2F"/>
          <w:sz w:val="20"/>
        </w:rPr>
        <w:t>Según la Propuesta del 1 de septiembre de 2026 y la Ficha de Iniciativa, la primera revisión cubre acueducto y energía de las sedes de Bogotá, los CSU y la base de EPM en Medellín. Quedan fuera el gas propano y los combustibles, a la espera de una decisión del equipo SGA.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474"/>
        <w:gridCol w:w="5613"/>
      </w:tblGrid>
      <w:tr>
        <w:trPr>
          <w:tblHeader w:val="true"/>
        </w:trPr>
        <w:tc>
          <w:tcPr>
            <w:tcW w:type="dxa" w:w="2268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Grupo</w:t>
            </w:r>
          </w:p>
        </w:tc>
        <w:tc>
          <w:tcPr>
            <w:tcW w:type="dxa" w:w="1474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Facturas PDF</w:t>
            </w:r>
          </w:p>
        </w:tc>
        <w:tc>
          <w:tcPr>
            <w:tcW w:type="dxa" w:w="5613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Prestadores / sedes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Acueducto sedes</w:t>
            </w:r>
          </w:p>
        </w:tc>
        <w:tc>
          <w:tcPr>
            <w:tcW w:type="dxa" w:w="147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25</w:t>
            </w:r>
          </w:p>
        </w:tc>
        <w:tc>
          <w:tcPr>
            <w:tcW w:type="dxa" w:w="5613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EAAB: Campus, City Campus (3 cuentas) y Calle 84 (bimensual)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Energía sedes</w:t>
            </w:r>
          </w:p>
        </w:tc>
        <w:tc>
          <w:tcPr>
            <w:tcW w:type="dxa" w:w="1474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42</w:t>
            </w:r>
          </w:p>
        </w:tc>
        <w:tc>
          <w:tcPr>
            <w:tcW w:type="dxa" w:w="5613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Enel Colombia: Campus, City Campus y Calle 84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Servicios públicos CSU</w:t>
            </w:r>
          </w:p>
        </w:tc>
        <w:tc>
          <w:tcPr>
            <w:tcW w:type="dxa" w:w="147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102</w:t>
            </w:r>
          </w:p>
        </w:tc>
        <w:tc>
          <w:tcPr>
            <w:tcW w:type="dxa" w:w="5613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10 CSU: Zipaquirá, Chía, Soacha, Bosa, Portal 80, Cartagena, Barranquilla, Cali, Bello y Villavicencio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EPM Medellín</w:t>
            </w:r>
          </w:p>
        </w:tc>
        <w:tc>
          <w:tcPr>
            <w:tcW w:type="dxa" w:w="1474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634</w:t>
            </w:r>
          </w:p>
        </w:tc>
        <w:tc>
          <w:tcPr>
            <w:tcW w:type="dxa" w:w="5613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Factura unificada (energía, acueducto y aseo) separada por servicio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Total</w:t>
            </w:r>
          </w:p>
        </w:tc>
        <w:tc>
          <w:tcPr>
            <w:tcW w:type="dxa" w:w="147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≈ 803</w:t>
            </w:r>
          </w:p>
        </w:tc>
        <w:tc>
          <w:tcPr>
            <w:tcW w:type="dxa" w:w="5613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801 digitales y 2 imágenes que requieren OCR</w:t>
            </w:r>
          </w:p>
        </w:tc>
      </w:tr>
    </w:tbl>
    <w:p>
      <w:pPr>
        <w:spacing w:before="0" w:after="80" w:line="276" w:lineRule="auto"/>
      </w:pPr>
    </w:p>
    <w:p>
      <w:pPr>
        <w:pStyle w:val="Ttulo1"/>
        <w:keepNext/>
        <w:spacing w:before="320" w:after="120"/>
        <w:pBdr>
          <w:bottom w:val="single" w:sz="12" w:space="2" w:color="22B2DE"/>
        </w:pBdr>
      </w:pPr>
      <w:r>
        <w:rPr>
          <w:rFonts w:ascii="Montserrat" w:hAnsi="Montserrat" w:eastAsia="Montserrat"/>
          <w:b/>
          <w:i w:val="0"/>
          <w:color w:val="263A58"/>
          <w:sz w:val="26"/>
        </w:rPr>
        <w:t>3. FUNCIONALIDADES IMPLEMENTADAS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F0F0F0"/>
            <w:tcMar>
              <w:top w:w="120" w:type="dxa"/>
              <w:left w:w="140" w:type="dxa"/>
              <w:bottom w:w="120" w:type="dxa"/>
              <w:right w:w="100" w:type="dxa"/>
            </w:tcMar>
            <w:tcBorders>
              <w:top w:val="nil"/>
              <w:left w:val="single" w:sz="36" w:color="22B2DE"/>
              <w:bottom w:val="nil"/>
              <w:right w:val="single" w:sz="36" w:color="FFFFFF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Extracción</w:t>
            </w:r>
          </w:p>
          <w:p>
            <w:pPr>
              <w:spacing w:before="60"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Un extractor por formato de factura: Enel, EAAB, EPM, Afinia, Air-e, EmCali, Aguas de Cartagena, Triple A, Villavicencio y Zipaquirá. El periodo sale del cuerpo de la factura, no de la fecha de recepción.</w:t>
            </w:r>
          </w:p>
        </w:tc>
        <w:tc>
          <w:tcPr>
            <w:tcW w:type="dxa" w:w="3118"/>
            <w:shd w:val="clear" w:color="auto" w:fill="F0F0F0"/>
            <w:tcMar>
              <w:top w:w="120" w:type="dxa"/>
              <w:left w:w="140" w:type="dxa"/>
              <w:bottom w:w="120" w:type="dxa"/>
              <w:right w:w="100" w:type="dxa"/>
            </w:tcMar>
            <w:tcBorders>
              <w:top w:val="nil"/>
              <w:left w:val="single" w:sz="36" w:color="22B2DE"/>
              <w:bottom w:val="nil"/>
              <w:right w:val="single" w:sz="36" w:color="FFFFFF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Validación</w:t>
            </w:r>
          </w:p>
          <w:p>
            <w:pPr>
              <w:spacing w:before="60"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Variación mayor al 20 % frente al histórico, con severidad ALTA, MEDIA o BAJA. Confianza sobre periodo, consumo y valor. Una fila incompleta pasa a revisión, nunca se rechaza.</w:t>
            </w:r>
          </w:p>
        </w:tc>
        <w:tc>
          <w:tcPr>
            <w:tcW w:type="dxa" w:w="3118"/>
            <w:shd w:val="clear" w:color="auto" w:fill="F0F0F0"/>
            <w:tcMar>
              <w:top w:w="120" w:type="dxa"/>
              <w:left w:w="140" w:type="dxa"/>
              <w:bottom w:w="120" w:type="dxa"/>
              <w:right w:w="100" w:type="dxa"/>
            </w:tcMar>
            <w:tcBorders>
              <w:top w:val="nil"/>
              <w:left w:val="single" w:sz="36" w:color="22B2DE"/>
              <w:bottom w:val="nil"/>
              <w:right w:val="single" w:sz="36" w:color="FFFFFF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Alertas</w:t>
            </w:r>
          </w:p>
          <w:p>
            <w:pPr>
              <w:spacing w:before="60"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Consumo atípico y factura faltante según la cadencia de cada medidor. Calle 84 factura cada dos meses y no genera falsas alertas.</w:t>
            </w:r>
          </w:p>
        </w:tc>
      </w:tr>
    </w:tbl>
    <w:p>
      <w:pPr>
        <w:spacing w:before="0" w:after="8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F0F0F0"/>
            <w:tcMar>
              <w:top w:w="120" w:type="dxa"/>
              <w:left w:w="140" w:type="dxa"/>
              <w:bottom w:w="120" w:type="dxa"/>
              <w:right w:w="100" w:type="dxa"/>
            </w:tcMar>
            <w:tcBorders>
              <w:top w:val="nil"/>
              <w:left w:val="single" w:sz="36" w:color="22B2DE"/>
              <w:bottom w:val="nil"/>
              <w:right w:val="single" w:sz="36" w:color="FFFFFF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Almacén y auditoría</w:t>
            </w:r>
          </w:p>
          <w:p>
            <w:pPr>
              <w:spacing w:before="60"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Base SQLite con el ciclo EN_REVISIÓN → CONFIRMADO → OFICIAL. Solo lo oficial se exporta. Cada decisión queda en un historial con cadena de hash.</w:t>
            </w:r>
          </w:p>
        </w:tc>
        <w:tc>
          <w:tcPr>
            <w:tcW w:type="dxa" w:w="3118"/>
            <w:shd w:val="clear" w:color="auto" w:fill="F0F0F0"/>
            <w:tcMar>
              <w:top w:w="120" w:type="dxa"/>
              <w:left w:w="140" w:type="dxa"/>
              <w:bottom w:w="120" w:type="dxa"/>
              <w:right w:w="100" w:type="dxa"/>
            </w:tcMar>
            <w:tcBorders>
              <w:top w:val="nil"/>
              <w:left w:val="single" w:sz="36" w:color="22B2DE"/>
              <w:bottom w:val="nil"/>
              <w:right w:val="single" w:sz="36" w:color="FFFFFF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Tablero cifrado</w:t>
            </w:r>
          </w:p>
          <w:p>
            <w:pPr>
              <w:spacing w:before="60"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Sitio web con vista Ejecutiva y vista Operativa, publicado en GitHub Pages con datos cifrados y acceso por usuario.</w:t>
            </w:r>
          </w:p>
        </w:tc>
        <w:tc>
          <w:tcPr>
            <w:tcW w:type="dxa" w:w="3118"/>
            <w:shd w:val="clear" w:color="auto" w:fill="F0F0F0"/>
            <w:tcMar>
              <w:top w:w="120" w:type="dxa"/>
              <w:left w:w="140" w:type="dxa"/>
              <w:bottom w:w="120" w:type="dxa"/>
              <w:right w:w="100" w:type="dxa"/>
            </w:tcMar>
            <w:tcBorders>
              <w:top w:val="nil"/>
              <w:left w:val="single" w:sz="36" w:color="22B2DE"/>
              <w:bottom w:val="nil"/>
              <w:right w:val="single" w:sz="36" w:color="FFFFFF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Libro consolidado</w:t>
            </w:r>
          </w:p>
          <w:p>
            <w:pPr>
              <w:spacing w:before="60"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Un Excel final con hojas en español: Resumen, Base, Atípicos, Cola de revisión y Faltantes.</w:t>
            </w:r>
          </w:p>
        </w:tc>
      </w:tr>
    </w:tbl>
    <w:p>
      <w:pPr>
        <w:spacing w:before="0" w:after="80" w:line="276" w:lineRule="auto"/>
      </w:pPr>
    </w:p>
    <w:p>
      <w:pPr>
        <w:pStyle w:val="Ttulo2"/>
        <w:keepNext/>
        <w:spacing w:before="200" w:after="60"/>
      </w:pPr>
      <w:r>
        <w:rPr>
          <w:rFonts w:ascii="Montserrat" w:hAnsi="Montserrat" w:eastAsia="Montserrat"/>
          <w:b/>
          <w:i w:val="0"/>
          <w:color w:val="22B2DE"/>
          <w:sz w:val="22"/>
        </w:rPr>
        <w:t>Reglas de negocio que el sistema respeta</w:t>
      </w:r>
    </w:p>
    <w:p>
      <w:pPr>
        <w:spacing w:before="0" w:after="40" w:line="276" w:lineRule="auto"/>
        <w:ind w:left="340" w:hanging="227"/>
      </w:pPr>
      <w:r>
        <w:rPr>
          <w:rFonts w:ascii="Montserrat" w:hAnsi="Montserrat" w:eastAsia="Montserrat"/>
          <w:b/>
          <w:i w:val="0"/>
          <w:color w:val="22B2DE"/>
          <w:sz w:val="18"/>
        </w:rPr>
        <w:t xml:space="preserve">▪  </w:t>
      </w:r>
      <w:r>
        <w:rPr>
          <w:rFonts w:ascii="Montserrat" w:hAnsi="Montserrat" w:eastAsia="Montserrat"/>
          <w:b w:val="0"/>
          <w:i w:val="0"/>
          <w:color w:val="2F2F2F"/>
          <w:sz w:val="19"/>
        </w:rPr>
        <w:t>El periodo de consumo se toma del cuerpo de la factura y nunca de la fecha de recepción.</w:t>
      </w:r>
    </w:p>
    <w:p>
      <w:pPr>
        <w:spacing w:before="0" w:after="40" w:line="276" w:lineRule="auto"/>
        <w:ind w:left="340" w:hanging="227"/>
      </w:pPr>
      <w:r>
        <w:rPr>
          <w:rFonts w:ascii="Montserrat" w:hAnsi="Montserrat" w:eastAsia="Montserrat"/>
          <w:b/>
          <w:i w:val="0"/>
          <w:color w:val="22B2DE"/>
          <w:sz w:val="18"/>
        </w:rPr>
        <w:t xml:space="preserve">▪  </w:t>
      </w:r>
      <w:r>
        <w:rPr>
          <w:rFonts w:ascii="Montserrat" w:hAnsi="Montserrat" w:eastAsia="Montserrat"/>
          <w:b w:val="0"/>
          <w:i w:val="0"/>
          <w:color w:val="2F2F2F"/>
          <w:sz w:val="19"/>
        </w:rPr>
        <w:t>Si la factura no trae número, se registra como «N factura no identificado» y no se rechaza.</w:t>
      </w:r>
    </w:p>
    <w:p>
      <w:pPr>
        <w:spacing w:before="0" w:after="40" w:line="276" w:lineRule="auto"/>
        <w:ind w:left="340" w:hanging="227"/>
      </w:pPr>
      <w:r>
        <w:rPr>
          <w:rFonts w:ascii="Montserrat" w:hAnsi="Montserrat" w:eastAsia="Montserrat"/>
          <w:b/>
          <w:i w:val="0"/>
          <w:color w:val="22B2DE"/>
          <w:sz w:val="18"/>
        </w:rPr>
        <w:t xml:space="preserve">▪  </w:t>
      </w:r>
      <w:r>
        <w:rPr>
          <w:rFonts w:ascii="Montserrat" w:hAnsi="Montserrat" w:eastAsia="Montserrat"/>
          <w:b w:val="0"/>
          <w:i w:val="0"/>
          <w:color w:val="2F2F2F"/>
          <w:sz w:val="19"/>
        </w:rPr>
        <w:t>La clave de deduplicación incluye el servicio, porque una factura EPM unificada genera varias filas.</w:t>
      </w:r>
    </w:p>
    <w:p>
      <w:pPr>
        <w:spacing w:before="0" w:after="40" w:line="276" w:lineRule="auto"/>
        <w:ind w:left="340" w:hanging="227"/>
      </w:pPr>
      <w:r>
        <w:rPr>
          <w:rFonts w:ascii="Montserrat" w:hAnsi="Montserrat" w:eastAsia="Montserrat"/>
          <w:b/>
          <w:i w:val="0"/>
          <w:color w:val="22B2DE"/>
          <w:sz w:val="18"/>
        </w:rPr>
        <w:t xml:space="preserve">▪  </w:t>
      </w:r>
      <w:r>
        <w:rPr>
          <w:rFonts w:ascii="Montserrat" w:hAnsi="Montserrat" w:eastAsia="Montserrat"/>
          <w:b w:val="0"/>
          <w:i w:val="0"/>
          <w:color w:val="2F2F2F"/>
          <w:sz w:val="19"/>
        </w:rPr>
        <w:t>Sin 12 meses de histórico, la referencia es la mediana de los periodos previos y la fila queda marcada.</w:t>
      </w:r>
    </w:p>
    <w:p>
      <w:pPr>
        <w:pStyle w:val="Ttulo1"/>
        <w:keepNext/>
        <w:spacing w:before="320" w:after="120"/>
        <w:pBdr>
          <w:bottom w:val="single" w:sz="12" w:space="2" w:color="22B2DE"/>
        </w:pBdr>
      </w:pPr>
      <w:r>
        <w:rPr>
          <w:rFonts w:ascii="Montserrat" w:hAnsi="Montserrat" w:eastAsia="Montserrat"/>
          <w:b/>
          <w:i w:val="0"/>
          <w:color w:val="263A58"/>
          <w:sz w:val="26"/>
        </w:rPr>
        <w:t>4. ETAPAS EJECUTADAS</w:t>
      </w:r>
    </w:p>
    <w:p>
      <w:pPr>
        <w:spacing w:before="0" w:after="80" w:line="276" w:lineRule="auto"/>
      </w:pPr>
      <w:r>
        <w:rPr>
          <w:rFonts w:ascii="Montserrat" w:hAnsi="Montserrat" w:eastAsia="Montserrat"/>
          <w:b w:val="0"/>
          <w:i w:val="0"/>
          <w:color w:val="2F2F2F"/>
          <w:sz w:val="20"/>
        </w:rPr>
        <w:t>El pipeline completo corre con un solo comando y encadena las siguientes etapas. Cada una deja su archivo en una carpeta propia dentro de data/outputs y conserva las versiones anteriores en un histórico.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8561"/>
      </w:tblGrid>
      <w:tr>
        <w:trPr>
          <w:cantSplit/>
        </w:trPr>
        <w:tc>
          <w:tcPr>
            <w:tcW w:type="dxa" w:w="794"/>
            <w:shd w:val="clear" w:color="auto" w:fill="22B2DE"/>
            <w:tcMar>
              <w:top w:w="80" w:type="dxa"/>
              <w:left w:w="60" w:type="dxa"/>
              <w:bottom w:w="80" w:type="dxa"/>
              <w:right w:w="6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6"/>
              </w:rPr>
              <w:t>01</w:t>
            </w:r>
          </w:p>
        </w:tc>
        <w:tc>
          <w:tcPr>
            <w:tcW w:type="dxa" w:w="8561"/>
            <w:shd w:val="clear" w:color="auto" w:fill="F0F0F0"/>
            <w:tcMar>
              <w:top w:w="80" w:type="dxa"/>
              <w:left w:w="160" w:type="dxa"/>
              <w:bottom w:w="80" w:type="dxa"/>
              <w:right w:w="12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Clasificación de PDFs</w:t>
            </w:r>
          </w:p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Inventario de las 803 facturas: 801 con texto digital y 2 imágenes que requieren OCR.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263A58"/>
            <w:tcMar>
              <w:top w:w="80" w:type="dxa"/>
              <w:left w:w="60" w:type="dxa"/>
              <w:bottom w:w="80" w:type="dxa"/>
              <w:right w:w="6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6"/>
              </w:rPr>
              <w:t>02</w:t>
            </w:r>
          </w:p>
        </w:tc>
        <w:tc>
          <w:tcPr>
            <w:tcW w:type="dxa" w:w="8561"/>
            <w:shd w:val="clear" w:color="auto" w:fill="F0F0F0"/>
            <w:tcMar>
              <w:top w:w="80" w:type="dxa"/>
              <w:left w:w="160" w:type="dxa"/>
              <w:bottom w:w="80" w:type="dxa"/>
              <w:right w:w="12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Extracción por lotes</w:t>
            </w:r>
          </w:p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Bogotá (Enel y EAAB), CSU y EPM. Los 634 PDF de EPM se procesaron sin fallos y dieron 571 filas de energía y 60 de acueducto.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22B2DE"/>
            <w:tcMar>
              <w:top w:w="80" w:type="dxa"/>
              <w:left w:w="60" w:type="dxa"/>
              <w:bottom w:w="80" w:type="dxa"/>
              <w:right w:w="6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6"/>
              </w:rPr>
              <w:t>03</w:t>
            </w:r>
          </w:p>
        </w:tc>
        <w:tc>
          <w:tcPr>
            <w:tcW w:type="dxa" w:w="8561"/>
            <w:shd w:val="clear" w:color="auto" w:fill="F0F0F0"/>
            <w:tcMar>
              <w:top w:w="80" w:type="dxa"/>
              <w:left w:w="160" w:type="dxa"/>
              <w:bottom w:w="80" w:type="dxa"/>
              <w:right w:w="12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Consolidación</w:t>
            </w:r>
          </w:p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Esquema común y eliminación de duplicados. Resultado: 771 registros únicos (678 de energía y 93 de acueducto).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263A58"/>
            <w:tcMar>
              <w:top w:w="80" w:type="dxa"/>
              <w:left w:w="60" w:type="dxa"/>
              <w:bottom w:w="80" w:type="dxa"/>
              <w:right w:w="6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6"/>
              </w:rPr>
              <w:t>04</w:t>
            </w:r>
          </w:p>
        </w:tc>
        <w:tc>
          <w:tcPr>
            <w:tcW w:type="dxa" w:w="8561"/>
            <w:shd w:val="clear" w:color="auto" w:fill="F0F0F0"/>
            <w:tcMar>
              <w:top w:w="80" w:type="dxa"/>
              <w:left w:w="160" w:type="dxa"/>
              <w:bottom w:w="80" w:type="dxa"/>
              <w:right w:w="12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Validación de atípicos</w:t>
            </w:r>
          </w:p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693 registros OK, 70 atípicos por revisar (50 de severidad ALTA y 20 MEDIA) y 8 por baja confianza.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22B2DE"/>
            <w:tcMar>
              <w:top w:w="80" w:type="dxa"/>
              <w:left w:w="60" w:type="dxa"/>
              <w:bottom w:w="80" w:type="dxa"/>
              <w:right w:w="6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6"/>
              </w:rPr>
              <w:t>05</w:t>
            </w:r>
          </w:p>
        </w:tc>
        <w:tc>
          <w:tcPr>
            <w:tcW w:type="dxa" w:w="8561"/>
            <w:shd w:val="clear" w:color="auto" w:fill="F0F0F0"/>
            <w:tcMar>
              <w:top w:w="80" w:type="dxa"/>
              <w:left w:w="160" w:type="dxa"/>
              <w:bottom w:w="80" w:type="dxa"/>
              <w:right w:w="12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Alertas</w:t>
            </w:r>
          </w:p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70 consumos atípicos y 11 posibles facturas faltantes para seguimiento.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263A58"/>
            <w:tcMar>
              <w:top w:w="80" w:type="dxa"/>
              <w:left w:w="60" w:type="dxa"/>
              <w:bottom w:w="80" w:type="dxa"/>
              <w:right w:w="6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6"/>
              </w:rPr>
              <w:t>06</w:t>
            </w:r>
          </w:p>
        </w:tc>
        <w:tc>
          <w:tcPr>
            <w:tcW w:type="dxa" w:w="8561"/>
            <w:shd w:val="clear" w:color="auto" w:fill="F0F0F0"/>
            <w:tcMar>
              <w:top w:w="80" w:type="dxa"/>
              <w:left w:w="160" w:type="dxa"/>
              <w:bottom w:w="80" w:type="dxa"/>
              <w:right w:w="12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Almacén oficial</w:t>
            </w:r>
          </w:p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Carga a la base de datos con compuerta de confirmación del Analista SGA antes de volverse oficial.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22B2DE"/>
            <w:tcMar>
              <w:top w:w="80" w:type="dxa"/>
              <w:left w:w="60" w:type="dxa"/>
              <w:bottom w:w="80" w:type="dxa"/>
              <w:right w:w="6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6"/>
              </w:rPr>
              <w:t>07</w:t>
            </w:r>
          </w:p>
        </w:tc>
        <w:tc>
          <w:tcPr>
            <w:tcW w:type="dxa" w:w="8561"/>
            <w:shd w:val="clear" w:color="auto" w:fill="F0F0F0"/>
            <w:tcMar>
              <w:top w:w="80" w:type="dxa"/>
              <w:left w:w="160" w:type="dxa"/>
              <w:bottom w:w="80" w:type="dxa"/>
              <w:right w:w="12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Prueba de control</w:t>
            </w:r>
          </w:p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Comparación contra la base manual de marzo de 2025: 50 de 50 exactas en periodo, consumo y valor.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263A58"/>
            <w:tcMar>
              <w:top w:w="80" w:type="dxa"/>
              <w:left w:w="60" w:type="dxa"/>
              <w:bottom w:w="80" w:type="dxa"/>
              <w:right w:w="6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6"/>
              </w:rPr>
              <w:t>08</w:t>
            </w:r>
          </w:p>
        </w:tc>
        <w:tc>
          <w:tcPr>
            <w:tcW w:type="dxa" w:w="8561"/>
            <w:shd w:val="clear" w:color="auto" w:fill="F0F0F0"/>
            <w:tcMar>
              <w:top w:w="80" w:type="dxa"/>
              <w:left w:w="160" w:type="dxa"/>
              <w:bottom w:w="80" w:type="dxa"/>
              <w:right w:w="12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Exportación y publicación</w:t>
            </w:r>
          </w:p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Libro consolidado en Excel y sitio estático cifrado para GitHub Pages.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22B2DE"/>
            <w:tcMar>
              <w:top w:w="80" w:type="dxa"/>
              <w:left w:w="60" w:type="dxa"/>
              <w:bottom w:w="80" w:type="dxa"/>
              <w:right w:w="6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26"/>
              </w:rPr>
              <w:t>09</w:t>
            </w:r>
          </w:p>
        </w:tc>
        <w:tc>
          <w:tcPr>
            <w:tcW w:type="dxa" w:w="8561"/>
            <w:shd w:val="clear" w:color="auto" w:fill="F0F0F0"/>
            <w:tcMar>
              <w:top w:w="80" w:type="dxa"/>
              <w:left w:w="160" w:type="dxa"/>
              <w:bottom w:w="80" w:type="dxa"/>
              <w:right w:w="120" w:type="dxa"/>
            </w:tcMar>
            <w:tcBorders>
              <w:top w:val="nil"/>
              <w:left w:val="nil"/>
              <w:bottom w:val="single" w:sz="24" w:color="FFFFFF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Orden y pruebas</w:t>
            </w:r>
          </w:p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Archivo de versiones anteriores y suite automática: 67 pruebas aprobadas.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Montserrat" w:hAnsi="Montserrat" w:eastAsia="Montserrat"/>
          <w:b/>
          <w:i w:val="0"/>
          <w:color w:val="263A58"/>
          <w:sz w:val="19"/>
        </w:rPr>
        <w:t>Tiempo medido de un lote completo: 2 min 36 s, frente a la meta de menos de 2 horas al mes.</w:t>
      </w:r>
    </w:p>
    <w:p>
      <w:pPr>
        <w:pStyle w:val="Ttulo1"/>
        <w:keepNext/>
        <w:spacing w:before="320" w:after="120"/>
        <w:pBdr>
          <w:bottom w:val="single" w:sz="12" w:space="2" w:color="22B2DE"/>
        </w:pBdr>
      </w:pPr>
      <w:r>
        <w:rPr>
          <w:rFonts w:ascii="Montserrat" w:hAnsi="Montserrat" w:eastAsia="Montserrat"/>
          <w:b/>
          <w:i w:val="0"/>
          <w:color w:val="263A58"/>
          <w:sz w:val="26"/>
        </w:rPr>
        <w:t>5. TABLERO DE SEGUIMIENTO</w:t>
      </w:r>
    </w:p>
    <w:p>
      <w:pPr>
        <w:spacing w:before="0" w:after="80" w:line="276" w:lineRule="auto"/>
      </w:pPr>
      <w:r>
        <w:rPr>
          <w:rFonts w:ascii="Montserrat" w:hAnsi="Montserrat" w:eastAsia="Montserrat"/>
          <w:b w:val="0"/>
          <w:i w:val="0"/>
          <w:color w:val="2F2F2F"/>
          <w:sz w:val="20"/>
        </w:rPr>
        <w:t>El tablero es un sitio web de acceso restringido: cada usuario autorizado ingresa con su correo y contraseña, y los datos se descifran en su propio navegador. Tiene una vista Ejecutiva para la dirección y una vista Operativa para el Analista SGA.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logi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ontserrat" w:hAnsi="Montserrat" w:eastAsia="Montserrat"/>
          <w:b w:val="0"/>
          <w:i/>
          <w:color w:val="5B6573"/>
          <w:sz w:val="16"/>
        </w:rPr>
        <w:t>Figura 1. Ingreso al tablero con acceso restringido.</w:t>
      </w:r>
    </w:p>
    <w:p>
      <w:r>
        <w:br w:type="page"/>
      </w:r>
    </w:p>
    <w:p>
      <w:pPr>
        <w:pStyle w:val="Ttulo2"/>
        <w:keepNext/>
        <w:spacing w:before="200" w:after="60"/>
      </w:pPr>
      <w:r>
        <w:rPr>
          <w:rFonts w:ascii="Montserrat" w:hAnsi="Montserrat" w:eastAsia="Montserrat"/>
          <w:b/>
          <w:i w:val="0"/>
          <w:color w:val="22B2DE"/>
          <w:sz w:val="22"/>
        </w:rPr>
        <w:t>Vista Ejecutiva</w:t>
      </w:r>
    </w:p>
    <w:p>
      <w:pPr>
        <w:spacing w:before="0" w:after="40" w:line="276" w:lineRule="auto"/>
      </w:pPr>
      <w:r>
        <w:rPr>
          <w:rFonts w:ascii="Montserrat" w:hAnsi="Montserrat" w:eastAsia="Montserrat"/>
          <w:b w:val="0"/>
          <w:i w:val="0"/>
          <w:color w:val="2F2F2F"/>
          <w:sz w:val="19"/>
        </w:rPr>
        <w:t>Resume el estado del consumo: atípicos destacados, consumo de energía y agua, valor facturado, calidad de los datos y un semáforo por sede. Los filtros por servicio, periodo, sede y prestador actualizan todo el tablero.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501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ejec_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1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ontserrat" w:hAnsi="Montserrat" w:eastAsia="Montserrat"/>
          <w:b w:val="0"/>
          <w:i/>
          <w:color w:val="5B6573"/>
          <w:sz w:val="16"/>
        </w:rPr>
        <w:t>Figura 2. Vista Ejecutiva: filtros, alerta de atípicos, indicadores y consumo mensual.</w:t>
      </w:r>
    </w:p>
    <w:p>
      <w:r>
        <w:br w:type="page"/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614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ejec_b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ontserrat" w:hAnsi="Montserrat" w:eastAsia="Montserrat"/>
          <w:b w:val="0"/>
          <w:i/>
          <w:color w:val="5B6573"/>
          <w:sz w:val="16"/>
        </w:rPr>
        <w:t>Figura 3. Vista Ejecutiva: sedes con mayor consumo, calidad de los datos, valor facturado y semáforo por sede.</w:t>
      </w:r>
    </w:p>
    <w:p>
      <w:r>
        <w:br w:type="page"/>
      </w:r>
    </w:p>
    <w:p>
      <w:pPr>
        <w:pStyle w:val="Ttulo2"/>
        <w:keepNext/>
        <w:spacing w:before="200" w:after="60"/>
      </w:pPr>
      <w:r>
        <w:rPr>
          <w:rFonts w:ascii="Montserrat" w:hAnsi="Montserrat" w:eastAsia="Montserrat"/>
          <w:b/>
          <w:i w:val="0"/>
          <w:color w:val="22B2DE"/>
          <w:sz w:val="22"/>
        </w:rPr>
        <w:t>Vista Operativa</w:t>
      </w:r>
    </w:p>
    <w:p>
      <w:pPr>
        <w:spacing w:before="0" w:after="40" w:line="276" w:lineRule="auto"/>
      </w:pPr>
      <w:r>
        <w:rPr>
          <w:rFonts w:ascii="Montserrat" w:hAnsi="Montserrat" w:eastAsia="Montserrat"/>
          <w:b w:val="0"/>
          <w:i w:val="0"/>
          <w:color w:val="2F2F2F"/>
          <w:sz w:val="19"/>
        </w:rPr>
        <w:t>Es la herramienta de trabajo del Analista SGA: cola de revisión con el hallazgo, la sede, el periodo y la variación frente a la referencia, además de las pestañas de faltantes, todas las facturas y calidad por prestador.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6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op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6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Montserrat" w:hAnsi="Montserrat" w:eastAsia="Montserrat"/>
          <w:b w:val="0"/>
          <w:i/>
          <w:color w:val="5B6573"/>
          <w:sz w:val="16"/>
        </w:rPr>
        <w:t>Figura 4. Vista Operativa: indicadores de revisión y cola de facturas por revisar.</w:t>
      </w:r>
    </w:p>
    <w:p>
      <w:pPr>
        <w:spacing w:before="0" w:after="120" w:line="276" w:lineRule="auto"/>
      </w:pPr>
      <w:r>
        <w:rPr>
          <w:rFonts w:ascii="Montserrat" w:hAnsi="Montserrat" w:eastAsia="Montserrat"/>
          <w:b w:val="0"/>
          <w:i/>
          <w:color w:val="5B6573"/>
          <w:sz w:val="17"/>
        </w:rPr>
        <w:t>Los pantallazos corresponden al tablero con los datos de la corrida del 12 de octubre de 2026 (771 facturas), capturados desde una copia local con las mismas cifras.</w:t>
      </w:r>
    </w:p>
    <w:p>
      <w:pPr>
        <w:pStyle w:val="Ttulo1"/>
        <w:keepNext/>
        <w:spacing w:before="320" w:after="120"/>
        <w:pBdr>
          <w:bottom w:val="single" w:sz="12" w:space="2" w:color="22B2DE"/>
        </w:pBdr>
      </w:pPr>
      <w:r>
        <w:rPr>
          <w:rFonts w:ascii="Montserrat" w:hAnsi="Montserrat" w:eastAsia="Montserrat"/>
          <w:b/>
          <w:i w:val="0"/>
          <w:color w:val="263A58"/>
          <w:sz w:val="26"/>
        </w:rPr>
        <w:t>6. RESULTADOS FRENTE A LAS METAS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814"/>
        <w:gridCol w:w="2664"/>
        <w:gridCol w:w="1701"/>
      </w:tblGrid>
      <w:tr>
        <w:trPr>
          <w:tblHeader w:val="true"/>
        </w:trPr>
        <w:tc>
          <w:tcPr>
            <w:tcW w:type="dxa" w:w="3175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14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Meta (mínimo)</w:t>
            </w:r>
          </w:p>
        </w:tc>
        <w:tc>
          <w:tcPr>
            <w:tcW w:type="dxa" w:w="2665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Resultado</w:t>
            </w:r>
          </w:p>
        </w:tc>
        <w:tc>
          <w:tcPr>
            <w:tcW w:type="dxa" w:w="1701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Precisión en periodo, consumo y valor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≥ 98 % (95 %)</w:t>
            </w:r>
          </w:p>
        </w:tc>
        <w:tc>
          <w:tcPr>
            <w:tcW w:type="dxa" w:w="2665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100 % (50/50 en mes control)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Cumplida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Facturas sin revisión humana</w:t>
            </w:r>
          </w:p>
        </w:tc>
        <w:tc>
          <w:tcPr>
            <w:tcW w:type="dxa" w:w="1814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≥ 80 % (60 %)</w:t>
            </w:r>
          </w:p>
        </w:tc>
        <w:tc>
          <w:tcPr>
            <w:tcW w:type="dxa" w:w="2665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89,9 % (693 de 771)</w:t>
            </w:r>
          </w:p>
        </w:tc>
        <w:tc>
          <w:tcPr>
            <w:tcW w:type="dxa" w:w="1701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Cumplida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Tiempo del lote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≤ 2 h al mes</w:t>
            </w:r>
          </w:p>
        </w:tc>
        <w:tc>
          <w:tcPr>
            <w:tcW w:type="dxa" w:w="2665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2 min 36 s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Cumplida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Validación de atípicos &gt; 20 %</w:t>
            </w:r>
          </w:p>
        </w:tc>
        <w:tc>
          <w:tcPr>
            <w:tcW w:type="dxa" w:w="1814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Funcional</w:t>
            </w:r>
          </w:p>
        </w:tc>
        <w:tc>
          <w:tcPr>
            <w:tcW w:type="dxa" w:w="2665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Operativa con severidad</w:t>
            </w:r>
          </w:p>
        </w:tc>
        <w:tc>
          <w:tcPr>
            <w:tcW w:type="dxa" w:w="1701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Cumplida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Detección de atípicos</w:t>
            </w:r>
          </w:p>
        </w:tc>
        <w:tc>
          <w:tcPr>
            <w:tcW w:type="dxa" w:w="181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&lt; 1 día</w:t>
            </w:r>
          </w:p>
        </w:tc>
        <w:tc>
          <w:tcPr>
            <w:tcW w:type="dxa" w:w="2665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En cada corrida del pipeline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Por medir en operación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Cobertura por prestador</w:t>
            </w:r>
          </w:p>
        </w:tc>
        <w:tc>
          <w:tcPr>
            <w:tcW w:type="dxa" w:w="1814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≥ 1 factura real</w:t>
            </w:r>
          </w:p>
        </w:tc>
        <w:tc>
          <w:tcPr>
            <w:tcW w:type="dxa" w:w="2665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7 prestadores con datos en la base</w:t>
            </w:r>
          </w:p>
        </w:tc>
        <w:tc>
          <w:tcPr>
            <w:tcW w:type="dxa" w:w="1701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Cumplida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Montserrat" w:hAnsi="Montserrat" w:eastAsia="Montserrat"/>
          <w:b w:val="0"/>
          <w:i w:val="0"/>
          <w:color w:val="2F2F2F"/>
          <w:sz w:val="19"/>
        </w:rPr>
        <w:t>Volumen económico procesado: $1.253 millones en energía y $162 millones en acueducto, para un total de $1.415 millones facturados entre enero de 2025 y septiembre de 2026.</w:t>
      </w:r>
    </w:p>
    <w:p>
      <w:pPr>
        <w:pStyle w:val="Ttulo2"/>
        <w:keepNext/>
        <w:spacing w:before="200" w:after="60"/>
      </w:pPr>
      <w:r>
        <w:rPr>
          <w:rFonts w:ascii="Montserrat" w:hAnsi="Montserrat" w:eastAsia="Montserrat"/>
          <w:b/>
          <w:i w:val="0"/>
          <w:color w:val="22B2DE"/>
          <w:sz w:val="22"/>
        </w:rPr>
        <w:t>Distribución de la validación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1984"/>
        <w:gridCol w:w="2551"/>
      </w:tblGrid>
      <w:tr>
        <w:trPr>
          <w:tblHeader w:val="true"/>
        </w:trPr>
        <w:tc>
          <w:tcPr>
            <w:tcW w:type="dxa" w:w="4819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984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Registros</w:t>
            </w:r>
          </w:p>
        </w:tc>
        <w:tc>
          <w:tcPr>
            <w:tcW w:type="dxa" w:w="2551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Participación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OK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693</w:t>
            </w:r>
          </w:p>
        </w:tc>
        <w:tc>
          <w:tcPr>
            <w:tcW w:type="dxa" w:w="255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89,9 %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Atípico por revisar</w:t>
            </w:r>
          </w:p>
        </w:tc>
        <w:tc>
          <w:tcPr>
            <w:tcW w:type="dxa" w:w="1984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70</w:t>
            </w:r>
          </w:p>
        </w:tc>
        <w:tc>
          <w:tcPr>
            <w:tcW w:type="dxa" w:w="2551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9,1 %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Baja confianza (Air-e sin consumo legible)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8</w:t>
            </w:r>
          </w:p>
        </w:tc>
        <w:tc>
          <w:tcPr>
            <w:tcW w:type="dxa" w:w="255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1,0 %</w:t>
            </w:r>
          </w:p>
        </w:tc>
      </w:tr>
    </w:tbl>
    <w:p>
      <w:pPr>
        <w:spacing w:before="0" w:after="80" w:line="276" w:lineRule="auto"/>
      </w:pPr>
    </w:p>
    <w:p>
      <w:pPr>
        <w:pStyle w:val="Ttulo1"/>
        <w:keepNext/>
        <w:spacing w:before="320" w:after="120"/>
        <w:pBdr>
          <w:bottom w:val="single" w:sz="12" w:space="2" w:color="22B2DE"/>
        </w:pBdr>
      </w:pPr>
      <w:r>
        <w:rPr>
          <w:rFonts w:ascii="Montserrat" w:hAnsi="Montserrat" w:eastAsia="Montserrat"/>
          <w:b/>
          <w:i w:val="0"/>
          <w:color w:val="263A58"/>
          <w:sz w:val="26"/>
        </w:rPr>
        <w:t>7. RIESGOS Y PUNTOS DE ATENCIÓN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F0F0F0"/>
            <w:tcMar>
              <w:top w:w="120" w:type="dxa"/>
              <w:left w:w="140" w:type="dxa"/>
              <w:bottom w:w="120" w:type="dxa"/>
              <w:right w:w="100" w:type="dxa"/>
            </w:tcMar>
            <w:tcBorders>
              <w:top w:val="nil"/>
              <w:left w:val="single" w:sz="36" w:color="22B2DE"/>
              <w:bottom w:val="nil"/>
              <w:right w:val="single" w:sz="36" w:color="FFFFFF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Formatos que cambian</w:t>
            </w:r>
          </w:p>
          <w:p>
            <w:pPr>
              <w:spacing w:before="60"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Un prestador puede modificar el diseño de su factura sin avisar y romper la extracción. Mitigación: pruebas por formato y cola de baja confianza.</w:t>
            </w:r>
          </w:p>
        </w:tc>
        <w:tc>
          <w:tcPr>
            <w:tcW w:type="dxa" w:w="3118"/>
            <w:shd w:val="clear" w:color="auto" w:fill="F0F0F0"/>
            <w:tcMar>
              <w:top w:w="120" w:type="dxa"/>
              <w:left w:w="140" w:type="dxa"/>
              <w:bottom w:w="120" w:type="dxa"/>
              <w:right w:w="100" w:type="dxa"/>
            </w:tcMar>
            <w:tcBorders>
              <w:top w:val="nil"/>
              <w:left w:val="single" w:sz="36" w:color="22B2DE"/>
              <w:bottom w:val="nil"/>
              <w:right w:val="single" w:sz="36" w:color="FFFFFF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Datos sin validar</w:t>
            </w:r>
          </w:p>
          <w:p>
            <w:pPr>
              <w:spacing w:before="60"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Un dato erróneo que llegue a GreenMetric o a la huella de carbono tiene impacto alto. Mitigación: solo lo OFICIAL se exporta.</w:t>
            </w:r>
          </w:p>
        </w:tc>
        <w:tc>
          <w:tcPr>
            <w:tcW w:type="dxa" w:w="3118"/>
            <w:shd w:val="clear" w:color="auto" w:fill="F0F0F0"/>
            <w:tcMar>
              <w:top w:w="120" w:type="dxa"/>
              <w:left w:w="140" w:type="dxa"/>
              <w:bottom w:w="120" w:type="dxa"/>
              <w:right w:w="100" w:type="dxa"/>
            </w:tcMar>
            <w:tcBorders>
              <w:top w:val="nil"/>
              <w:left w:val="single" w:sz="36" w:color="22B2DE"/>
              <w:bottom w:val="nil"/>
              <w:right w:val="single" w:sz="36" w:color="FFFFFF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9"/>
              </w:rPr>
              <w:t>Series cortas</w:t>
            </w:r>
          </w:p>
          <w:p>
            <w:pPr>
              <w:spacing w:before="60"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Ninguna serie tiene 12 meses completos, así que la regla anual casi no se ejerce y hay más atípicos de los esperables.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Montserrat" w:hAnsi="Montserrat" w:eastAsia="Montserrat"/>
          <w:b w:val="0"/>
          <w:i w:val="0"/>
          <w:color w:val="2F2F2F"/>
          <w:sz w:val="19"/>
        </w:rPr>
        <w:t>Otros puntos: la dependencia de terceros para el envío de facturas sin fecha límite acordada, los valores contractuales en archivos locales (pendiente validación de TI) y una iniciativa sin sponsor, fechas ni presupuesto formalizados.</w:t>
      </w:r>
    </w:p>
    <w:p>
      <w:pPr>
        <w:pStyle w:val="Ttulo1"/>
        <w:keepNext/>
        <w:spacing w:before="320" w:after="120"/>
        <w:pBdr>
          <w:bottom w:val="single" w:sz="12" w:space="2" w:color="22B2DE"/>
        </w:pBdr>
      </w:pPr>
      <w:r>
        <w:rPr>
          <w:rFonts w:ascii="Montserrat" w:hAnsi="Montserrat" w:eastAsia="Montserrat"/>
          <w:b/>
          <w:i w:val="0"/>
          <w:color w:val="263A58"/>
          <w:sz w:val="26"/>
        </w:rPr>
        <w:t>8. DECISIONES PENDIENTES Y PRÓXIMOS PASOS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2041"/>
        <w:gridCol w:w="3345"/>
      </w:tblGrid>
      <w:tr>
        <w:trPr>
          <w:tblHeader w:val="true"/>
        </w:trPr>
        <w:tc>
          <w:tcPr>
            <w:tcW w:type="dxa" w:w="3969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Decisión o acción</w:t>
            </w:r>
          </w:p>
        </w:tc>
        <w:tc>
          <w:tcPr>
            <w:tcW w:type="dxa" w:w="2041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345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Efecto si no se resuelve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Datos maestros por sede: m² y población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Infraestructura</w:t>
            </w:r>
          </w:p>
        </w:tc>
        <w:tc>
          <w:tcPr>
            <w:tcW w:type="dxa" w:w="3345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No se calculan kWh/m² ni m³/persona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SLA de alertas y escalamiento</w:t>
            </w:r>
          </w:p>
        </w:tc>
        <w:tc>
          <w:tcPr>
            <w:tcW w:type="dxa" w:w="2041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SGA</w:t>
            </w:r>
          </w:p>
        </w:tc>
        <w:tc>
          <w:tcPr>
            <w:tcW w:type="dxa" w:w="3345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Las alertas no tienen tiempo de respuesta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Validación de TI sobre restricción cloud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TI</w:t>
            </w:r>
          </w:p>
        </w:tc>
        <w:tc>
          <w:tcPr>
            <w:tcW w:type="dxa" w:w="3345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Riesgo sobre la publicación del tablero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Esquema de salida único (26 o 13–15 columnas)</w:t>
            </w:r>
          </w:p>
        </w:tc>
        <w:tc>
          <w:tcPr>
            <w:tcW w:type="dxa" w:w="2041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SGA y TI</w:t>
            </w:r>
          </w:p>
        </w:tc>
        <w:tc>
          <w:tcPr>
            <w:tcW w:type="dxa" w:w="3345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Deriva entre documentación y salida real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Aseo y alumbrado público en EPM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SGA</w:t>
            </w:r>
          </w:p>
        </w:tc>
        <w:tc>
          <w:tcPr>
            <w:tcW w:type="dxa" w:w="3345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Valor de EPM incluye $28.000 constantes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Confirmar la sede de cada dirección del catálogo</w:t>
            </w:r>
          </w:p>
        </w:tc>
        <w:tc>
          <w:tcPr>
            <w:tcW w:type="dxa" w:w="2041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Analista SGA</w:t>
            </w:r>
          </w:p>
        </w:tc>
        <w:tc>
          <w:tcPr>
            <w:tcW w:type="dxa" w:w="3345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63 de 64 direcciones mapeadas sin confirmación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Corrida con el Analista y ingesta por carpeta compartida</w:t>
            </w:r>
          </w:p>
        </w:tc>
        <w:tc>
          <w:tcPr>
            <w:tcW w:type="dxa" w:w="204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SGA y Gestión Adm.</w:t>
            </w:r>
          </w:p>
        </w:tc>
        <w:tc>
          <w:tcPr>
            <w:tcW w:type="dxa" w:w="3345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Sin evidencia de operación autónoma</w:t>
            </w:r>
          </w:p>
        </w:tc>
      </w:tr>
    </w:tbl>
    <w:p>
      <w:pPr>
        <w:spacing w:before="0" w:after="8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263A58"/>
            <w:tcMar>
              <w:top w:w="140" w:type="dxa"/>
              <w:left w:w="220" w:type="dxa"/>
              <w:bottom w:w="140" w:type="dxa"/>
              <w:right w:w="2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2B2DE"/>
                <w:sz w:val="16"/>
              </w:rPr>
              <w:t>SIGUIENTE HITO</w:t>
            </w:r>
          </w:p>
          <w:p>
            <w:pPr>
              <w:spacing w:before="60" w:after="0" w:line="276" w:lineRule="auto"/>
            </w:pPr>
            <w:r>
              <w:rPr>
                <w:rFonts w:ascii="Montserrat" w:hAnsi="Montserrat" w:eastAsia="Montserrat"/>
                <w:b w:val="0"/>
                <w:i w:val="0"/>
                <w:color w:val="FFFFFF"/>
                <w:sz w:val="20"/>
              </w:rPr>
              <w:t>Con los datos maestros y el SLA definidos, el prototipo puede pasar a piloto: KPIs ambientales per cápita, huella de carbono y exportación a GreenMetric y GEI.</w:t>
            </w:r>
          </w:p>
        </w:tc>
      </w:tr>
    </w:tbl>
    <w:p>
      <w:pPr>
        <w:spacing w:before="0" w:after="80" w:line="276" w:lineRule="auto"/>
      </w:pPr>
    </w:p>
    <w:p>
      <w:pPr>
        <w:pStyle w:val="Ttulo1"/>
        <w:keepNext/>
        <w:spacing w:before="320" w:after="120"/>
        <w:pBdr>
          <w:bottom w:val="single" w:sz="12" w:space="2" w:color="22B2DE"/>
        </w:pBdr>
      </w:pPr>
      <w:r>
        <w:rPr>
          <w:rFonts w:ascii="Montserrat" w:hAnsi="Montserrat" w:eastAsia="Montserrat"/>
          <w:b/>
          <w:i w:val="0"/>
          <w:color w:val="263A58"/>
          <w:sz w:val="26"/>
        </w:rPr>
        <w:t>9. 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7371"/>
      </w:tblGrid>
      <w:tr>
        <w:trPr>
          <w:tblHeader w:val="true"/>
        </w:trPr>
        <w:tc>
          <w:tcPr>
            <w:tcW w:type="dxa" w:w="1984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7370"/>
            <w:shd w:val="clear" w:color="auto" w:fill="263A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Fuentes</w:t>
            </w:r>
          </w:p>
        </w:tc>
        <w:tc>
          <w:tcPr>
            <w:tcW w:type="dxa" w:w="737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Plan de Primera Revisión, Propuesta (2026-09-01), Ficha de Iniciativa (2026-07-23), salidas del pipeline del 12-oct-2026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Código</w:t>
            </w:r>
          </w:p>
        </w:tc>
        <w:tc>
          <w:tcPr>
            <w:tcW w:type="dxa" w:w="7370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Repositorio Monitor de consumos, rama main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/>
                <w:i w:val="0"/>
                <w:color w:val="263A58"/>
                <w:sz w:val="17"/>
              </w:rPr>
              <w:t>Nota de método</w:t>
            </w:r>
          </w:p>
        </w:tc>
        <w:tc>
          <w:tcPr>
            <w:tcW w:type="dxa" w:w="737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il"/>
              <w:left w:val="nil"/>
              <w:bottom w:val="single" w:sz="4" w:color="D0D5DB"/>
              <w:right w:val="nil"/>
            </w:tcBorders>
          </w:tcPr>
          <w:p>
            <w:pPr>
              <w:spacing w:after="0" w:line="264" w:lineRule="auto"/>
            </w:pPr>
            <w:r>
              <w:rPr>
                <w:rFonts w:ascii="Montserrat" w:hAnsi="Montserrat" w:eastAsia="Montserrat"/>
                <w:b w:val="0"/>
                <w:i w:val="0"/>
                <w:color w:val="2F2F2F"/>
                <w:sz w:val="17"/>
              </w:rPr>
              <w:t>Cifras tomadas de validacion_20261012_203208.xlsx, alertas_20261012_203211.xlsx y la suite de pruebas ejecutada el 12-oct-2026</w:t>
            </w:r>
          </w:p>
        </w:tc>
      </w:tr>
    </w:tbl>
    <w:p>
      <w:pPr>
        <w:spacing w:before="0" w:after="80" w:line="276" w:lineRule="auto"/>
      </w:pPr>
    </w:p>
    <w:sectPr w:rsidR="00FD544B" w:rsidSect="00344511">
      <w:headerReference w:type="default" r:id="rId10"/>
      <w:footerReference w:type="default" r:id="rId11"/>
      <w:pgSz w:w="12240" w:h="15840"/>
      <w:pgMar w:top="1080" w:right="1440" w:bottom="1702" w:left="1440" w:header="426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59A04" w14:textId="77777777" w:rsidR="006B7EB6" w:rsidRDefault="006B7EB6">
      <w:r>
        <w:separator/>
      </w:r>
    </w:p>
  </w:endnote>
  <w:endnote w:type="continuationSeparator" w:id="0">
    <w:p w14:paraId="564E6EFE" w14:textId="77777777" w:rsidR="006B7EB6" w:rsidRDefault="006B7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ヒラギノ角ゴ Pro W3">
    <w:charset w:val="00"/>
    <w:family w:val="roman"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461D" w14:textId="77777777" w:rsidR="005D3666" w:rsidRDefault="005D3666" w:rsidP="005D3666">
    <w:pPr>
      <w:pStyle w:val="Piedepgina"/>
    </w:pPr>
    <w:r w:rsidRPr="00C1165F">
      <w:rPr>
        <w:rFonts w:ascii="Gill Sans MT" w:hAnsi="Gill Sans MT"/>
      </w:rPr>
      <w:t>“Este documento es propiedad intelectual del POLIT</w:t>
    </w:r>
    <w:r>
      <w:rPr>
        <w:rFonts w:ascii="Gill Sans MT" w:hAnsi="Gill Sans MT"/>
      </w:rPr>
      <w:t>É</w:t>
    </w:r>
    <w:r w:rsidRPr="00C1165F">
      <w:rPr>
        <w:rFonts w:ascii="Gill Sans MT" w:hAnsi="Gill Sans MT"/>
      </w:rPr>
      <w:t>CNICO GRANCOLOMBIANO, se prohíbe su reproducción total o parcial sin la autorización escrita de la Rectoría. TODO DOCUMENTO IMPRESO ES CONSIDERADO COMO UNA COPIA NO CONTROLADA</w:t>
    </w:r>
    <w:r>
      <w:rPr>
        <w:rFonts w:ascii="Gill Sans MT" w:hAnsi="Gill Sans MT"/>
      </w:rPr>
      <w:t>”</w:t>
    </w:r>
  </w:p>
  <w:p w14:paraId="2A9B59F6" w14:textId="19D0745B" w:rsidR="002D6799" w:rsidRPr="005D3666" w:rsidRDefault="005D3666" w:rsidP="005D3666">
    <w:pPr>
      <w:pStyle w:val="Piedepgina"/>
      <w:jc w:val="right"/>
      <w:rPr>
        <w:rFonts w:ascii="Gill Sans MT" w:hAnsi="Gill Sans MT"/>
        <w:sz w:val="16"/>
        <w:szCs w:val="16"/>
      </w:rPr>
    </w:pPr>
    <w:r w:rsidRPr="00F35B6B">
      <w:rPr>
        <w:rFonts w:ascii="Gill Sans MT" w:hAnsi="Gill Sans MT"/>
        <w:sz w:val="16"/>
        <w:szCs w:val="16"/>
        <w:lang w:val="es-ES"/>
      </w:rPr>
      <w:t xml:space="preserve">Página </w:t>
    </w:r>
    <w:r w:rsidRPr="00F35B6B">
      <w:rPr>
        <w:rFonts w:ascii="Gill Sans MT" w:hAnsi="Gill Sans MT"/>
        <w:bCs/>
        <w:sz w:val="16"/>
        <w:szCs w:val="16"/>
      </w:rPr>
      <w:fldChar w:fldCharType="begin"/>
    </w:r>
    <w:r w:rsidRPr="00F35B6B">
      <w:rPr>
        <w:rFonts w:ascii="Gill Sans MT" w:hAnsi="Gill Sans MT"/>
        <w:bCs/>
        <w:sz w:val="16"/>
        <w:szCs w:val="16"/>
      </w:rPr>
      <w:instrText>PAGE</w:instrText>
    </w:r>
    <w:r w:rsidRPr="00F35B6B">
      <w:rPr>
        <w:rFonts w:ascii="Gill Sans MT" w:hAnsi="Gill Sans MT"/>
        <w:bCs/>
        <w:sz w:val="16"/>
        <w:szCs w:val="16"/>
      </w:rPr>
      <w:fldChar w:fldCharType="separate"/>
    </w:r>
    <w:r>
      <w:rPr>
        <w:rFonts w:ascii="Gill Sans MT" w:hAnsi="Gill Sans MT"/>
        <w:bCs/>
        <w:sz w:val="16"/>
        <w:szCs w:val="16"/>
      </w:rPr>
      <w:t>1</w:t>
    </w:r>
    <w:r w:rsidRPr="00F35B6B">
      <w:rPr>
        <w:rFonts w:ascii="Gill Sans MT" w:hAnsi="Gill Sans MT"/>
        <w:bCs/>
        <w:sz w:val="16"/>
        <w:szCs w:val="16"/>
      </w:rPr>
      <w:fldChar w:fldCharType="end"/>
    </w:r>
    <w:r w:rsidRPr="00F35B6B">
      <w:rPr>
        <w:rFonts w:ascii="Gill Sans MT" w:hAnsi="Gill Sans MT"/>
        <w:sz w:val="16"/>
        <w:szCs w:val="16"/>
        <w:lang w:val="es-ES"/>
      </w:rPr>
      <w:t xml:space="preserve"> de </w:t>
    </w:r>
    <w:r w:rsidRPr="00F35B6B">
      <w:rPr>
        <w:rFonts w:ascii="Gill Sans MT" w:hAnsi="Gill Sans MT"/>
        <w:bCs/>
        <w:sz w:val="16"/>
        <w:szCs w:val="16"/>
      </w:rPr>
      <w:fldChar w:fldCharType="begin"/>
    </w:r>
    <w:r w:rsidRPr="00F35B6B">
      <w:rPr>
        <w:rFonts w:ascii="Gill Sans MT" w:hAnsi="Gill Sans MT"/>
        <w:bCs/>
        <w:sz w:val="16"/>
        <w:szCs w:val="16"/>
      </w:rPr>
      <w:instrText>NUMPAGES</w:instrText>
    </w:r>
    <w:r w:rsidRPr="00F35B6B">
      <w:rPr>
        <w:rFonts w:ascii="Gill Sans MT" w:hAnsi="Gill Sans MT"/>
        <w:bCs/>
        <w:sz w:val="16"/>
        <w:szCs w:val="16"/>
      </w:rPr>
      <w:fldChar w:fldCharType="separate"/>
    </w:r>
    <w:r>
      <w:rPr>
        <w:rFonts w:ascii="Gill Sans MT" w:hAnsi="Gill Sans MT"/>
        <w:bCs/>
        <w:sz w:val="16"/>
        <w:szCs w:val="16"/>
      </w:rPr>
      <w:t>13</w:t>
    </w:r>
    <w:r w:rsidRPr="00F35B6B">
      <w:rPr>
        <w:rFonts w:ascii="Gill Sans MT" w:hAnsi="Gill Sans MT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1F006" w14:textId="77777777" w:rsidR="006B7EB6" w:rsidRDefault="006B7EB6">
      <w:r>
        <w:separator/>
      </w:r>
    </w:p>
  </w:footnote>
  <w:footnote w:type="continuationSeparator" w:id="0">
    <w:p w14:paraId="748A5B05" w14:textId="77777777" w:rsidR="006B7EB6" w:rsidRDefault="006B7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E9624" w14:textId="77C2BD24" w:rsidR="00E90A1A" w:rsidRDefault="00E90A1A" w:rsidP="00E90A1A">
    <w:pPr>
      <w:jc w:val="center"/>
    </w:pPr>
    <w:r>
      <w:rPr>
        <w:noProof/>
      </w:rPr>
      <w:drawing>
        <wp:inline distT="0" distB="0" distL="0" distR="0" wp14:anchorId="04DEF4A9" wp14:editId="785C9E21">
          <wp:extent cx="1302385" cy="748665"/>
          <wp:effectExtent l="0" t="0" r="0" b="0"/>
          <wp:docPr id="1712784699" name="Imagen 17127846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2385" cy="748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10065" w:type="dxa"/>
      <w:jc w:val="center"/>
      <w:tblLayout w:type="fixed"/>
      <w:tblLook w:val="04A0" w:firstRow="1" w:lastRow="0" w:firstColumn="1" w:lastColumn="0" w:noHBand="0" w:noVBand="1"/>
    </w:tblPr>
    <w:tblGrid>
      <w:gridCol w:w="1843"/>
      <w:gridCol w:w="6095"/>
      <w:gridCol w:w="2127"/>
    </w:tblGrid>
    <w:tr w:rsidR="002056AC" w14:paraId="0B2BA30D" w14:textId="77777777" w:rsidTr="00E90A1A">
      <w:trPr>
        <w:cantSplit/>
        <w:trHeight w:val="504"/>
        <w:jc w:val="center"/>
      </w:trPr>
      <w:tc>
        <w:tcPr>
          <w:tcW w:w="184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BD6138" w14:textId="77777777" w:rsidR="002056AC" w:rsidRPr="008F03BA" w:rsidRDefault="002056AC" w:rsidP="008F03BA">
          <w:pPr>
            <w:pStyle w:val="Ttulo1"/>
            <w:keepNext/>
            <w:jc w:val="center"/>
            <w:rPr>
              <w:rFonts w:ascii="Gill Sans MT" w:eastAsia="Times New Roman" w:hAnsi="Gill Sans MT"/>
              <w:bCs w:val="0"/>
              <w:color w:val="auto"/>
              <w:sz w:val="20"/>
              <w:szCs w:val="18"/>
              <w:lang w:val="es-ES_tradnl" w:eastAsia="en-US"/>
            </w:rPr>
          </w:pPr>
          <w:r w:rsidRPr="008F03BA">
            <w:rPr>
              <w:rFonts w:ascii="Gill Sans MT" w:eastAsia="Times New Roman" w:hAnsi="Gill Sans MT"/>
              <w:bCs w:val="0"/>
              <w:color w:val="auto"/>
              <w:sz w:val="20"/>
              <w:szCs w:val="18"/>
              <w:lang w:val="es-ES_tradnl" w:eastAsia="en-US"/>
            </w:rPr>
            <w:t>PROCESO:</w:t>
          </w:r>
        </w:p>
        <w:p w14:paraId="05449545" w14:textId="71CC9EC3" w:rsidR="002056AC" w:rsidRPr="00710C21" w:rsidRDefault="005D0BBE" w:rsidP="005D0BBE">
          <w:pPr>
            <w:pStyle w:val="Ttulo1"/>
            <w:keepNext/>
            <w:jc w:val="center"/>
            <w:rPr>
              <w:rFonts w:ascii="Gill Sans MT" w:hAnsi="Gill Sans MT"/>
              <w:b w:val="0"/>
              <w:szCs w:val="18"/>
              <w:lang w:eastAsia="en-US"/>
            </w:rPr>
          </w:pPr>
          <w:proofErr w:type="spellStart"/>
          <w:r>
            <w:rPr>
              <w:rFonts w:ascii="Gill Sans MT" w:eastAsia="Times New Roman" w:hAnsi="Gill Sans MT"/>
              <w:b w:val="0"/>
              <w:color w:val="auto"/>
              <w:sz w:val="20"/>
              <w:szCs w:val="18"/>
              <w:lang w:val="es-ES_tradnl" w:eastAsia="en-US"/>
            </w:rPr>
            <w:t>xxxxxxx</w:t>
          </w:r>
          <w:proofErr w:type="spellEnd"/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1F1A62" w14:textId="598D8ABD" w:rsidR="002056AC" w:rsidRPr="00710C21" w:rsidRDefault="005D0BBE" w:rsidP="00D601B1">
          <w:pPr>
            <w:pStyle w:val="Ttulo1"/>
            <w:keepNext/>
            <w:ind w:left="432" w:hanging="432"/>
            <w:jc w:val="center"/>
            <w:rPr>
              <w:szCs w:val="18"/>
              <w:lang w:eastAsia="en-US"/>
            </w:rPr>
          </w:pPr>
          <w:r>
            <w:rPr>
              <w:rFonts w:ascii="Gill Sans MT" w:eastAsia="Times New Roman" w:hAnsi="Gill Sans MT"/>
              <w:bCs w:val="0"/>
              <w:color w:val="auto"/>
              <w:sz w:val="20"/>
              <w:szCs w:val="18"/>
              <w:lang w:val="es-ES_tradnl" w:eastAsia="en-US"/>
            </w:rPr>
            <w:t>TIPO DE DOCUMENTO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4402C8" w14:textId="2BB8C37A" w:rsidR="002056AC" w:rsidRPr="00710C21" w:rsidRDefault="002056AC" w:rsidP="00F404ED">
          <w:pPr>
            <w:pStyle w:val="Ttulo1"/>
            <w:keepNext/>
            <w:ind w:left="432" w:hanging="432"/>
            <w:rPr>
              <w:b w:val="0"/>
              <w:szCs w:val="18"/>
              <w:lang w:eastAsia="en-US"/>
            </w:rPr>
          </w:pPr>
          <w:r w:rsidRPr="00F404ED">
            <w:rPr>
              <w:rFonts w:ascii="Gill Sans MT" w:eastAsia="Times New Roman" w:hAnsi="Gill Sans MT"/>
              <w:bCs w:val="0"/>
              <w:color w:val="auto"/>
              <w:sz w:val="20"/>
              <w:szCs w:val="18"/>
              <w:lang w:val="es-ES_tradnl" w:eastAsia="en-US"/>
            </w:rPr>
            <w:t xml:space="preserve">Código: </w:t>
          </w:r>
          <w:proofErr w:type="spellStart"/>
          <w:r w:rsidR="005D0BBE">
            <w:rPr>
              <w:rFonts w:ascii="Gill Sans MT" w:eastAsia="Times New Roman" w:hAnsi="Gill Sans MT"/>
              <w:b w:val="0"/>
              <w:color w:val="auto"/>
              <w:sz w:val="20"/>
              <w:szCs w:val="18"/>
              <w:lang w:val="es-ES_tradnl" w:eastAsia="en-US"/>
            </w:rPr>
            <w:t>xxxx</w:t>
          </w:r>
          <w:proofErr w:type="spellEnd"/>
        </w:p>
      </w:tc>
    </w:tr>
    <w:tr w:rsidR="002056AC" w14:paraId="46E65573" w14:textId="77777777" w:rsidTr="00E90A1A">
      <w:trPr>
        <w:cantSplit/>
        <w:trHeight w:val="539"/>
        <w:jc w:val="center"/>
      </w:trPr>
      <w:tc>
        <w:tcPr>
          <w:tcW w:w="184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1AEEE2" w14:textId="77777777" w:rsidR="002056AC" w:rsidRPr="00710C21" w:rsidRDefault="002056AC" w:rsidP="002056AC">
          <w:pPr>
            <w:rPr>
              <w:rFonts w:ascii="Gill Sans MT" w:hAnsi="Gill Sans MT"/>
              <w:szCs w:val="18"/>
              <w:lang w:eastAsia="en-US"/>
            </w:rPr>
          </w:pP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4B20AE" w14:textId="30FCCE9F" w:rsidR="002056AC" w:rsidRPr="00A131B5" w:rsidRDefault="005D0BBE" w:rsidP="002056AC">
          <w:pPr>
            <w:jc w:val="center"/>
            <w:rPr>
              <w:rFonts w:ascii="Gill Sans MT" w:hAnsi="Gill Sans MT"/>
              <w:b/>
              <w:szCs w:val="18"/>
              <w:lang w:eastAsia="en-US"/>
            </w:rPr>
          </w:pPr>
          <w:r>
            <w:rPr>
              <w:rFonts w:ascii="Gill Sans MT" w:eastAsia="Times New Roman" w:hAnsi="Gill Sans MT"/>
              <w:b/>
              <w:szCs w:val="18"/>
              <w:lang w:val="es-ES_tradnl" w:eastAsia="en-US"/>
            </w:rPr>
            <w:t>NOMBRE DEL DOCUMENTO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317F1D" w14:textId="4B0F473E" w:rsidR="002056AC" w:rsidRPr="00710C21" w:rsidRDefault="002056AC" w:rsidP="002056AC">
          <w:pPr>
            <w:rPr>
              <w:rFonts w:ascii="Gill Sans MT" w:hAnsi="Gill Sans MT"/>
              <w:szCs w:val="18"/>
              <w:lang w:eastAsia="en-US"/>
            </w:rPr>
          </w:pPr>
          <w:r>
            <w:rPr>
              <w:rFonts w:ascii="Gill Sans MT" w:hAnsi="Gill Sans MT"/>
              <w:b/>
              <w:szCs w:val="18"/>
              <w:lang w:eastAsia="en-US"/>
            </w:rPr>
            <w:t>V</w:t>
          </w:r>
          <w:r w:rsidRPr="00710C21">
            <w:rPr>
              <w:rFonts w:ascii="Gill Sans MT" w:hAnsi="Gill Sans MT"/>
              <w:b/>
              <w:szCs w:val="18"/>
              <w:lang w:eastAsia="en-US"/>
            </w:rPr>
            <w:t>e</w:t>
          </w:r>
          <w:r>
            <w:rPr>
              <w:rFonts w:ascii="Gill Sans MT" w:hAnsi="Gill Sans MT"/>
              <w:b/>
              <w:szCs w:val="18"/>
              <w:lang w:eastAsia="en-US"/>
            </w:rPr>
            <w:t>rsión</w:t>
          </w:r>
          <w:r w:rsidRPr="00710C21">
            <w:rPr>
              <w:rFonts w:ascii="Gill Sans MT" w:hAnsi="Gill Sans MT"/>
              <w:szCs w:val="18"/>
              <w:lang w:eastAsia="en-US"/>
            </w:rPr>
            <w:t xml:space="preserve">: </w:t>
          </w:r>
          <w:r w:rsidR="005D0BBE">
            <w:rPr>
              <w:rFonts w:ascii="Gill Sans MT" w:hAnsi="Gill Sans MT"/>
              <w:szCs w:val="18"/>
              <w:lang w:eastAsia="en-US"/>
            </w:rPr>
            <w:t>x</w:t>
          </w:r>
        </w:p>
      </w:tc>
    </w:tr>
  </w:tbl>
  <w:p w14:paraId="2A9B59F5" w14:textId="160320CA" w:rsidR="002D6799" w:rsidRPr="002056AC" w:rsidRDefault="002D6799" w:rsidP="002056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C3C80"/>
    <w:multiLevelType w:val="hybridMultilevel"/>
    <w:tmpl w:val="ADD691CC"/>
    <w:lvl w:ilvl="0" w:tplc="E780D40C">
      <w:start w:val="1"/>
      <w:numFmt w:val="bullet"/>
      <w:lvlText w:val="●"/>
      <w:lvlJc w:val="left"/>
      <w:pPr>
        <w:ind w:left="720" w:hanging="360"/>
      </w:pPr>
    </w:lvl>
    <w:lvl w:ilvl="1" w:tplc="6A080D7A">
      <w:start w:val="1"/>
      <w:numFmt w:val="bullet"/>
      <w:lvlText w:val="○"/>
      <w:lvlJc w:val="left"/>
      <w:pPr>
        <w:ind w:left="1440" w:hanging="360"/>
      </w:pPr>
    </w:lvl>
    <w:lvl w:ilvl="2" w:tplc="86366520">
      <w:start w:val="1"/>
      <w:numFmt w:val="bullet"/>
      <w:lvlText w:val="■"/>
      <w:lvlJc w:val="left"/>
      <w:pPr>
        <w:ind w:left="2160" w:hanging="360"/>
      </w:pPr>
    </w:lvl>
    <w:lvl w:ilvl="3" w:tplc="18ACDFFA">
      <w:start w:val="1"/>
      <w:numFmt w:val="bullet"/>
      <w:lvlText w:val="●"/>
      <w:lvlJc w:val="left"/>
      <w:pPr>
        <w:ind w:left="2880" w:hanging="360"/>
      </w:pPr>
    </w:lvl>
    <w:lvl w:ilvl="4" w:tplc="2C7E4DFE">
      <w:start w:val="1"/>
      <w:numFmt w:val="bullet"/>
      <w:lvlText w:val="○"/>
      <w:lvlJc w:val="left"/>
      <w:pPr>
        <w:ind w:left="3600" w:hanging="360"/>
      </w:pPr>
    </w:lvl>
    <w:lvl w:ilvl="5" w:tplc="6A5E0538">
      <w:start w:val="1"/>
      <w:numFmt w:val="bullet"/>
      <w:lvlText w:val="■"/>
      <w:lvlJc w:val="left"/>
      <w:pPr>
        <w:ind w:left="4320" w:hanging="360"/>
      </w:pPr>
    </w:lvl>
    <w:lvl w:ilvl="6" w:tplc="99665F08">
      <w:start w:val="1"/>
      <w:numFmt w:val="bullet"/>
      <w:lvlText w:val="●"/>
      <w:lvlJc w:val="left"/>
      <w:pPr>
        <w:ind w:left="5040" w:hanging="360"/>
      </w:pPr>
    </w:lvl>
    <w:lvl w:ilvl="7" w:tplc="2578DA00">
      <w:start w:val="1"/>
      <w:numFmt w:val="bullet"/>
      <w:lvlText w:val="●"/>
      <w:lvlJc w:val="left"/>
      <w:pPr>
        <w:ind w:left="5760" w:hanging="360"/>
      </w:pPr>
    </w:lvl>
    <w:lvl w:ilvl="8" w:tplc="C218B3A6">
      <w:start w:val="1"/>
      <w:numFmt w:val="bullet"/>
      <w:lvlText w:val="●"/>
      <w:lvlJc w:val="left"/>
      <w:pPr>
        <w:ind w:left="6480" w:hanging="360"/>
      </w:pPr>
    </w:lvl>
  </w:abstractNum>
  <w:num w:numId="1" w16cid:durableId="1040975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799"/>
    <w:rsid w:val="00017476"/>
    <w:rsid w:val="00072925"/>
    <w:rsid w:val="000D51FB"/>
    <w:rsid w:val="000F2A55"/>
    <w:rsid w:val="00111389"/>
    <w:rsid w:val="001D3184"/>
    <w:rsid w:val="001F098F"/>
    <w:rsid w:val="002056AC"/>
    <w:rsid w:val="0022500D"/>
    <w:rsid w:val="002C44FE"/>
    <w:rsid w:val="002D6799"/>
    <w:rsid w:val="002E3752"/>
    <w:rsid w:val="0032379A"/>
    <w:rsid w:val="00344511"/>
    <w:rsid w:val="00447DDE"/>
    <w:rsid w:val="00465BF2"/>
    <w:rsid w:val="004C2C6A"/>
    <w:rsid w:val="005D0BBE"/>
    <w:rsid w:val="005D3666"/>
    <w:rsid w:val="005F3D7F"/>
    <w:rsid w:val="006412FF"/>
    <w:rsid w:val="006B7EB6"/>
    <w:rsid w:val="00712CEA"/>
    <w:rsid w:val="00730886"/>
    <w:rsid w:val="008C0FDF"/>
    <w:rsid w:val="008D6F34"/>
    <w:rsid w:val="008F03BA"/>
    <w:rsid w:val="00986BB6"/>
    <w:rsid w:val="00A82439"/>
    <w:rsid w:val="00AA64E7"/>
    <w:rsid w:val="00AE395D"/>
    <w:rsid w:val="00BB19D2"/>
    <w:rsid w:val="00BE013B"/>
    <w:rsid w:val="00C24721"/>
    <w:rsid w:val="00C37425"/>
    <w:rsid w:val="00D56CA9"/>
    <w:rsid w:val="00D601B1"/>
    <w:rsid w:val="00D81D2A"/>
    <w:rsid w:val="00DA2D4F"/>
    <w:rsid w:val="00E34606"/>
    <w:rsid w:val="00E90A1A"/>
    <w:rsid w:val="00F35704"/>
    <w:rsid w:val="00F404ED"/>
    <w:rsid w:val="00F6503A"/>
    <w:rsid w:val="00FB016C"/>
    <w:rsid w:val="00FD45AD"/>
    <w:rsid w:val="00FD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B5874"/>
  <w15:docId w15:val="{F8AFC2AB-A55E-4E5E-8AC2-FF33A2ED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2E5496"/>
      <w:sz w:val="22"/>
      <w:szCs w:val="22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44546A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056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56AC"/>
  </w:style>
  <w:style w:type="paragraph" w:styleId="Piedepgina">
    <w:name w:val="footer"/>
    <w:basedOn w:val="Normal"/>
    <w:link w:val="PiedepginaCar"/>
    <w:uiPriority w:val="99"/>
    <w:unhideWhenUsed/>
    <w:rsid w:val="002056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56AC"/>
  </w:style>
  <w:style w:type="character" w:customStyle="1" w:styleId="Ttulo1Car">
    <w:name w:val="Título 1 Car"/>
    <w:basedOn w:val="Fuentedeprrafopredeter"/>
    <w:link w:val="Ttulo1"/>
    <w:uiPriority w:val="9"/>
    <w:rsid w:val="00D601B1"/>
    <w:rPr>
      <w:b/>
      <w:bCs/>
      <w:color w:val="1F3864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730886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730886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730886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paragraph" w:customStyle="1" w:styleId="FormatolibreA">
    <w:name w:val="Formato libre A"/>
    <w:rsid w:val="00E34606"/>
    <w:pPr>
      <w:spacing w:after="160" w:line="259" w:lineRule="auto"/>
    </w:pPr>
    <w:rPr>
      <w:rFonts w:ascii="Lucida Grande" w:eastAsia="ヒラギノ角ゴ Pro W3" w:hAnsi="Lucida Grande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957796A-5A24-4B51-B70C-4B81C51616C3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c340680-a38e-4931-914b-66b2d11018cf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4e1f33-0654-4877-a695-74ac1243131b" xsi:nil="true"/>
    <lcf76f155ced4ddcb4097134ff3c332f xmlns="787dcc16-ad9c-4aed-8595-d8b71494483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3553A73F55864994CAF6806DB2233B" ma:contentTypeVersion="16" ma:contentTypeDescription="Crear nuevo documento." ma:contentTypeScope="" ma:versionID="40e87b0a73e3942a50ead3ad93b989e8">
  <xsd:schema xmlns:xsd="http://www.w3.org/2001/XMLSchema" xmlns:xs="http://www.w3.org/2001/XMLSchema" xmlns:p="http://schemas.microsoft.com/office/2006/metadata/properties" xmlns:ns2="787dcc16-ad9c-4aed-8595-d8b714944830" xmlns:ns3="eb4e1f33-0654-4877-a695-74ac1243131b" targetNamespace="http://schemas.microsoft.com/office/2006/metadata/properties" ma:root="true" ma:fieldsID="46ab28b4f7e6d5f298055490f0d92ab6" ns2:_="" ns3:_="">
    <xsd:import namespace="787dcc16-ad9c-4aed-8595-d8b714944830"/>
    <xsd:import namespace="eb4e1f33-0654-4877-a695-74ac124313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dcc16-ad9c-4aed-8595-d8b714944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55b28e8-f6d8-41f4-8dfa-69b184ca5c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e1f33-0654-4877-a695-74ac1243131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a4390d4-2628-4064-8b8a-3c2a6eda6940}" ma:internalName="TaxCatchAll" ma:showField="CatchAllData" ma:web="eb4e1f33-0654-4877-a695-74ac124313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B21BE1-B438-44C6-A862-3525B94EE6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EB14B0-558B-455B-942D-4F4D86FC3B19}">
  <ds:schemaRefs>
    <ds:schemaRef ds:uri="http://schemas.microsoft.com/office/2006/metadata/properties"/>
    <ds:schemaRef ds:uri="http://schemas.microsoft.com/office/infopath/2007/PartnerControls"/>
    <ds:schemaRef ds:uri="eb4e1f33-0654-4877-a695-74ac1243131b"/>
    <ds:schemaRef ds:uri="787dcc16-ad9c-4aed-8595-d8b714944830"/>
  </ds:schemaRefs>
</ds:datastoreItem>
</file>

<file path=customXml/itemProps3.xml><?xml version="1.0" encoding="utf-8"?>
<ds:datastoreItem xmlns:ds="http://schemas.openxmlformats.org/officeDocument/2006/customXml" ds:itemID="{76E5283E-A568-4F1E-92D0-2DA0FB4CA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7dcc16-ad9c-4aed-8595-d8b714944830"/>
    <ds:schemaRef ds:uri="eb4e1f33-0654-4877-a695-74ac124313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GMPR1 Versión 9 — Identificación de aspectos y valoración de impactos ambientales</dc:title>
  <dc:creator>Politécnico Grancolombiano — Gestión Ambiental</dc:creator>
  <cp:lastModifiedBy>Licec Ximena Silva Goyeneche</cp:lastModifiedBy>
  <cp:revision>3</cp:revision>
  <dcterms:created xsi:type="dcterms:W3CDTF">2026-08-20T03:37:00Z</dcterms:created>
  <dcterms:modified xsi:type="dcterms:W3CDTF">2026-08-20T03:37:00Z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0x0101004B3553A73F55864994CAF6806DB2233B</vt:lpwstr>
  </property>
  <property fmtid="{D5CDD505-2E9C-101B-9397-08002B2CF9AE}" pid="3" name="MediaServiceImageTags">
    <vt:lpwstr/>
  </property>
</Properties>
</file>