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drawing>
          <wp:inline distT="0" distB="0" distL="0" distR="0">
            <wp:extent cx="1333500" cy="571500"/>
            <wp:effectExtent t="0" r="0" b="0" l="0"/>
            <wp:docPr id="1" name="logo" descr="Logo POLI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2400"/>
      </w:pPr>
      <w:r>
        <w:rPr>
          <w:rFonts w:ascii="Montserrat" w:cs="Montserrat" w:eastAsia="Montserrat" w:hAnsi="Montserrat"/>
          <w:b/>
          <w:bCs/>
          <w:color w:val="22B2DE"/>
          <w:sz w:val="24"/>
          <w:szCs w:val="24"/>
        </w:rPr>
        <w:t xml:space="preserve">INFORME EJECUTIVO</w:t>
      </w:r>
    </w:p>
    <w:p>
      <w:pPr>
        <w:spacing w:after="200"/>
      </w:pPr>
      <w:r>
        <w:rPr>
          <w:rFonts w:ascii="Montserrat" w:cs="Montserrat" w:eastAsia="Montserrat" w:hAnsi="Montserrat"/>
          <w:b/>
          <w:bCs/>
          <w:color w:val="263A58"/>
          <w:sz w:val="72"/>
          <w:szCs w:val="72"/>
        </w:rPr>
        <w:t xml:space="preserve">SGING</w:t>
      </w:r>
    </w:p>
    <w:p>
      <w:pPr>
        <w:spacing w:after="600"/>
      </w:pPr>
      <w:r>
        <w:rPr>
          <w:rFonts w:ascii="Montserrat" w:cs="Montserrat" w:eastAsia="Montserrat" w:hAnsi="Montserrat"/>
          <w:color w:val="263A58"/>
          <w:sz w:val="28"/>
          <w:szCs w:val="28"/>
        </w:rPr>
        <w:t xml:space="preserve">Sistema de Gestión de Indicadores Institucionales, CMI y Planeación Estratégica</w:t>
      </w:r>
    </w:p>
    <w:p>
      <w:pPr>
        <w:pBdr>
          <w:top w:val="single" w:color="22B2DE" w:sz="12" w:space="8"/>
        </w:pBdr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Etapas del proyecto · Módulos · Beneficios · Riesgos y próximos pasos</w:t>
      </w:r>
    </w:p>
    <w:p>
      <w:pPr>
        <w:spacing w:after="120" w:line="300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Gerencia de Planeación y Gestión Institucional — Politécnico Grancolombiano</w:t>
      </w:r>
    </w:p>
    <w:p>
      <w:pPr>
        <w:spacing w:after="120" w:line="300"/>
      </w:pPr>
      <w:r>
        <w:rPr>
          <w:rFonts w:ascii="Montserrat" w:cs="Montserrat" w:eastAsia="Montserrat" w:hAnsi="Montserrat"/>
          <w:color w:val="555555"/>
          <w:sz w:val="20"/>
          <w:szCs w:val="20"/>
        </w:rPr>
        <w:t xml:space="preserve">Octubre de 2026</w:t>
      </w:r>
    </w:p>
    <w:p>
      <w:r>
        <w:br w:type="page"/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1. Resumen ejecutivo</w:t>
      </w:r>
    </w:p>
    <w:p>
      <w:pPr>
        <w:spacing w:after="120" w:line="300"/>
      </w:pPr>
      <w:r>
        <w:rPr>
          <w:rFonts w:ascii="Montserrat" w:cs="Montserrat" w:eastAsia="Montserrat" w:hAnsi="Montserrat"/>
        </w:rPr>
        <w:t xml:space="preserve">SGING es la plataforma web con la que la institución consulta el desempeño de sus indicadores estratégicos: qué tan bien va cada uno frente a su meta, cómo evoluciona en el tiempo y qué acciones de mejora están abiertas cuando algo no cumple. Reemplaza el tablero legado en Streamlit por una arquitectura moderna (Next.js, FastAPI y PostgreSQL) con autenticación institucional y control de acceso por rol.</w:t>
      </w:r>
    </w:p>
    <w:p>
      <w:pPr>
        <w:spacing w:after="120" w:line="300"/>
      </w:pPr>
      <w:r>
        <w:rPr>
          <w:rFonts w:ascii="Montserrat" w:cs="Montserrat" w:eastAsia="Montserrat" w:hAnsi="Montserrat"/>
        </w:rPr>
        <w:t xml:space="preserve">De las 14 fases del plan de migración, 10 están completadas y 4 siguen en curso: diseño UX/UI, validación con usuarios (UAT), cierre de hallazgos del comparativo y puesta en producción. El frente más reciente es el soporte multi-PDI, que permite manejar el PDI 2022-2026 y el 2026-2030 sin mezclar datos entre ciclos.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22B2DE" w:sz="24"/>
              <w:left w:val="single" w:color="FFFFFF" w:sz="12"/>
              <w:bottom w:val="none" w:color="FFFFFF" w:sz="0"/>
              <w:right w:val="single" w:color="FFFFFF" w:sz="12"/>
            </w:tcBorders>
            <w:shd w:fill="EEF2F6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263A58"/>
                <w:sz w:val="36"/>
                <w:szCs w:val="36"/>
              </w:rPr>
              <w:t xml:space="preserve">10 de 14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555555"/>
                <w:sz w:val="16"/>
                <w:szCs w:val="16"/>
              </w:rPr>
              <w:t xml:space="preserve">fases completadas</w:t>
            </w:r>
          </w:p>
        </w:tc>
        <w:tc>
          <w:tcPr>
            <w:tcW w:type="dxa" w:w="2340"/>
            <w:tcBorders>
              <w:top w:val="single" w:color="22B2DE" w:sz="24"/>
              <w:left w:val="single" w:color="FFFFFF" w:sz="12"/>
              <w:bottom w:val="none" w:color="FFFFFF" w:sz="0"/>
              <w:right w:val="single" w:color="FFFFFF" w:sz="12"/>
            </w:tcBorders>
            <w:shd w:fill="EEF2F6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263A58"/>
                <w:sz w:val="36"/>
                <w:szCs w:val="36"/>
              </w:rPr>
              <w:t xml:space="preserve">9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555555"/>
                <w:sz w:val="16"/>
                <w:szCs w:val="16"/>
              </w:rPr>
              <w:t xml:space="preserve">pantallas con datos reales</w:t>
            </w:r>
          </w:p>
        </w:tc>
        <w:tc>
          <w:tcPr>
            <w:tcW w:type="dxa" w:w="2340"/>
            <w:tcBorders>
              <w:top w:val="single" w:color="22B2DE" w:sz="24"/>
              <w:left w:val="single" w:color="FFFFFF" w:sz="12"/>
              <w:bottom w:val="none" w:color="FFFFFF" w:sz="0"/>
              <w:right w:val="single" w:color="FFFFFF" w:sz="12"/>
            </w:tcBorders>
            <w:shd w:fill="EEF2F6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263A58"/>
                <w:sz w:val="36"/>
                <w:szCs w:val="36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555555"/>
                <w:sz w:val="16"/>
                <w:szCs w:val="16"/>
              </w:rPr>
              <w:t xml:space="preserve">roles con acceso diferenciado</w:t>
            </w:r>
          </w:p>
        </w:tc>
        <w:tc>
          <w:tcPr>
            <w:tcW w:type="dxa" w:w="2340"/>
            <w:tcBorders>
              <w:top w:val="single" w:color="22B2DE" w:sz="24"/>
              <w:left w:val="single" w:color="FFFFFF" w:sz="12"/>
              <w:bottom w:val="none" w:color="FFFFFF" w:sz="0"/>
              <w:right w:val="single" w:color="FFFFFF" w:sz="12"/>
            </w:tcBorders>
            <w:shd w:fill="EEF2F6" w:color="auto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Montserrat" w:cs="Montserrat" w:eastAsia="Montserrat" w:hAnsi="Montserrat"/>
                <w:b/>
                <w:bCs/>
                <w:color w:val="263A58"/>
                <w:sz w:val="36"/>
                <w:szCs w:val="36"/>
              </w:rPr>
              <w:t xml:space="preserve">2</w:t>
            </w:r>
          </w:p>
          <w:p>
            <w:pPr>
              <w:jc w:val="center"/>
            </w:pPr>
            <w:r>
              <w:rPr>
                <w:rFonts w:ascii="Montserrat" w:cs="Montserrat" w:eastAsia="Montserrat" w:hAnsi="Montserrat"/>
                <w:color w:val="555555"/>
                <w:sz w:val="16"/>
                <w:szCs w:val="16"/>
              </w:rPr>
              <w:t xml:space="preserve">ciclos PDI soportados</w:t>
            </w:r>
          </w:p>
        </w:tc>
      </w:tr>
    </w:tbl>
    <w:p>
      <w:pPr>
        <w:spacing w:after="120"/>
      </w:pPr>
    </w:p>
    <w:p>
      <w:pPr>
        <w:shd w:fill="263A58" w:color="auto" w:val="clear"/>
        <w:spacing w:after="120" w:before="120"/>
        <w:ind w:left="120" w:right="120"/>
      </w:pPr>
      <w:r>
        <w:rPr>
          <w:rFonts w:ascii="Montserrat" w:cs="Montserrat" w:eastAsia="Montserrat" w:hAnsi="Montserrat"/>
          <w:b/>
          <w:bCs/>
          <w:color w:val="22B2DE"/>
          <w:sz w:val="16"/>
          <w:szCs w:val="16"/>
        </w:rPr>
        <w:t xml:space="preserve">MENSAJE CLAVE  </w:t>
      </w:r>
      <w:r>
        <w:rPr>
          <w:rFonts w:ascii="Montserrat" w:cs="Montserrat" w:eastAsia="Montserrat" w:hAnsi="Montserrat"/>
          <w:color w:val="FFFFFF"/>
          <w:sz w:val="20"/>
          <w:szCs w:val="20"/>
        </w:rPr>
        <w:t xml:space="preserve">El sistema ya entrega valor en consulta y seguimiento. La decisión pendiente más importante es automatizar la carga mensual de datos, que hoy es manual y deja los indicadores congelados si nadie la ejecuta.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2. Objetivo y alcance</w:t>
      </w:r>
    </w:p>
    <w:p>
      <w:pPr>
        <w:spacing w:after="120" w:line="300"/>
      </w:pPr>
      <w:r>
        <w:rPr>
          <w:rFonts w:ascii="Montserrat" w:cs="Montserrat" w:eastAsia="Montserrat" w:hAnsi="Montserrat"/>
        </w:rPr>
        <w:t xml:space="preserve">Objetivo: centralizar el seguimiento de indicadores, el Cuadro de Mando Integral (CMI), el plan de mejoramiento y las oportunidades de mejora (OM) en un solo sistema confiable, trazable y disponible para directivos, analistas y equipos de proceso.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</w:rPr>
        <w:t xml:space="preserve">Consulta de indicadores con semáforo de cumplimiento, tendencia e histórico.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</w:rPr>
        <w:t xml:space="preserve">Vistas por línea estratégica, objetivo y proceso, con exportación a Excel.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</w:rPr>
        <w:t xml:space="preserve">Informe Ejecutivo en PDF con narrativa asistida por IA y auditoría previa a su publicación.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</w:rPr>
        <w:t xml:space="preserve">Gestión de Oportunidades de Mejora, único módulo donde se crea, edita y cierra información dentro del sistema.</w:t>
      </w:r>
    </w:p>
    <w:p>
      <w:pPr>
        <w:spacing w:after="120" w:before="120"/>
      </w:pPr>
      <w:r>
        <w:rPr>
          <w:rFonts w:ascii="Montserrat" w:cs="Montserrat" w:eastAsia="Montserrat" w:hAnsi="Montserrat"/>
        </w:rPr>
        <w:t xml:space="preserve">Fuera de alcance por ahora: la restricción por rol en Power BI y la actualización automática de los datos de origen.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3. Etapas del proyecto</w:t>
      </w:r>
    </w:p>
    <w:p>
      <w:pPr>
        <w:spacing w:after="120" w:line="300"/>
      </w:pPr>
      <w:r>
        <w:rPr>
          <w:rFonts w:ascii="Montserrat" w:cs="Montserrat" w:eastAsia="Montserrat" w:hAnsi="Montserrat"/>
        </w:rPr>
        <w:t xml:space="preserve">El proyecto se ejecutó en fases con entregables verificables. Streamlit sigue activo en producción hasta el corte final, de modo que no hubo interrupción del servicio.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1400"/>
        <w:gridCol w:w="5260"/>
      </w:tblGrid>
      <w:tr>
        <w:trPr>
          <w:tblHeader/>
        </w:trP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Nombre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Estado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Entregable principal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0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Levantamiento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8 documentos: funcional, técnico, procesos, componentes, fuentes de datos, prompts IA, pruebas y deuda técnica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Arquitectura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9 decisiones de arquitectura (ADR), matriz de roles, dominio portado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Modelo de datos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Esquema PostgreSQL, diagrama ER, diccionario de datos, mapeo de migración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Diseño UX/UI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En progreso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Tokens de diseño, estilos globales y componentes de estado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Backend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API FastAPI: filtros de plan, seguimiento e informe; CRUD de OM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Frontend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9 páginas conectadas a la API real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Pruebas E2E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Playwright, pruebas de contrato de API e integración continua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7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Autenticación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Azure AD (MSAL), JWT, guardia de rutas y control por rol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8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Migración de datos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Scripts de migración, validación y sincronización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9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Reportes PDF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Informe Ejecutivo en PDF desde la interfaz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10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Despliegue en staging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Completada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Imágenes en GHCR, compose de staging y pruebas de humo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11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UAT / validación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En progreso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Lista de 80+ criterios y registro de bugs; faltan sesiones con usuarios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11.5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Cierre de hallazgos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En progreso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Plan de 8 fases para cerrar brechas frente al sistema legado</w:t>
            </w:r>
          </w:p>
        </w:tc>
      </w:tr>
      <w:tr>
        <w:tc>
          <w:tcPr>
            <w:tcW w:type="dxa" w:w="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12</w:t>
            </w:r>
          </w:p>
        </w:tc>
        <w:tc>
          <w:tcPr>
            <w:tcW w:type="dxa" w:w="20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Puesta en producción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En progreso</w:t>
            </w:r>
          </w:p>
        </w:tc>
        <w:tc>
          <w:tcPr>
            <w:tcW w:type="dxa" w:w="52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Runbook y comunicación listos; falta ventana de mantenimiento</w:t>
            </w:r>
          </w:p>
        </w:tc>
      </w:tr>
    </w:tbl>
    <w:p>
      <w:pPr>
        <w:spacing w:after="120" w:before="80"/>
      </w:pPr>
      <w:r>
        <w:rPr>
          <w:rFonts w:ascii="Montserrat" w:cs="Montserrat" w:eastAsia="Montserrat" w:hAnsi="Montserrat"/>
          <w:color w:val="777777"/>
          <w:sz w:val="16"/>
          <w:szCs w:val="16"/>
        </w:rPr>
        <w:t xml:space="preserve">Fuente: docs/migration/STATUS.md. El ROADMAP.md muestra porcentajes desactualizados (fases 9 y 10 como pendientes); se usó STATUS.md.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4. Módulos incluidos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Qué ofrece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Resumen General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Distribución de indicadores por semáforo, tendencia general y resumen narrativo automático del periodo.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CMI Estratégico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Desempeño institucional por línea estratégica y objetivo.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CMI por Procesos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Lo mismo organizado por proceso, con exportación a Excel.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Informe por Procesos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Seis pestañas: resumen, indicadores, calidad, auditoría, propuestas y análisis IA.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Plan de Mejoramiento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Indicadores y métricas del plan reportado al CNA, con metas 2026-2030 e histórico.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Seguimiento Operativo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Alertas e indicadores en riesgo, con exportación a Excel.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Gestión de OM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Crear, editar y cerrar oportunidades de mejora frente a indicadores que no cumplen.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PDI / Acreditación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Indicadores del PDI y su relación con acreditación (terminado; falta decidir su visibilidad en el menú).</w:t>
            </w:r>
          </w:p>
        </w:tc>
      </w:tr>
      <w:tr>
        <w:tc>
          <w:tcPr>
            <w:tcW w:type="dxa" w:w="2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Diagnóstico</w:t>
            </w:r>
          </w:p>
        </w:tc>
        <w:tc>
          <w:tcPr>
            <w:tcW w:type="dxa" w:w="69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Panel técnico de autochequeo para soporte (conexión a datos y estado de módulos).</w:t>
            </w:r>
          </w:p>
        </w:tc>
      </w:tr>
    </w:tbl>
    <w:p>
      <w:pPr>
        <w:pStyle w:val="Heading2"/>
      </w:pPr>
      <w:r>
        <w:rPr>
          <w:rFonts w:ascii="Montserrat" w:cs="Montserrat" w:eastAsia="Montserrat" w:hAnsi="Montserrat"/>
        </w:rPr>
        <w:t xml:space="preserve">Cómo se interpreta el semáforo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500"/>
        <w:gridCol w:w="5360"/>
      </w:tblGrid>
      <w:tr>
        <w:trPr>
          <w:tblHeader/>
        </w:trP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Color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Categoría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Régimen general</w:t>
            </w:r>
          </w:p>
        </w:tc>
      </w:tr>
      <w:t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Rojo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Peligro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Menos del 80 % de la meta</w:t>
            </w:r>
          </w:p>
        </w:tc>
      </w:tr>
      <w:t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Naranja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Alerta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Del 80 % a menos de 100 %</w:t>
            </w:r>
          </w:p>
        </w:tc>
      </w:tr>
      <w:t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Verde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Cumplimiento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Del 100 % a menos de 105 %</w:t>
            </w:r>
          </w:p>
        </w:tc>
      </w:tr>
      <w:t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Azul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Sobrecumplimiento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105 % o más</w:t>
            </w:r>
          </w:p>
        </w:tc>
      </w:tr>
      <w:tr>
        <w:tc>
          <w:tcPr>
            <w:tcW w:type="dxa" w:w="1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Gris</w:t>
            </w:r>
          </w:p>
        </w:tc>
        <w:tc>
          <w:tcPr>
            <w:tcW w:type="dxa" w:w="25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Sin dato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Información insuficiente</w:t>
            </w:r>
          </w:p>
        </w:tc>
      </w:tr>
    </w:tbl>
    <w:p>
      <w:pPr>
        <w:spacing w:after="120" w:before="80"/>
      </w:pPr>
      <w:r>
        <w:rPr>
          <w:rFonts w:ascii="Montserrat" w:cs="Montserrat" w:eastAsia="Montserrat" w:hAnsi="Montserrat"/>
          <w:sz w:val="18"/>
          <w:szCs w:val="18"/>
        </w:rPr>
        <w:t xml:space="preserve">Los regímenes Plan Anual (95 %/100 %) y Negativo-Porcentual usan cortes propios. La semaforización se consolidó en una sola lógica de dominio, con la misma paleta en todas las pantallas.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5. Roles y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400"/>
        <w:gridCol w:w="5360"/>
      </w:tblGrid>
      <w:tr>
        <w:trPr>
          <w:tblHeader/>
        </w:trP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Rol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Pantallas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Capacidades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Procesos (por defecto)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5 de 7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Consulta de Resumen, CMI, Informe y Plan de Mejoramiento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Administrador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7 de 7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Acceso total, CRUD de OM, auditoría y publicación de narrativa IA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Calidad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7 de 7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Lectura total y CRUD de OM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Desempeño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7 de 7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Lectura total y CRUD de OM</w:t>
            </w:r>
          </w:p>
        </w:tc>
      </w:tr>
      <w:tr>
        <w:tc>
          <w:tcPr>
            <w:tcW w:type="dxa" w:w="26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Auditor IA</w:t>
            </w:r>
          </w:p>
        </w:tc>
        <w:tc>
          <w:tcPr>
            <w:tcW w:type="dxa" w:w="14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5 de 7</w:t>
            </w:r>
          </w:p>
        </w:tc>
        <w:tc>
          <w:tcPr>
            <w:tcW w:type="dxa" w:w="53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Lectura más revisión y publicación de la narrativa IA</w:t>
            </w:r>
          </w:p>
        </w:tc>
      </w:tr>
    </w:tbl>
    <w:p>
      <w:pPr>
        <w:spacing w:after="120" w:before="80"/>
      </w:pPr>
      <w:r>
        <w:rPr>
          <w:rFonts w:ascii="Montserrat" w:cs="Montserrat" w:eastAsia="Montserrat" w:hAnsi="Montserrat"/>
          <w:sz w:val="18"/>
          <w:szCs w:val="18"/>
        </w:rPr>
        <w:t xml:space="preserve">El acceso usa Azure AD con JWT. El flag ENABLE_DEV_AUTH quedó desactivado por defecto para impedir la auto-escalada de privilegios en staging.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6. Soporte multi-PDI (frente actual)</w:t>
      </w:r>
    </w:p>
    <w:p>
      <w:pPr>
        <w:spacing w:after="120" w:line="300"/>
      </w:pPr>
      <w:r>
        <w:rPr>
          <w:rFonts w:ascii="Montserrat" w:cs="Montserrat" w:eastAsia="Montserrat" w:hAnsi="Montserrat"/>
        </w:rPr>
        <w:t xml:space="preserve">Hasta ahora el PDI no existía como entidad: el ciclo 2022-2026 estaba fijado en constantes, nombres de archivo y cortes por número de proyecto. Se está incorporando el ciclo como dato de primer nivel.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Taxonomía versionada. </w:t>
      </w:r>
      <w:r>
        <w:rPr>
          <w:rFonts w:ascii="Montserrat" w:cs="Montserrat" w:eastAsia="Montserrat" w:hAnsi="Montserrat"/>
        </w:rPr>
        <w:t xml:space="preserve">Cada ciclo tiene su taxonomía: 2022-2026 con 6 líneas, 11 objetivos y 33 metas; 2026-2030 con 4 líneas, 10 objetivos y 22 metas.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Aislamiento por ciclo. </w:t>
      </w:r>
      <w:r>
        <w:rPr>
          <w:rFonts w:ascii="Montserrat" w:cs="Montserrat" w:eastAsia="Montserrat" w:hAnsi="Montserrat"/>
        </w:rPr>
        <w:t xml:space="preserve">Los endpoints de dashboard, CMI e informe aceptan el parámetro pdi. Responden 404 si no existe, 422 si no es un PDI y 409 si el ciclo aún no tiene datos; nunca devuelven datos de otro ciclo.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Asociación de indicadores. </w:t>
      </w:r>
      <w:r>
        <w:rPr>
          <w:rFonts w:ascii="Montserrat" w:cs="Montserrat" w:eastAsia="Montserrat" w:hAnsi="Montserrat"/>
        </w:rPr>
        <w:t xml:space="preserve">Una hoja por PDI en el catálogo, con validación de línea, objetivo y meta. El 2026-2030 está precargado con 322 filas para revisión de Planeación.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Continuidad de proyectos. </w:t>
      </w:r>
      <w:r>
        <w:rPr>
          <w:rFonts w:ascii="Montserrat" w:cs="Montserrat" w:eastAsia="Montserrat" w:hAnsi="Montserrat"/>
        </w:rPr>
        <w:t xml:space="preserve">Los 12 proyectos no cerrados del ciclo anterior continúan en el 2026-2030 con el mismo Id, junto con 10 proyectos nuevos.</w:t>
      </w:r>
    </w:p>
    <w:p>
      <w:pPr>
        <w:spacing w:after="120" w:before="100"/>
      </w:pPr>
      <w:r>
        <w:rPr>
          <w:rFonts w:ascii="Montserrat" w:cs="Montserrat" w:eastAsia="Montserrat" w:hAnsi="Montserrat"/>
        </w:rPr>
        <w:t xml:space="preserve">Pendiente: filtrar indicadores por PDI desde la nueva hoja, líneas por ciclo en CMI por Procesos, ficha con ambos PDI y narrativa y plantilla del PDF por ciclo.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7. Beneficios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Beneficio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Qué cambia para la institución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Una sola fuente de verdad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Semáforo y reglas de cumplimiento idénticos en todas las pantallas, sin cifras divergentes entre vistas.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Decisiones más rápidas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Directivos ven el estado de los indicadores y las alertas sin pedir reportes a Planeación.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Informe Ejecutivo desde la interfaz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PDF con narrativa asistida por IA y control de calidad previo a publicar.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Trazabilidad de la mejora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Las OM se gestionan en el sistema y quedan ligadas al indicador que no cumple.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Seguridad y control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Autenticación institucional y permisos por rol; registro de auditoría.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Preparado para el nuevo ciclo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Soporte simultáneo del PDI 2022-2026 y 2026-2030 sin mezclar datos.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Transparencia de datos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Pie de página con la fecha real de la última carga y alerta visual si pasan más de 35 días.</w:t>
            </w:r>
          </w:p>
        </w:tc>
      </w:tr>
      <w:tr>
        <w:tc>
          <w:tcPr>
            <w:tcW w:type="dxa" w:w="27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Base técnica sostenible</w:t>
            </w:r>
          </w:p>
        </w:tc>
        <w:tc>
          <w:tcPr>
            <w:tcW w:type="dxa" w:w="66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Pruebas automatizadas, lint limpio, despliegue con contenedores y documentación viva.</w:t>
            </w:r>
          </w:p>
        </w:tc>
      </w:tr>
    </w:tbl>
    <w:p>
      <w:pPr>
        <w:pStyle w:val="Heading1"/>
      </w:pPr>
      <w:r>
        <w:rPr>
          <w:rFonts w:ascii="Montserrat" w:cs="Montserrat" w:eastAsia="Montserrat" w:hAnsi="Montserrat"/>
        </w:rPr>
        <w:t xml:space="preserve">8. Riesgos y brechas principales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2900"/>
        <w:gridCol w:w="3160"/>
      </w:tblGrid>
      <w:tr>
        <w:trPr>
          <w:tblHeader/>
        </w:trP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Riesgo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Impacto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263A58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color w:val="FFFFFF"/>
                <w:sz w:val="18"/>
                <w:szCs w:val="18"/>
              </w:rPr>
              <w:t xml:space="preserve">Estado / mitigación</w:t>
            </w:r>
          </w:p>
        </w:tc>
      </w:tr>
      <w:t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Carga de datos manual (ETL desacoplado del backend)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Alto: los indicadores se congelan sin aviso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Mitigado en parte con el aviso de frescura; falta automatizar (M-07)</w:t>
            </w:r>
          </w:p>
        </w:tc>
      </w:tr>
      <w:t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Decisiones abiertas de proyectos que continúan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Medio: cómo medir el avance y qué hacer con Stand by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Pendiente de definición con el negocio</w:t>
            </w:r>
          </w:p>
        </w:tc>
      </w:tr>
      <w:t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UAT sin sesiones con usuarios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Medio: errores detectados tarde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Artefactos listos; programar sesiones</w:t>
            </w:r>
          </w:p>
        </w:tc>
      </w:tr>
      <w:t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Pruebas con fallos heredados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Medio: algunas requieren PostgreSQL activo o datos reales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EEF2F6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Triados en docs/tecnico/08-testing.md</w:t>
            </w:r>
          </w:p>
        </w:tc>
      </w:tr>
      <w:tr>
        <w:tc>
          <w:tcPr>
            <w:tcW w:type="dxa" w:w="33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/>
                <w:bCs/>
                <w:sz w:val="18"/>
                <w:szCs w:val="18"/>
              </w:rPr>
              <w:t xml:space="preserve">Dos módulos terminados sin acceso desde el menú</w:t>
            </w:r>
          </w:p>
        </w:tc>
        <w:tc>
          <w:tcPr>
            <w:tcW w:type="dxa" w:w="290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Bajo: valor sin aprovechar</w:t>
            </w:r>
          </w:p>
        </w:tc>
        <w:tc>
          <w:tcPr>
            <w:tcW w:type="dxa" w:w="3160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rFonts w:ascii="Montserrat" w:cs="Montserrat" w:eastAsia="Montserrat" w:hAnsi="Montserrat"/>
                <w:b w:val="false"/>
                <w:bCs w:val="false"/>
                <w:sz w:val="18"/>
                <w:szCs w:val="18"/>
              </w:rPr>
              <w:t xml:space="preserve">Decidir si se publican o se retiran (M-09)</w:t>
            </w:r>
          </w:p>
        </w:tc>
      </w:tr>
    </w:tbl>
    <w:p>
      <w:pPr>
        <w:spacing w:after="120" w:before="80"/>
      </w:pPr>
      <w:r>
        <w:rPr>
          <w:rFonts w:ascii="Montserrat" w:cs="Montserrat" w:eastAsia="Montserrat" w:hAnsi="Montserrat"/>
          <w:sz w:val="18"/>
          <w:szCs w:val="18"/>
        </w:rPr>
        <w:t xml:space="preserve">Ya cerrados: entorno de pruebas, auto-escalada de privilegios, rutas de archivos rotas, lint y consolidación del semáforo.</w:t>
      </w:r>
    </w:p>
    <w:p>
      <w:pPr>
        <w:pStyle w:val="Heading1"/>
      </w:pPr>
      <w:r>
        <w:rPr>
          <w:rFonts w:ascii="Montserrat" w:cs="Montserrat" w:eastAsia="Montserrat" w:hAnsi="Montserrat"/>
        </w:rPr>
        <w:t xml:space="preserve">9. Próximos pasos recomendados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Definir la automatización del ETL mensual. </w:t>
      </w:r>
      <w:r>
        <w:rPr>
          <w:rFonts w:ascii="Montserrat" w:cs="Montserrat" w:eastAsia="Montserrat" w:hAnsi="Montserrat"/>
        </w:rPr>
        <w:t xml:space="preserve">Es la decisión que más condiciona la viabilidad del corte a producción.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Ejecutar las sesiones UAT </w:t>
      </w:r>
      <w:r>
        <w:rPr>
          <w:rFonts w:ascii="Montserrat" w:cs="Montserrat" w:eastAsia="Montserrat" w:hAnsi="Montserrat"/>
        </w:rPr>
        <w:t xml:space="preserve">con usuarios de Planeación, Calidad y Procesos.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Cerrar los pendientes multi-PDI </w:t>
      </w:r>
      <w:r>
        <w:rPr>
          <w:rFonts w:ascii="Montserrat" w:cs="Montserrat" w:eastAsia="Montserrat" w:hAnsi="Montserrat"/>
        </w:rPr>
        <w:t xml:space="preserve">y la revisión de la asociación 2026-2030 por Planeación.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Resolver las decisiones abiertas de proyectos que continúan. </w:t>
      </w:r>
      <w:r>
        <w:rPr>
          <w:rFonts w:ascii="Montserrat" w:cs="Montserrat" w:eastAsia="Montserrat" w:hAnsi="Montserrat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Publicar o retirar PDI/Acreditación y Diagnóstico del menú. </w:t>
      </w:r>
      <w:r>
        <w:rPr>
          <w:rFonts w:ascii="Montserrat" w:cs="Montserrat" w:eastAsia="Montserrat" w:hAnsi="Montserrat"/>
        </w:rPr>
        <w:t xml:space="preserve"/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Montserrat" w:cs="Montserrat" w:eastAsia="Montserrat" w:hAnsi="Montserrat"/>
          <w:b/>
          <w:bCs/>
        </w:rPr>
        <w:t xml:space="preserve">Agendar la ventana de mantenimiento y ejecutar el corte </w:t>
      </w:r>
      <w:r>
        <w:rPr>
          <w:rFonts w:ascii="Montserrat" w:cs="Montserrat" w:eastAsia="Montserrat" w:hAnsi="Montserrat"/>
        </w:rPr>
        <w:t xml:space="preserve">según el runbook.</w:t>
      </w:r>
    </w:p>
    <w:p>
      <w:pPr>
        <w:spacing w:before="300"/>
      </w:pPr>
      <w:r>
        <w:rPr>
          <w:rFonts w:ascii="Montserrat" w:cs="Montserrat" w:eastAsia="Montserrat" w:hAnsi="Montserrat"/>
          <w:color w:val="777777"/>
          <w:sz w:val="16"/>
          <w:szCs w:val="16"/>
        </w:rPr>
        <w:t xml:space="preserve">Fuentes: README, docs/migration (STATUS, ROADMAP, PLAN_CIERRE_HALLAZGOS), docs/funcional, docs/tecnico, docs/architecture/RBAC_MATRIX.md e impact_report.md del repositorio. Cifras al 7 de octubre de 2026.</w:t>
      </w:r>
    </w:p>
    <w:sectPr>
      <w:footerReference w:type="default" r:id="rId6"/>
      <w:pgSz w:w="12240" w:h="15840" w:orient="portrait"/>
      <w:pgMar w:top="1440" w:right="1440" w:bottom="13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Montserrat" w:cs="Montserrat" w:eastAsia="Montserrat" w:hAnsi="Montserrat"/>
        <w:color w:val="777777"/>
        <w:sz w:val="16"/>
        <w:szCs w:val="16"/>
      </w:rPr>
      <w:t xml:space="preserve">SGING · Informe ejecutivo · Página </w:t>
    </w:r>
    <w:r>
      <w:rPr>
        <w:rFonts w:ascii="Montserrat" w:cs="Montserrat" w:eastAsia="Montserrat" w:hAnsi="Montserrat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540" w:hanging="270"/>
      </w:pPr>
      <w:rPr>
        <w:b/>
        <w:bCs/>
        <w:color w:val="22B2DE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2B2D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2B2DE" w:sz="8" w:space="4"/>
      </w:pBdr>
      <w:spacing w:after="160" w:before="360"/>
      <w:outlineLvl w:val="0"/>
    </w:pPr>
    <w:rPr>
      <w:rFonts w:ascii="Montserrat" w:cs="Montserrat" w:eastAsia="Montserrat" w:hAnsi="Montserrat"/>
      <w:b/>
      <w:bCs/>
      <w:color w:val="263A5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ontserrat" w:cs="Montserrat" w:eastAsia="Montserrat" w:hAnsi="Montserrat"/>
      <w:b/>
      <w:bCs/>
      <w:color w:val="22B2DE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5c50fa6da22bf6d42866fcafb8c37c7567d998e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2026-10-07T07:09:06.028Z</dcterms:created>
  <dcterms:modified xsi:type="dcterms:W3CDTF">2026-10-07T07:09:06.030Z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