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1333500" cy="571500"/>
            <wp:effectExtent t="0" r="0" b="0" l="0"/>
            <wp:docPr id="1" name="logo" descr="Logo POLI" title="Logo PO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571500"/>
                    </a:xfrm>
                    <a:prstGeom prst="rect">
                      <a:avLst/>
                    </a:prstGeom>
                  </pic:spPr>
                </pic:pic>
              </a:graphicData>
            </a:graphic>
          </wp:inline>
        </w:drawing>
      </w:r>
    </w:p>
    <w:p>
      <w:pPr>
        <w:spacing w:after="200" w:before="2300"/>
      </w:pPr>
      <w:r>
        <w:rPr>
          <w:rFonts w:ascii="Montserrat" w:cs="Montserrat" w:eastAsia="Montserrat" w:hAnsi="Montserrat"/>
          <w:b/>
          <w:bCs/>
          <w:color w:val="22B2DE"/>
          <w:sz w:val="24"/>
          <w:szCs w:val="24"/>
        </w:rPr>
        <w:t xml:space="preserve">INFORME EJECUTIVO</w:t>
      </w:r>
    </w:p>
    <w:p>
      <w:pPr>
        <w:spacing w:after="200"/>
      </w:pPr>
      <w:r>
        <w:rPr>
          <w:rFonts w:ascii="Montserrat" w:cs="Montserrat" w:eastAsia="Montserrat" w:hAnsi="Montserrat"/>
          <w:b/>
          <w:bCs/>
          <w:color w:val="263A58"/>
          <w:sz w:val="80"/>
          <w:szCs w:val="80"/>
        </w:rPr>
        <w:t xml:space="preserve">SGIND</w:t>
      </w:r>
    </w:p>
    <w:p>
      <w:pPr>
        <w:spacing w:after="500"/>
      </w:pPr>
      <w:r>
        <w:rPr>
          <w:rFonts w:ascii="Montserrat" w:cs="Montserrat" w:eastAsia="Montserrat" w:hAnsi="Montserrat"/>
          <w:color w:val="263A58"/>
          <w:sz w:val="28"/>
          <w:szCs w:val="28"/>
        </w:rPr>
        <w:t xml:space="preserve">Sistema de Indicadores Estratégicos: CMI, PDI, POLISIGS y Planeación Institucional</w:t>
      </w:r>
    </w:p>
    <w:p>
      <w:pPr>
        <w:pBdr>
          <w:top w:val="single" w:color="22B2DE" w:sz="12" w:space="8"/>
        </w:pBdr>
      </w:pPr>
      <w:r>
        <w:rPr>
          <w:rFonts w:ascii="Montserrat" w:cs="Montserrat" w:eastAsia="Montserrat" w:hAnsi="Montserrat"/>
          <w:color w:val="555555"/>
          <w:sz w:val="20"/>
          <w:szCs w:val="20"/>
        </w:rPr>
        <w:t xml:space="preserve">Etapas del proyecto · Módulos y secciones · Funcionalidades · Beneficios</w:t>
      </w:r>
    </w:p>
    <w:p>
      <w:pPr>
        <w:spacing w:after="120" w:line="300"/>
      </w:pPr>
      <w:r>
        <w:rPr>
          <w:rFonts w:ascii="Montserrat" w:cs="Montserrat" w:eastAsia="Montserrat" w:hAnsi="Montserrat"/>
          <w:color w:val="555555"/>
          <w:sz w:val="20"/>
          <w:szCs w:val="20"/>
        </w:rPr>
        <w:t xml:space="preserve">Gerencia de Planeación y Gestión Institucional — Politécnico Grancolombiano</w:t>
      </w:r>
    </w:p>
    <w:p>
      <w:pPr>
        <w:spacing w:after="120" w:line="300"/>
      </w:pPr>
      <w:r>
        <w:rPr>
          <w:rFonts w:ascii="Montserrat" w:cs="Montserrat" w:eastAsia="Montserrat" w:hAnsi="Montserrat"/>
          <w:color w:val="555555"/>
          <w:sz w:val="20"/>
          <w:szCs w:val="20"/>
        </w:rPr>
        <w:t xml:space="preserve">Aplicativo: https://sgind.vercel.app · Octubre de 2026</w:t>
      </w:r>
    </w:p>
    <w:p>
      <w:pPr>
        <w:pStyle w:val="Heading1"/>
      </w:pPr>
      <w:r>
        <w:rPr>
          <w:rFonts w:ascii="Montserrat" w:cs="Montserrat" w:eastAsia="Montserrat" w:hAnsi="Montserrat"/>
        </w:rPr>
        <w:t xml:space="preserve">Contenido</w:t>
      </w:r>
    </w:p>
    <w:p>
      <w:pPr>
        <w:spacing w:after="60"/>
      </w:pPr>
      <w:r>
        <w:rPr>
          <w:rFonts w:ascii="Montserrat" w:cs="Montserrat" w:eastAsia="Montserrat" w:hAnsi="Montserrat"/>
          <w:b/>
          <w:bCs/>
          <w:color w:val="263A58"/>
          <w:sz w:val="20"/>
          <w:szCs w:val="20"/>
        </w:rPr>
        <w:t xml:space="preserve">1. Resumen ejecutivo</w:t>
      </w:r>
    </w:p>
    <w:p>
      <w:pPr>
        <w:spacing w:after="60"/>
      </w:pPr>
      <w:r>
        <w:rPr>
          <w:rFonts w:ascii="Montserrat" w:cs="Montserrat" w:eastAsia="Montserrat" w:hAnsi="Montserrat"/>
          <w:b/>
          <w:bCs/>
          <w:color w:val="263A58"/>
          <w:sz w:val="20"/>
          <w:szCs w:val="20"/>
        </w:rPr>
        <w:t xml:space="preserve">2. Propósito y alcance</w:t>
      </w:r>
    </w:p>
    <w:p>
      <w:pPr>
        <w:spacing w:after="60"/>
      </w:pPr>
      <w:r>
        <w:rPr>
          <w:rFonts w:ascii="Montserrat" w:cs="Montserrat" w:eastAsia="Montserrat" w:hAnsi="Montserrat"/>
          <w:b/>
          <w:bCs/>
          <w:color w:val="263A58"/>
          <w:sz w:val="20"/>
          <w:szCs w:val="20"/>
        </w:rPr>
        <w:t xml:space="preserve">3. Etapas del proyecto</w:t>
      </w:r>
    </w:p>
    <w:p>
      <w:pPr>
        <w:spacing w:after="60"/>
      </w:pPr>
      <w:r>
        <w:rPr>
          <w:rFonts w:ascii="Montserrat" w:cs="Montserrat" w:eastAsia="Montserrat" w:hAnsi="Montserrat"/>
          <w:b/>
          <w:bCs/>
          <w:color w:val="263A58"/>
          <w:sz w:val="20"/>
          <w:szCs w:val="20"/>
        </w:rPr>
        <w:t xml:space="preserve">4. Arquitectura y tecnología</w:t>
      </w:r>
    </w:p>
    <w:p>
      <w:pPr>
        <w:spacing w:after="60"/>
      </w:pPr>
      <w:r>
        <w:rPr>
          <w:rFonts w:ascii="Montserrat" w:cs="Montserrat" w:eastAsia="Montserrat" w:hAnsi="Montserrat"/>
          <w:b/>
          <w:bCs/>
          <w:color w:val="263A58"/>
          <w:sz w:val="20"/>
          <w:szCs w:val="20"/>
        </w:rPr>
        <w:t xml:space="preserve">5. Recorrido por el aplicativo</w:t>
      </w:r>
    </w:p>
    <w:p>
      <w:pPr>
        <w:spacing w:after="60"/>
      </w:pPr>
      <w:r>
        <w:rPr>
          <w:rFonts w:ascii="Montserrat" w:cs="Montserrat" w:eastAsia="Montserrat" w:hAnsi="Montserrat"/>
          <w:b w:val="false"/>
          <w:bCs w:val="false"/>
          <w:color w:val="263A58"/>
          <w:sz w:val="20"/>
          <w:szCs w:val="20"/>
        </w:rPr>
        <w:t xml:space="preserve">    5.1 Acceso, menú principal y selección de PDI</w:t>
      </w:r>
    </w:p>
    <w:p>
      <w:pPr>
        <w:spacing w:after="60"/>
      </w:pPr>
      <w:r>
        <w:rPr>
          <w:rFonts w:ascii="Montserrat" w:cs="Montserrat" w:eastAsia="Montserrat" w:hAnsi="Montserrat"/>
          <w:b w:val="false"/>
          <w:bCs w:val="false"/>
          <w:color w:val="263A58"/>
          <w:sz w:val="20"/>
          <w:szCs w:val="20"/>
        </w:rPr>
        <w:t xml:space="preserve">    5.2 Resumen General</w:t>
      </w:r>
    </w:p>
    <w:p>
      <w:pPr>
        <w:spacing w:after="60"/>
      </w:pPr>
      <w:r>
        <w:rPr>
          <w:rFonts w:ascii="Montserrat" w:cs="Montserrat" w:eastAsia="Montserrat" w:hAnsi="Montserrat"/>
          <w:b w:val="false"/>
          <w:bCs w:val="false"/>
          <w:color w:val="263A58"/>
          <w:sz w:val="20"/>
          <w:szCs w:val="20"/>
        </w:rPr>
        <w:t xml:space="preserve">    5.3 CMI Estratégico</w:t>
      </w:r>
    </w:p>
    <w:p>
      <w:pPr>
        <w:spacing w:after="60"/>
      </w:pPr>
      <w:r>
        <w:rPr>
          <w:rFonts w:ascii="Montserrat" w:cs="Montserrat" w:eastAsia="Montserrat" w:hAnsi="Montserrat"/>
          <w:b w:val="false"/>
          <w:bCs w:val="false"/>
          <w:color w:val="263A58"/>
          <w:sz w:val="20"/>
          <w:szCs w:val="20"/>
        </w:rPr>
        <w:t xml:space="preserve">    5.4 CMI por Procesos</w:t>
      </w:r>
    </w:p>
    <w:p>
      <w:pPr>
        <w:spacing w:after="60"/>
      </w:pPr>
      <w:r>
        <w:rPr>
          <w:rFonts w:ascii="Montserrat" w:cs="Montserrat" w:eastAsia="Montserrat" w:hAnsi="Montserrat"/>
          <w:b w:val="false"/>
          <w:bCs w:val="false"/>
          <w:color w:val="263A58"/>
          <w:sz w:val="20"/>
          <w:szCs w:val="20"/>
        </w:rPr>
        <w:t xml:space="preserve">    5.5 Informe por Procesos</w:t>
      </w:r>
    </w:p>
    <w:p>
      <w:pPr>
        <w:spacing w:after="60"/>
      </w:pPr>
      <w:r>
        <w:rPr>
          <w:rFonts w:ascii="Montserrat" w:cs="Montserrat" w:eastAsia="Montserrat" w:hAnsi="Montserrat"/>
          <w:b w:val="false"/>
          <w:bCs w:val="false"/>
          <w:color w:val="263A58"/>
          <w:sz w:val="20"/>
          <w:szCs w:val="20"/>
        </w:rPr>
        <w:t xml:space="preserve">    5.6 Indicadores POLISIGS</w:t>
      </w:r>
    </w:p>
    <w:p>
      <w:pPr>
        <w:spacing w:after="60"/>
      </w:pPr>
      <w:r>
        <w:rPr>
          <w:rFonts w:ascii="Montserrat" w:cs="Montserrat" w:eastAsia="Montserrat" w:hAnsi="Montserrat"/>
          <w:b w:val="false"/>
          <w:bCs w:val="false"/>
          <w:color w:val="263A58"/>
          <w:sz w:val="20"/>
          <w:szCs w:val="20"/>
        </w:rPr>
        <w:t xml:space="preserve">    5.7 Plan de Mejoramiento (modelo CNA)</w:t>
      </w:r>
    </w:p>
    <w:p>
      <w:pPr>
        <w:spacing w:after="60"/>
      </w:pPr>
      <w:r>
        <w:rPr>
          <w:rFonts w:ascii="Montserrat" w:cs="Montserrat" w:eastAsia="Montserrat" w:hAnsi="Montserrat"/>
          <w:b w:val="false"/>
          <w:bCs w:val="false"/>
          <w:color w:val="263A58"/>
          <w:sz w:val="20"/>
          <w:szCs w:val="20"/>
        </w:rPr>
        <w:t xml:space="preserve">    5.8 Seguimiento Operativo</w:t>
      </w:r>
    </w:p>
    <w:p>
      <w:pPr>
        <w:spacing w:after="60"/>
      </w:pPr>
      <w:r>
        <w:rPr>
          <w:rFonts w:ascii="Montserrat" w:cs="Montserrat" w:eastAsia="Montserrat" w:hAnsi="Montserrat"/>
          <w:b w:val="false"/>
          <w:bCs w:val="false"/>
          <w:color w:val="263A58"/>
          <w:sz w:val="20"/>
          <w:szCs w:val="20"/>
        </w:rPr>
        <w:t xml:space="preserve">    5.9 Gestión de Oportunidades de Mejora (OM)</w:t>
      </w:r>
    </w:p>
    <w:p>
      <w:pPr>
        <w:spacing w:after="60"/>
      </w:pPr>
      <w:r>
        <w:rPr>
          <w:rFonts w:ascii="Montserrat" w:cs="Montserrat" w:eastAsia="Montserrat" w:hAnsi="Montserrat"/>
          <w:b/>
          <w:bCs/>
          <w:color w:val="263A58"/>
          <w:sz w:val="20"/>
          <w:szCs w:val="20"/>
        </w:rPr>
        <w:t xml:space="preserve">6. Fuentes de datos y catálogos</w:t>
      </w:r>
    </w:p>
    <w:p>
      <w:pPr>
        <w:spacing w:after="60"/>
      </w:pPr>
      <w:r>
        <w:rPr>
          <w:rFonts w:ascii="Montserrat" w:cs="Montserrat" w:eastAsia="Montserrat" w:hAnsi="Montserrat"/>
          <w:b/>
          <w:bCs/>
          <w:color w:val="263A58"/>
          <w:sz w:val="20"/>
          <w:szCs w:val="20"/>
        </w:rPr>
        <w:t xml:space="preserve">7. Proceso de consolidación de datos (ETL)</w:t>
      </w:r>
    </w:p>
    <w:p>
      <w:pPr>
        <w:spacing w:after="60"/>
      </w:pPr>
      <w:r>
        <w:rPr>
          <w:rFonts w:ascii="Montserrat" w:cs="Montserrat" w:eastAsia="Montserrat" w:hAnsi="Montserrat"/>
          <w:b/>
          <w:bCs/>
          <w:color w:val="263A58"/>
          <w:sz w:val="20"/>
          <w:szCs w:val="20"/>
        </w:rPr>
        <w:t xml:space="preserve">8. Reglas de negocio</w:t>
      </w:r>
    </w:p>
    <w:p>
      <w:pPr>
        <w:spacing w:after="60"/>
      </w:pPr>
      <w:r>
        <w:rPr>
          <w:rFonts w:ascii="Montserrat" w:cs="Montserrat" w:eastAsia="Montserrat" w:hAnsi="Montserrat"/>
          <w:b/>
          <w:bCs/>
          <w:color w:val="263A58"/>
          <w:sz w:val="20"/>
          <w:szCs w:val="20"/>
        </w:rPr>
        <w:t xml:space="preserve">9. Auditoría y calidad de datos</w:t>
      </w:r>
    </w:p>
    <w:p>
      <w:pPr>
        <w:spacing w:after="60"/>
      </w:pPr>
      <w:r>
        <w:rPr>
          <w:rFonts w:ascii="Montserrat" w:cs="Montserrat" w:eastAsia="Montserrat" w:hAnsi="Montserrat"/>
          <w:b/>
          <w:bCs/>
          <w:color w:val="263A58"/>
          <w:sz w:val="20"/>
          <w:szCs w:val="20"/>
        </w:rPr>
        <w:t xml:space="preserve">10. Documentación y artefactos del proyecto</w:t>
      </w:r>
    </w:p>
    <w:p>
      <w:pPr>
        <w:spacing w:after="60"/>
      </w:pPr>
      <w:r>
        <w:rPr>
          <w:rFonts w:ascii="Montserrat" w:cs="Montserrat" w:eastAsia="Montserrat" w:hAnsi="Montserrat"/>
          <w:b/>
          <w:bCs/>
          <w:color w:val="263A58"/>
          <w:sz w:val="20"/>
          <w:szCs w:val="20"/>
        </w:rPr>
        <w:t xml:space="preserve">11. Roles y seguridad</w:t>
      </w:r>
    </w:p>
    <w:p>
      <w:pPr>
        <w:spacing w:after="60"/>
      </w:pPr>
      <w:r>
        <w:rPr>
          <w:rFonts w:ascii="Montserrat" w:cs="Montserrat" w:eastAsia="Montserrat" w:hAnsi="Montserrat"/>
          <w:b/>
          <w:bCs/>
          <w:color w:val="263A58"/>
          <w:sz w:val="20"/>
          <w:szCs w:val="20"/>
        </w:rPr>
        <w:t xml:space="preserve">12. Gestión de varios ciclos PDI</w:t>
      </w:r>
    </w:p>
    <w:p>
      <w:pPr>
        <w:spacing w:after="60"/>
      </w:pPr>
      <w:r>
        <w:rPr>
          <w:rFonts w:ascii="Montserrat" w:cs="Montserrat" w:eastAsia="Montserrat" w:hAnsi="Montserrat"/>
          <w:b/>
          <w:bCs/>
          <w:color w:val="263A58"/>
          <w:sz w:val="20"/>
          <w:szCs w:val="20"/>
        </w:rPr>
        <w:t xml:space="preserve">13. Matriz de funcionalidades</w:t>
      </w:r>
    </w:p>
    <w:p>
      <w:pPr>
        <w:spacing w:after="60"/>
      </w:pPr>
      <w:r>
        <w:rPr>
          <w:rFonts w:ascii="Montserrat" w:cs="Montserrat" w:eastAsia="Montserrat" w:hAnsi="Montserrat"/>
          <w:b/>
          <w:bCs/>
          <w:color w:val="263A58"/>
          <w:sz w:val="20"/>
          <w:szCs w:val="20"/>
        </w:rPr>
        <w:t xml:space="preserve">14. Beneficios para la institución</w:t>
      </w:r>
    </w:p>
    <w:p>
      <w:pPr>
        <w:pStyle w:val="Heading1"/>
        <w:pageBreakBefore/>
      </w:pPr>
      <w:r>
        <w:rPr>
          <w:rFonts w:ascii="Montserrat" w:cs="Montserrat" w:eastAsia="Montserrat" w:hAnsi="Montserrat"/>
        </w:rPr>
        <w:t xml:space="preserve">1. Resumen ejecutivo</w:t>
      </w:r>
    </w:p>
    <w:p>
      <w:pPr>
        <w:spacing w:after="120" w:line="300"/>
      </w:pPr>
      <w:r>
        <w:rPr>
          <w:rFonts w:ascii="Montserrat" w:cs="Montserrat" w:eastAsia="Montserrat" w:hAnsi="Montserrat"/>
        </w:rPr>
        <w:t xml:space="preserve">SGIND es la plataforma web con la que el Politécnico Grancolombiano consulta, en un solo lugar, el desempeño de sus indicadores estratégicos: qué tan bien va cada uno frente a su meta, cómo evoluciona en el tiempo y qué acciones de mejora se gestionan cuando algo no cumple. Reúne el Plan de Desarrollo Institucional (PDI), el Cuadro de Mando Integral (CMI) estratégico y por procesos, la política del Sistema Integrado de Gestión (POLISIGS), el plan de mejoramiento del modelo CNA, el seguimiento operativo de reporte y la gestión de oportunidades de mejora.</w:t>
      </w:r>
    </w:p>
    <w:p>
      <w:pPr>
        <w:spacing w:after="120" w:line="300"/>
      </w:pPr>
      <w:r>
        <w:rPr>
          <w:rFonts w:ascii="Montserrat" w:cs="Montserrat" w:eastAsia="Montserrat" w:hAnsi="Montserrat"/>
        </w:rPr>
        <w:t xml:space="preserve">Reemplaza el tablero anterior en Streamlit por una arquitectura moderna (Next.js, FastAPI y PostgreSQL), con inicio de sesión institucional, permisos por rol y publicación en la nube.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2B2DE" w:sz="24"/>
              <w:left w:val="single" w:color="FFFFFF" w:sz="12"/>
              <w:bottom w:val="none" w:color="FFFFFF" w:sz="0"/>
              <w:right w:val="single" w:color="FFFFFF" w:sz="12"/>
            </w:tcBorders>
            <w:shd w:fill="EEF2F6" w:color="auto" w:val="clear"/>
            <w:tcMar>
              <w:top w:type="dxa" w:w="120"/>
              <w:left w:type="dxa" w:w="120"/>
              <w:bottom w:type="dxa" w:w="120"/>
              <w:right w:type="dxa" w:w="120"/>
            </w:tcMar>
          </w:tcPr>
          <w:p>
            <w:pPr>
              <w:jc w:val="center"/>
            </w:pPr>
            <w:r>
              <w:rPr>
                <w:rFonts w:ascii="Montserrat" w:cs="Montserrat" w:eastAsia="Montserrat" w:hAnsi="Montserrat"/>
                <w:b/>
                <w:bCs/>
                <w:color w:val="263A58"/>
                <w:sz w:val="36"/>
                <w:szCs w:val="36"/>
              </w:rPr>
              <w:t xml:space="preserve">8</w:t>
            </w:r>
          </w:p>
          <w:p>
            <w:pPr>
              <w:jc w:val="center"/>
            </w:pPr>
            <w:r>
              <w:rPr>
                <w:rFonts w:ascii="Montserrat" w:cs="Montserrat" w:eastAsia="Montserrat" w:hAnsi="Montserrat"/>
                <w:color w:val="555555"/>
                <w:sz w:val="16"/>
                <w:szCs w:val="16"/>
              </w:rPr>
              <w:t xml:space="preserve">módulos de consulta y gestión</w:t>
            </w:r>
          </w:p>
        </w:tc>
        <w:tc>
          <w:tcPr>
            <w:tcW w:type="dxa" w:w="2340"/>
            <w:tcBorders>
              <w:top w:val="single" w:color="22B2DE" w:sz="24"/>
              <w:left w:val="single" w:color="FFFFFF" w:sz="12"/>
              <w:bottom w:val="none" w:color="FFFFFF" w:sz="0"/>
              <w:right w:val="single" w:color="FFFFFF" w:sz="12"/>
            </w:tcBorders>
            <w:shd w:fill="EEF2F6" w:color="auto" w:val="clear"/>
            <w:tcMar>
              <w:top w:type="dxa" w:w="120"/>
              <w:left w:type="dxa" w:w="120"/>
              <w:bottom w:type="dxa" w:w="120"/>
              <w:right w:type="dxa" w:w="120"/>
            </w:tcMar>
          </w:tcPr>
          <w:p>
            <w:pPr>
              <w:jc w:val="center"/>
            </w:pPr>
            <w:r>
              <w:rPr>
                <w:rFonts w:ascii="Montserrat" w:cs="Montserrat" w:eastAsia="Montserrat" w:hAnsi="Montserrat"/>
                <w:b/>
                <w:bCs/>
                <w:color w:val="263A58"/>
                <w:sz w:val="36"/>
                <w:szCs w:val="36"/>
              </w:rPr>
              <w:t xml:space="preserve">2</w:t>
            </w:r>
          </w:p>
          <w:p>
            <w:pPr>
              <w:jc w:val="center"/>
            </w:pPr>
            <w:r>
              <w:rPr>
                <w:rFonts w:ascii="Montserrat" w:cs="Montserrat" w:eastAsia="Montserrat" w:hAnsi="Montserrat"/>
                <w:color w:val="555555"/>
                <w:sz w:val="16"/>
                <w:szCs w:val="16"/>
              </w:rPr>
              <w:t xml:space="preserve">ciclos PDI (2022-2026 y 2026-2030)</w:t>
            </w:r>
          </w:p>
        </w:tc>
        <w:tc>
          <w:tcPr>
            <w:tcW w:type="dxa" w:w="2340"/>
            <w:tcBorders>
              <w:top w:val="single" w:color="22B2DE" w:sz="24"/>
              <w:left w:val="single" w:color="FFFFFF" w:sz="12"/>
              <w:bottom w:val="none" w:color="FFFFFF" w:sz="0"/>
              <w:right w:val="single" w:color="FFFFFF" w:sz="12"/>
            </w:tcBorders>
            <w:shd w:fill="EEF2F6" w:color="auto" w:val="clear"/>
            <w:tcMar>
              <w:top w:type="dxa" w:w="120"/>
              <w:left w:type="dxa" w:w="120"/>
              <w:bottom w:type="dxa" w:w="120"/>
              <w:right w:type="dxa" w:w="120"/>
            </w:tcMar>
          </w:tcPr>
          <w:p>
            <w:pPr>
              <w:jc w:val="center"/>
            </w:pPr>
            <w:r>
              <w:rPr>
                <w:rFonts w:ascii="Montserrat" w:cs="Montserrat" w:eastAsia="Montserrat" w:hAnsi="Montserrat"/>
                <w:b/>
                <w:bCs/>
                <w:color w:val="263A58"/>
                <w:sz w:val="36"/>
                <w:szCs w:val="36"/>
              </w:rPr>
              <w:t xml:space="preserve">6</w:t>
            </w:r>
          </w:p>
          <w:p>
            <w:pPr>
              <w:jc w:val="center"/>
            </w:pPr>
            <w:r>
              <w:rPr>
                <w:rFonts w:ascii="Montserrat" w:cs="Montserrat" w:eastAsia="Montserrat" w:hAnsi="Montserrat"/>
                <w:color w:val="555555"/>
                <w:sz w:val="16"/>
                <w:szCs w:val="16"/>
              </w:rPr>
              <w:t xml:space="preserve">líneas estratégicas del PDI 2022-2026</w:t>
            </w:r>
          </w:p>
        </w:tc>
        <w:tc>
          <w:tcPr>
            <w:tcW w:type="dxa" w:w="2340"/>
            <w:tcBorders>
              <w:top w:val="single" w:color="22B2DE" w:sz="24"/>
              <w:left w:val="single" w:color="FFFFFF" w:sz="12"/>
              <w:bottom w:val="none" w:color="FFFFFF" w:sz="0"/>
              <w:right w:val="single" w:color="FFFFFF" w:sz="12"/>
            </w:tcBorders>
            <w:shd w:fill="EEF2F6" w:color="auto" w:val="clear"/>
            <w:tcMar>
              <w:top w:type="dxa" w:w="120"/>
              <w:left w:type="dxa" w:w="120"/>
              <w:bottom w:type="dxa" w:w="120"/>
              <w:right w:type="dxa" w:w="120"/>
            </w:tcMar>
          </w:tcPr>
          <w:p>
            <w:pPr>
              <w:jc w:val="center"/>
            </w:pPr>
            <w:r>
              <w:rPr>
                <w:rFonts w:ascii="Montserrat" w:cs="Montserrat" w:eastAsia="Montserrat" w:hAnsi="Montserrat"/>
                <w:b/>
                <w:bCs/>
                <w:color w:val="263A58"/>
                <w:sz w:val="36"/>
                <w:szCs w:val="36"/>
              </w:rPr>
              <w:t xml:space="preserve">5</w:t>
            </w:r>
          </w:p>
          <w:p>
            <w:pPr>
              <w:jc w:val="center"/>
            </w:pPr>
            <w:r>
              <w:rPr>
                <w:rFonts w:ascii="Montserrat" w:cs="Montserrat" w:eastAsia="Montserrat" w:hAnsi="Montserrat"/>
                <w:color w:val="555555"/>
                <w:sz w:val="16"/>
                <w:szCs w:val="16"/>
              </w:rPr>
              <w:t xml:space="preserve">roles de acceso</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2B2DE" w:sz="24"/>
              <w:left w:val="single" w:color="FFFFFF" w:sz="12"/>
              <w:bottom w:val="none" w:color="FFFFFF" w:sz="0"/>
              <w:right w:val="single" w:color="FFFFFF" w:sz="12"/>
            </w:tcBorders>
            <w:shd w:fill="EEF2F6" w:color="auto" w:val="clear"/>
            <w:tcMar>
              <w:top w:type="dxa" w:w="120"/>
              <w:left w:type="dxa" w:w="120"/>
              <w:bottom w:type="dxa" w:w="120"/>
              <w:right w:type="dxa" w:w="120"/>
            </w:tcMar>
          </w:tcPr>
          <w:p>
            <w:pPr>
              <w:jc w:val="center"/>
            </w:pPr>
            <w:r>
              <w:rPr>
                <w:rFonts w:ascii="Montserrat" w:cs="Montserrat" w:eastAsia="Montserrat" w:hAnsi="Montserrat"/>
                <w:b/>
                <w:bCs/>
                <w:color w:val="263A58"/>
                <w:sz w:val="36"/>
                <w:szCs w:val="36"/>
              </w:rPr>
              <w:t xml:space="preserve">100,2 %</w:t>
            </w:r>
          </w:p>
          <w:p>
            <w:pPr>
              <w:jc w:val="center"/>
            </w:pPr>
            <w:r>
              <w:rPr>
                <w:rFonts w:ascii="Montserrat" w:cs="Montserrat" w:eastAsia="Montserrat" w:hAnsi="Montserrat"/>
                <w:color w:val="555555"/>
                <w:sz w:val="16"/>
                <w:szCs w:val="16"/>
              </w:rPr>
              <w:t xml:space="preserve">cumplimiento PDI 2022-2025</w:t>
            </w:r>
          </w:p>
        </w:tc>
        <w:tc>
          <w:tcPr>
            <w:tcW w:type="dxa" w:w="2340"/>
            <w:tcBorders>
              <w:top w:val="single" w:color="22B2DE" w:sz="24"/>
              <w:left w:val="single" w:color="FFFFFF" w:sz="12"/>
              <w:bottom w:val="none" w:color="FFFFFF" w:sz="0"/>
              <w:right w:val="single" w:color="FFFFFF" w:sz="12"/>
            </w:tcBorders>
            <w:shd w:fill="EEF2F6" w:color="auto" w:val="clear"/>
            <w:tcMar>
              <w:top w:type="dxa" w:w="120"/>
              <w:left w:type="dxa" w:w="120"/>
              <w:bottom w:type="dxa" w:w="120"/>
              <w:right w:type="dxa" w:w="120"/>
            </w:tcMar>
          </w:tcPr>
          <w:p>
            <w:pPr>
              <w:jc w:val="center"/>
            </w:pPr>
            <w:r>
              <w:rPr>
                <w:rFonts w:ascii="Montserrat" w:cs="Montserrat" w:eastAsia="Montserrat" w:hAnsi="Montserrat"/>
                <w:b/>
                <w:bCs/>
                <w:color w:val="263A58"/>
                <w:sz w:val="36"/>
                <w:szCs w:val="36"/>
              </w:rPr>
              <w:t xml:space="preserve">49</w:t>
            </w:r>
          </w:p>
          <w:p>
            <w:pPr>
              <w:jc w:val="center"/>
            </w:pPr>
            <w:r>
              <w:rPr>
                <w:rFonts w:ascii="Montserrat" w:cs="Montserrat" w:eastAsia="Montserrat" w:hAnsi="Montserrat"/>
                <w:color w:val="555555"/>
                <w:sz w:val="16"/>
                <w:szCs w:val="16"/>
              </w:rPr>
              <w:t xml:space="preserve">indicadores estratégicos PDI</w:t>
            </w:r>
          </w:p>
        </w:tc>
        <w:tc>
          <w:tcPr>
            <w:tcW w:type="dxa" w:w="2340"/>
            <w:tcBorders>
              <w:top w:val="single" w:color="22B2DE" w:sz="24"/>
              <w:left w:val="single" w:color="FFFFFF" w:sz="12"/>
              <w:bottom w:val="none" w:color="FFFFFF" w:sz="0"/>
              <w:right w:val="single" w:color="FFFFFF" w:sz="12"/>
            </w:tcBorders>
            <w:shd w:fill="EEF2F6" w:color="auto" w:val="clear"/>
            <w:tcMar>
              <w:top w:type="dxa" w:w="120"/>
              <w:left w:type="dxa" w:w="120"/>
              <w:bottom w:type="dxa" w:w="120"/>
              <w:right w:type="dxa" w:w="120"/>
            </w:tcMar>
          </w:tcPr>
          <w:p>
            <w:pPr>
              <w:jc w:val="center"/>
            </w:pPr>
            <w:r>
              <w:rPr>
                <w:rFonts w:ascii="Montserrat" w:cs="Montserrat" w:eastAsia="Montserrat" w:hAnsi="Montserrat"/>
                <w:b/>
                <w:bCs/>
                <w:color w:val="263A58"/>
                <w:sz w:val="36"/>
                <w:szCs w:val="36"/>
              </w:rPr>
              <w:t xml:space="preserve">44</w:t>
            </w:r>
          </w:p>
          <w:p>
            <w:pPr>
              <w:jc w:val="center"/>
            </w:pPr>
            <w:r>
              <w:rPr>
                <w:rFonts w:ascii="Montserrat" w:cs="Montserrat" w:eastAsia="Montserrat" w:hAnsi="Montserrat"/>
                <w:color w:val="555555"/>
                <w:sz w:val="16"/>
                <w:szCs w:val="16"/>
              </w:rPr>
              <w:t xml:space="preserve">proyectos institucionales</w:t>
            </w:r>
          </w:p>
        </w:tc>
        <w:tc>
          <w:tcPr>
            <w:tcW w:type="dxa" w:w="2340"/>
            <w:tcBorders>
              <w:top w:val="single" w:color="22B2DE" w:sz="24"/>
              <w:left w:val="single" w:color="FFFFFF" w:sz="12"/>
              <w:bottom w:val="none" w:color="FFFFFF" w:sz="0"/>
              <w:right w:val="single" w:color="FFFFFF" w:sz="12"/>
            </w:tcBorders>
            <w:shd w:fill="EEF2F6" w:color="auto" w:val="clear"/>
            <w:tcMar>
              <w:top w:type="dxa" w:w="120"/>
              <w:left w:type="dxa" w:w="120"/>
              <w:bottom w:type="dxa" w:w="120"/>
              <w:right w:type="dxa" w:w="120"/>
            </w:tcMar>
          </w:tcPr>
          <w:p>
            <w:pPr>
              <w:jc w:val="center"/>
            </w:pPr>
            <w:r>
              <w:rPr>
                <w:rFonts w:ascii="Montserrat" w:cs="Montserrat" w:eastAsia="Montserrat" w:hAnsi="Montserrat"/>
                <w:b/>
                <w:bCs/>
                <w:color w:val="263A58"/>
                <w:sz w:val="36"/>
                <w:szCs w:val="36"/>
              </w:rPr>
              <w:t xml:space="preserve">84</w:t>
            </w:r>
          </w:p>
          <w:p>
            <w:pPr>
              <w:jc w:val="center"/>
            </w:pPr>
            <w:r>
              <w:rPr>
                <w:rFonts w:ascii="Montserrat" w:cs="Montserrat" w:eastAsia="Montserrat" w:hAnsi="Montserrat"/>
                <w:color w:val="555555"/>
                <w:sz w:val="16"/>
                <w:szCs w:val="16"/>
              </w:rPr>
              <w:t xml:space="preserve">áreas con retos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2B2DE" w:sz="24"/>
              <w:left w:val="single" w:color="FFFFFF" w:sz="12"/>
              <w:bottom w:val="none" w:color="FFFFFF" w:sz="0"/>
              <w:right w:val="single" w:color="FFFFFF" w:sz="12"/>
            </w:tcBorders>
            <w:shd w:fill="EEF2F6" w:color="auto" w:val="clear"/>
            <w:tcMar>
              <w:top w:type="dxa" w:w="120"/>
              <w:left w:type="dxa" w:w="120"/>
              <w:bottom w:type="dxa" w:w="120"/>
              <w:right w:type="dxa" w:w="120"/>
            </w:tcMar>
          </w:tcPr>
          <w:p>
            <w:pPr>
              <w:jc w:val="center"/>
            </w:pPr>
            <w:r>
              <w:rPr>
                <w:rFonts w:ascii="Montserrat" w:cs="Montserrat" w:eastAsia="Montserrat" w:hAnsi="Montserrat"/>
                <w:b/>
                <w:bCs/>
                <w:color w:val="263A58"/>
                <w:sz w:val="36"/>
                <w:szCs w:val="36"/>
              </w:rPr>
              <w:t xml:space="preserve">Mensual</w:t>
            </w:r>
          </w:p>
          <w:p>
            <w:pPr>
              <w:jc w:val="center"/>
            </w:pPr>
            <w:r>
              <w:rPr>
                <w:rFonts w:ascii="Montserrat" w:cs="Montserrat" w:eastAsia="Montserrat" w:hAnsi="Montserrat"/>
                <w:color w:val="555555"/>
                <w:sz w:val="16"/>
                <w:szCs w:val="16"/>
              </w:rPr>
              <w:t xml:space="preserve">consolidación automática de datos</w:t>
            </w:r>
          </w:p>
        </w:tc>
        <w:tc>
          <w:tcPr>
            <w:tcW w:type="dxa" w:w="2340"/>
            <w:tcBorders>
              <w:top w:val="single" w:color="22B2DE" w:sz="24"/>
              <w:left w:val="single" w:color="FFFFFF" w:sz="12"/>
              <w:bottom w:val="none" w:color="FFFFFF" w:sz="0"/>
              <w:right w:val="single" w:color="FFFFFF" w:sz="12"/>
            </w:tcBorders>
            <w:shd w:fill="EEF2F6" w:color="auto" w:val="clear"/>
            <w:tcMar>
              <w:top w:type="dxa" w:w="120"/>
              <w:left w:type="dxa" w:w="120"/>
              <w:bottom w:type="dxa" w:w="120"/>
              <w:right w:type="dxa" w:w="120"/>
            </w:tcMar>
          </w:tcPr>
          <w:p>
            <w:pPr>
              <w:jc w:val="center"/>
            </w:pPr>
            <w:r>
              <w:rPr>
                <w:rFonts w:ascii="Montserrat" w:cs="Montserrat" w:eastAsia="Montserrat" w:hAnsi="Montserrat"/>
                <w:b/>
                <w:bCs/>
                <w:color w:val="263A58"/>
                <w:sz w:val="36"/>
                <w:szCs w:val="36"/>
              </w:rPr>
              <w:t xml:space="preserve">+20</w:t>
            </w:r>
          </w:p>
          <w:p>
            <w:pPr>
              <w:jc w:val="center"/>
            </w:pPr>
            <w:r>
              <w:rPr>
                <w:rFonts w:ascii="Montserrat" w:cs="Montserrat" w:eastAsia="Montserrat" w:hAnsi="Montserrat"/>
                <w:color w:val="555555"/>
                <w:sz w:val="16"/>
                <w:szCs w:val="16"/>
              </w:rPr>
              <w:t xml:space="preserve">módulos del proceso ETL</w:t>
            </w:r>
          </w:p>
        </w:tc>
        <w:tc>
          <w:tcPr>
            <w:tcW w:type="dxa" w:w="2340"/>
            <w:tcBorders>
              <w:top w:val="single" w:color="22B2DE" w:sz="24"/>
              <w:left w:val="single" w:color="FFFFFF" w:sz="12"/>
              <w:bottom w:val="none" w:color="FFFFFF" w:sz="0"/>
              <w:right w:val="single" w:color="FFFFFF" w:sz="12"/>
            </w:tcBorders>
            <w:shd w:fill="EEF2F6" w:color="auto" w:val="clear"/>
            <w:tcMar>
              <w:top w:type="dxa" w:w="120"/>
              <w:left w:type="dxa" w:w="120"/>
              <w:bottom w:type="dxa" w:w="120"/>
              <w:right w:type="dxa" w:w="120"/>
            </w:tcMar>
          </w:tcPr>
          <w:p>
            <w:pPr>
              <w:jc w:val="center"/>
            </w:pPr>
            <w:r>
              <w:rPr>
                <w:rFonts w:ascii="Montserrat" w:cs="Montserrat" w:eastAsia="Montserrat" w:hAnsi="Montserrat"/>
                <w:b/>
                <w:bCs/>
                <w:color w:val="263A58"/>
                <w:sz w:val="36"/>
                <w:szCs w:val="36"/>
              </w:rPr>
              <w:t xml:space="preserve">+230</w:t>
            </w:r>
          </w:p>
          <w:p>
            <w:pPr>
              <w:jc w:val="center"/>
            </w:pPr>
            <w:r>
              <w:rPr>
                <w:rFonts w:ascii="Montserrat" w:cs="Montserrat" w:eastAsia="Montserrat" w:hAnsi="Montserrat"/>
                <w:color w:val="555555"/>
                <w:sz w:val="16"/>
                <w:szCs w:val="16"/>
              </w:rPr>
              <w:t xml:space="preserve">pruebas automatizadas</w:t>
            </w:r>
          </w:p>
        </w:tc>
        <w:tc>
          <w:tcPr>
            <w:tcW w:type="dxa" w:w="2340"/>
            <w:tcBorders>
              <w:top w:val="single" w:color="22B2DE" w:sz="24"/>
              <w:left w:val="single" w:color="FFFFFF" w:sz="12"/>
              <w:bottom w:val="none" w:color="FFFFFF" w:sz="0"/>
              <w:right w:val="single" w:color="FFFFFF" w:sz="12"/>
            </w:tcBorders>
            <w:shd w:fill="EEF2F6" w:color="auto" w:val="clear"/>
            <w:tcMar>
              <w:top w:type="dxa" w:w="120"/>
              <w:left w:type="dxa" w:w="120"/>
              <w:bottom w:type="dxa" w:w="120"/>
              <w:right w:type="dxa" w:w="120"/>
            </w:tcMar>
          </w:tcPr>
          <w:p>
            <w:pPr>
              <w:jc w:val="center"/>
            </w:pPr>
            <w:r>
              <w:rPr>
                <w:rFonts w:ascii="Montserrat" w:cs="Montserrat" w:eastAsia="Montserrat" w:hAnsi="Montserrat"/>
                <w:b/>
                <w:bCs/>
                <w:color w:val="263A58"/>
                <w:sz w:val="36"/>
                <w:szCs w:val="36"/>
              </w:rPr>
              <w:t xml:space="preserve">3</w:t>
            </w:r>
          </w:p>
          <w:p>
            <w:pPr>
              <w:jc w:val="center"/>
            </w:pPr>
            <w:r>
              <w:rPr>
                <w:rFonts w:ascii="Montserrat" w:cs="Montserrat" w:eastAsia="Montserrat" w:hAnsi="Montserrat"/>
                <w:color w:val="555555"/>
                <w:sz w:val="16"/>
                <w:szCs w:val="16"/>
              </w:rPr>
              <w:t xml:space="preserve">regímenes de semáforo</w:t>
            </w:r>
          </w:p>
        </w:tc>
      </w:tr>
    </w:tbl>
    <w:p>
      <w:pPr>
        <w:spacing w:after="100"/>
      </w:pPr>
    </w:p>
    <w:p>
      <w:pPr>
        <w:shd w:fill="263A58" w:color="auto" w:val="clear"/>
        <w:spacing w:after="160" w:before="120"/>
        <w:ind w:left="120" w:right="120"/>
      </w:pPr>
      <w:r>
        <w:rPr>
          <w:rFonts w:ascii="Montserrat" w:cs="Montserrat" w:eastAsia="Montserrat" w:hAnsi="Montserrat"/>
          <w:b/>
          <w:bCs/>
          <w:color w:val="22B2DE"/>
          <w:sz w:val="16"/>
          <w:szCs w:val="16"/>
        </w:rPr>
        <w:t xml:space="preserve">LO QUE ENTREGA  </w:t>
      </w:r>
      <w:r>
        <w:rPr>
          <w:rFonts w:ascii="Montserrat" w:cs="Montserrat" w:eastAsia="Montserrat" w:hAnsi="Montserrat"/>
          <w:color w:val="FFFFFF"/>
          <w:sz w:val="19"/>
          <w:szCs w:val="19"/>
        </w:rPr>
        <w:t xml:space="preserve">Una vista única y confiable del desempeño institucional, con semáforo homogéneo, filtros por año, mes, proceso y línea estratégica, exportación a Excel/CSV/PDF y trazabilidad de las acciones de mejora.</w:t>
      </w:r>
    </w:p>
    <w:p>
      <w:pPr>
        <w:spacing w:after="120" w:line="300"/>
      </w:pPr>
      <w:r>
        <w:rPr>
          <w:rFonts w:ascii="Montserrat" w:cs="Montserrat" w:eastAsia="Montserrat" w:hAnsi="Montserrat"/>
          <w:color w:val="666666"/>
          <w:sz w:val="17"/>
          <w:szCs w:val="17"/>
        </w:rPr>
        <w:t xml:space="preserve">Las cifras y pantallazos de este informe corresponden al aplicativo en producción, con datos del cierre del PDI 2022-2025 y cortes de 2026 disponibles al 12 de octubre de 2026.</w:t>
      </w:r>
    </w:p>
    <w:p>
      <w:pPr>
        <w:pStyle w:val="Heading1"/>
        <w:pageBreakBefore/>
      </w:pPr>
      <w:r>
        <w:rPr>
          <w:rFonts w:ascii="Montserrat" w:cs="Montserrat" w:eastAsia="Montserrat" w:hAnsi="Montserrat"/>
        </w:rPr>
        <w:t xml:space="preserve">2. Propósito y alcance</w:t>
      </w:r>
    </w:p>
    <w:p>
      <w:pPr>
        <w:spacing w:after="120" w:line="300"/>
      </w:pPr>
      <w:r>
        <w:rPr>
          <w:rFonts w:ascii="Montserrat" w:cs="Montserrat" w:eastAsia="Montserrat" w:hAnsi="Montserrat"/>
        </w:rPr>
        <w:t xml:space="preserve">Objetivo: centralizar el seguimiento del desempeño institucional en un sistema confiable, trazable y disponible para directivos, analistas de planeación y equipos de proceso, evitando reportes manuales dispersos y cifras distintas entre áreas.</w:t>
      </w:r>
    </w:p>
    <w:p>
      <w:pPr>
        <w:pStyle w:val="Heading2"/>
        <w:keepNext/>
      </w:pPr>
      <w:r>
        <w:rPr>
          <w:rFonts w:ascii="Montserrat" w:cs="Montserrat" w:eastAsia="Montserrat" w:hAnsi="Montserrat"/>
        </w:rPr>
        <w:t xml:space="preserve">A quién sirve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Perfil</w:t>
            </w:r>
          </w:p>
        </w:tc>
        <w:tc>
          <w:tcPr>
            <w:tcW w:type="dxa" w:w="676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Qué hace en SGIND</w:t>
            </w:r>
          </w:p>
        </w:tc>
      </w:tr>
      <w:tr>
        <w:trPr>
          <w:cantSplit/>
        </w:trPr>
        <w:tc>
          <w:tcPr>
            <w:tcW w:type="dxa" w:w="26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Directivos</w:t>
            </w:r>
          </w:p>
        </w:tc>
        <w:tc>
          <w:tcPr>
            <w:tcW w:type="dxa" w:w="67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Consultan el estado del PDI, el CMI y las alertas; descargan el Informe Ejecutivo.</w:t>
            </w:r>
          </w:p>
        </w:tc>
      </w:tr>
      <w:tr>
        <w:trPr>
          <w:cantSplit/>
        </w:trPr>
        <w:tc>
          <w:tcPr>
            <w:tcW w:type="dxa" w:w="26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Analistas de planeación</w:t>
            </w:r>
          </w:p>
        </w:tc>
        <w:tc>
          <w:tcPr>
            <w:tcW w:type="dxa" w:w="67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Filtran, comparan por año y por línea, exportan datos y alimentan el informe.</w:t>
            </w:r>
          </w:p>
        </w:tc>
      </w:tr>
      <w:tr>
        <w:trPr>
          <w:cantSplit/>
        </w:trPr>
        <w:tc>
          <w:tcPr>
            <w:tcW w:type="dxa" w:w="26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Calidad y Desempeño</w:t>
            </w:r>
          </w:p>
        </w:tc>
        <w:tc>
          <w:tcPr>
            <w:tcW w:type="dxa" w:w="67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Además de consultar, gestionan el seguimiento operativo y las oportunidades de mejora.</w:t>
            </w:r>
          </w:p>
        </w:tc>
      </w:tr>
      <w:tr>
        <w:trPr>
          <w:cantSplit/>
        </w:trPr>
        <w:tc>
          <w:tcPr>
            <w:tcW w:type="dxa" w:w="26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Equipos de proceso</w:t>
            </w:r>
          </w:p>
        </w:tc>
        <w:tc>
          <w:tcPr>
            <w:tcW w:type="dxa" w:w="67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Revisan sus indicadores, su calidad de datos y el plan de mejoramiento de su área.</w:t>
            </w:r>
          </w:p>
        </w:tc>
      </w:tr>
    </w:tbl>
    <w:p>
      <w:pPr>
        <w:pStyle w:val="Heading2"/>
        <w:keepNext/>
      </w:pPr>
      <w:r>
        <w:rPr>
          <w:rFonts w:ascii="Montserrat" w:cs="Montserrat" w:eastAsia="Montserrat" w:hAnsi="Montserrat"/>
        </w:rPr>
        <w:t xml:space="preserve">Qué cubre</w:t>
      </w:r>
    </w:p>
    <w:p>
      <w:pPr>
        <w:pStyle w:val="ListParagraph"/>
        <w:numPr>
          <w:ilvl w:val="0"/>
          <w:numId w:val="2"/>
        </w:numPr>
        <w:spacing w:after="70" w:line="285"/>
      </w:pPr>
      <w:r>
        <w:rPr>
          <w:rFonts w:ascii="Montserrat" w:cs="Montserrat" w:eastAsia="Montserrat" w:hAnsi="Montserrat"/>
        </w:rPr>
        <w:t xml:space="preserve">Seguimiento de indicadores con semáforo de cumplimiento, tendencia e histórico.</w:t>
      </w:r>
    </w:p>
    <w:p>
      <w:pPr>
        <w:pStyle w:val="ListParagraph"/>
        <w:numPr>
          <w:ilvl w:val="0"/>
          <w:numId w:val="2"/>
        </w:numPr>
        <w:spacing w:after="70" w:line="285"/>
      </w:pPr>
      <w:r>
        <w:rPr>
          <w:rFonts w:ascii="Montserrat" w:cs="Montserrat" w:eastAsia="Montserrat" w:hAnsi="Montserrat"/>
        </w:rPr>
        <w:t xml:space="preserve">Vistas por línea estratégica, objetivo, proyecto, reto y proceso.</w:t>
      </w:r>
    </w:p>
    <w:p>
      <w:pPr>
        <w:pStyle w:val="ListParagraph"/>
        <w:numPr>
          <w:ilvl w:val="0"/>
          <w:numId w:val="2"/>
        </w:numPr>
        <w:spacing w:after="70" w:line="285"/>
      </w:pPr>
      <w:r>
        <w:rPr>
          <w:rFonts w:ascii="Montserrat" w:cs="Montserrat" w:eastAsia="Montserrat" w:hAnsi="Montserrat"/>
        </w:rPr>
        <w:t xml:space="preserve">Política y objetivos del Sistema Integrado de Gestión (POLISIGS).</w:t>
      </w:r>
    </w:p>
    <w:p>
      <w:pPr>
        <w:pStyle w:val="ListParagraph"/>
        <w:numPr>
          <w:ilvl w:val="0"/>
          <w:numId w:val="2"/>
        </w:numPr>
        <w:spacing w:after="70" w:line="285"/>
      </w:pPr>
      <w:r>
        <w:rPr>
          <w:rFonts w:ascii="Montserrat" w:cs="Montserrat" w:eastAsia="Montserrat" w:hAnsi="Montserrat"/>
        </w:rPr>
        <w:t xml:space="preserve">Plan de mejoramiento del modelo de acreditación (factores y características CNA).</w:t>
      </w:r>
    </w:p>
    <w:p>
      <w:pPr>
        <w:pStyle w:val="ListParagraph"/>
        <w:numPr>
          <w:ilvl w:val="0"/>
          <w:numId w:val="2"/>
        </w:numPr>
        <w:spacing w:after="70" w:line="285"/>
      </w:pPr>
      <w:r>
        <w:rPr>
          <w:rFonts w:ascii="Montserrat" w:cs="Montserrat" w:eastAsia="Montserrat" w:hAnsi="Montserrat"/>
        </w:rPr>
        <w:t xml:space="preserve">Seguimiento Operativo: quién ha reportado sus indicadores en cada corte, a quién le falta y alertas por correo.</w:t>
      </w:r>
    </w:p>
    <w:p>
      <w:pPr>
        <w:pStyle w:val="ListParagraph"/>
        <w:numPr>
          <w:ilvl w:val="0"/>
          <w:numId w:val="2"/>
        </w:numPr>
        <w:spacing w:after="70" w:line="285"/>
      </w:pPr>
      <w:r>
        <w:rPr>
          <w:rFonts w:ascii="Montserrat" w:cs="Montserrat" w:eastAsia="Montserrat" w:hAnsi="Montserrat"/>
        </w:rPr>
        <w:t xml:space="preserve">Registro y seguimiento de oportunidades de mejora frente a indicadores en riesgo.</w:t>
      </w:r>
    </w:p>
    <w:p>
      <w:pPr>
        <w:pStyle w:val="ListParagraph"/>
        <w:numPr>
          <w:ilvl w:val="0"/>
          <w:numId w:val="2"/>
        </w:numPr>
        <w:spacing w:after="70" w:line="285"/>
      </w:pPr>
      <w:r>
        <w:rPr>
          <w:rFonts w:ascii="Montserrat" w:cs="Montserrat" w:eastAsia="Montserrat" w:hAnsi="Montserrat"/>
        </w:rPr>
        <w:t xml:space="preserve">Informe Ejecutivo y Informe por Procesos en PDF, con análisis asistido y control de calidad.</w:t>
      </w:r>
    </w:p>
    <w:p>
      <w:pPr>
        <w:pStyle w:val="ListParagraph"/>
        <w:numPr>
          <w:ilvl w:val="0"/>
          <w:numId w:val="2"/>
        </w:numPr>
        <w:spacing w:after="70" w:line="285"/>
      </w:pPr>
      <w:r>
        <w:rPr>
          <w:rFonts w:ascii="Montserrat" w:cs="Montserrat" w:eastAsia="Montserrat" w:hAnsi="Montserrat"/>
        </w:rPr>
        <w:t xml:space="preserve">Consolidación automática de los datos, catálogos maestros, reglas de negocio centralizadas y auditoría de datos en cada etapa.</w:t>
      </w:r>
    </w:p>
    <w:p>
      <w:pPr>
        <w:pStyle w:val="Heading1"/>
        <w:pageBreakBefore/>
      </w:pPr>
      <w:r>
        <w:rPr>
          <w:rFonts w:ascii="Montserrat" w:cs="Montserrat" w:eastAsia="Montserrat" w:hAnsi="Montserrat"/>
        </w:rPr>
        <w:t xml:space="preserve">3. Etapas del proyecto</w:t>
      </w:r>
    </w:p>
    <w:p>
      <w:pPr>
        <w:spacing w:after="120" w:line="300"/>
      </w:pPr>
      <w:r>
        <w:rPr>
          <w:rFonts w:ascii="Montserrat" w:cs="Montserrat" w:eastAsia="Montserrat" w:hAnsi="Montserrat"/>
        </w:rPr>
        <w:t xml:space="preserve">El proyecto se construyó en diez fases con entregables verificables, agrupadas en cuatro grandes etapas. El tablero anterior siguió operando durante todo el proceso, por lo que no hubo interrupción del servicio.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3500"/>
        <w:gridCol w:w="2260"/>
      </w:tblGrid>
      <w:tr>
        <w:trPr>
          <w:cantSplit/>
          <w:tblHeader/>
        </w:trPr>
        <w:tc>
          <w:tcPr>
            <w:tcW w:type="dxa" w:w="190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Etapa</w:t>
            </w:r>
          </w:p>
        </w:tc>
        <w:tc>
          <w:tcPr>
            <w:tcW w:type="dxa" w:w="170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Fase</w:t>
            </w:r>
          </w:p>
        </w:tc>
        <w:tc>
          <w:tcPr>
            <w:tcW w:type="dxa" w:w="350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Qué se hizo</w:t>
            </w:r>
          </w:p>
        </w:tc>
        <w:tc>
          <w:tcPr>
            <w:tcW w:type="dxa" w:w="226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Entregable</w:t>
            </w:r>
          </w:p>
        </w:tc>
      </w:tr>
      <w:tr>
        <w:trPr>
          <w:cantSplit/>
        </w:trPr>
        <w:tc>
          <w:tcPr>
            <w:tcW w:type="dxa" w:w="19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A. Levantamiento y diseño</w:t>
            </w:r>
          </w:p>
        </w:tc>
        <w:tc>
          <w:tcPr>
            <w:tcW w:type="dxa" w:w="17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0. Levantamiento</w:t>
            </w:r>
          </w:p>
        </w:tc>
        <w:tc>
          <w:tcPr>
            <w:tcW w:type="dxa" w:w="35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Inventario funcional y técnico del sistema anterior: procesos, componentes, fuentes de datos, pruebas y deuda técnica.</w:t>
            </w:r>
          </w:p>
        </w:tc>
        <w:tc>
          <w:tcPr>
            <w:tcW w:type="dxa" w:w="22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8 documentos de levantamiento</w:t>
            </w:r>
          </w:p>
        </w:tc>
      </w:tr>
      <w:tr>
        <w:trPr>
          <w:cantSplit/>
        </w:trPr>
        <w:tc>
          <w:tcPr>
            <w:tcW w:type="dxa" w:w="19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
            </w:r>
          </w:p>
        </w:tc>
        <w:tc>
          <w:tcPr>
            <w:tcW w:type="dxa" w:w="17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1. Arquitectura</w:t>
            </w:r>
          </w:p>
        </w:tc>
        <w:tc>
          <w:tcPr>
            <w:tcW w:type="dxa" w:w="35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Decisiones de diseño: persistencia, frontend, backend, autenticación, gráficos, caché, IA y despliegue.</w:t>
            </w:r>
          </w:p>
        </w:tc>
        <w:tc>
          <w:tcPr>
            <w:tcW w:type="dxa" w:w="22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9 decisiones de arquitectura (ADR) y matriz de roles</w:t>
            </w:r>
          </w:p>
        </w:tc>
      </w:tr>
      <w:tr>
        <w:trPr>
          <w:cantSplit/>
        </w:trPr>
        <w:tc>
          <w:tcPr>
            <w:tcW w:type="dxa" w:w="19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
            </w:r>
          </w:p>
        </w:tc>
        <w:tc>
          <w:tcPr>
            <w:tcW w:type="dxa" w:w="17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2. Modelo de datos</w:t>
            </w:r>
          </w:p>
        </w:tc>
        <w:tc>
          <w:tcPr>
            <w:tcW w:type="dxa" w:w="35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Diseño del esquema y mapeo desde las fuentes existentes.</w:t>
            </w:r>
          </w:p>
        </w:tc>
        <w:tc>
          <w:tcPr>
            <w:tcW w:type="dxa" w:w="22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Esquema PostgreSQL, diagrama ER, diccionario de datos</w:t>
            </w:r>
          </w:p>
        </w:tc>
      </w:tr>
      <w:tr>
        <w:trPr>
          <w:cantSplit/>
        </w:trPr>
        <w:tc>
          <w:tcPr>
            <w:tcW w:type="dxa" w:w="19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B. Construcción</w:t>
            </w:r>
          </w:p>
        </w:tc>
        <w:tc>
          <w:tcPr>
            <w:tcW w:type="dxa" w:w="17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4. Backend</w:t>
            </w:r>
          </w:p>
        </w:tc>
        <w:tc>
          <w:tcPr>
            <w:tcW w:type="dxa" w:w="35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API con filtros por plan, seguimiento e informe y gestión de oportunidades de mejora.</w:t>
            </w:r>
          </w:p>
        </w:tc>
        <w:tc>
          <w:tcPr>
            <w:tcW w:type="dxa" w:w="22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API FastAPI documentada</w:t>
            </w:r>
          </w:p>
        </w:tc>
      </w:tr>
      <w:tr>
        <w:trPr>
          <w:cantSplit/>
        </w:trPr>
        <w:tc>
          <w:tcPr>
            <w:tcW w:type="dxa" w:w="19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
            </w:r>
          </w:p>
        </w:tc>
        <w:tc>
          <w:tcPr>
            <w:tcW w:type="dxa" w:w="17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5. Frontend</w:t>
            </w:r>
          </w:p>
        </w:tc>
        <w:tc>
          <w:tcPr>
            <w:tcW w:type="dxa" w:w="35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Páginas del aplicativo conectadas a la API real, con gráficos interactivos.</w:t>
            </w:r>
          </w:p>
        </w:tc>
        <w:tc>
          <w:tcPr>
            <w:tcW w:type="dxa" w:w="22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Aplicación Next.js conectada a la API</w:t>
            </w:r>
          </w:p>
        </w:tc>
      </w:tr>
      <w:tr>
        <w:trPr>
          <w:cantSplit/>
        </w:trPr>
        <w:tc>
          <w:tcPr>
            <w:tcW w:type="dxa" w:w="19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
            </w:r>
          </w:p>
        </w:tc>
        <w:tc>
          <w:tcPr>
            <w:tcW w:type="dxa" w:w="17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9. Reportes PDF</w:t>
            </w:r>
          </w:p>
        </w:tc>
        <w:tc>
          <w:tcPr>
            <w:tcW w:type="dxa" w:w="35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Generación del Informe Ejecutivo y del Informe por Procesos desde la interfaz.</w:t>
            </w:r>
          </w:p>
        </w:tc>
        <w:tc>
          <w:tcPr>
            <w:tcW w:type="dxa" w:w="22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Descarga de PDF con un clic</w:t>
            </w:r>
          </w:p>
        </w:tc>
      </w:tr>
      <w:tr>
        <w:trPr>
          <w:cantSplit/>
        </w:trPr>
        <w:tc>
          <w:tcPr>
            <w:tcW w:type="dxa" w:w="19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C. Seguridad y calidad</w:t>
            </w:r>
          </w:p>
        </w:tc>
        <w:tc>
          <w:tcPr>
            <w:tcW w:type="dxa" w:w="17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6. Pruebas</w:t>
            </w:r>
          </w:p>
        </w:tc>
        <w:tc>
          <w:tcPr>
            <w:tcW w:type="dxa" w:w="35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Pruebas de extremo a extremo, de contrato de API e integración continua.</w:t>
            </w:r>
          </w:p>
        </w:tc>
        <w:tc>
          <w:tcPr>
            <w:tcW w:type="dxa" w:w="22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Suite Playwright y pruebas automatizadas</w:t>
            </w:r>
          </w:p>
        </w:tc>
      </w:tr>
      <w:tr>
        <w:trPr>
          <w:cantSplit/>
        </w:trPr>
        <w:tc>
          <w:tcPr>
            <w:tcW w:type="dxa" w:w="19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
            </w:r>
          </w:p>
        </w:tc>
        <w:tc>
          <w:tcPr>
            <w:tcW w:type="dxa" w:w="17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7. Autenticación</w:t>
            </w:r>
          </w:p>
        </w:tc>
        <w:tc>
          <w:tcPr>
            <w:tcW w:type="dxa" w:w="35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Inicio de sesión institucional y permisos por rol.</w:t>
            </w:r>
          </w:p>
        </w:tc>
        <w:tc>
          <w:tcPr>
            <w:tcW w:type="dxa" w:w="22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Azure AD (MSAL), JWT y control de acceso</w:t>
            </w:r>
          </w:p>
        </w:tc>
      </w:tr>
      <w:tr>
        <w:trPr>
          <w:cantSplit/>
        </w:trPr>
        <w:tc>
          <w:tcPr>
            <w:tcW w:type="dxa" w:w="19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D. Datos y despliegue</w:t>
            </w:r>
          </w:p>
        </w:tc>
        <w:tc>
          <w:tcPr>
            <w:tcW w:type="dxa" w:w="17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8. Migración de datos</w:t>
            </w:r>
          </w:p>
        </w:tc>
        <w:tc>
          <w:tcPr>
            <w:tcW w:type="dxa" w:w="35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Scripts de migración, validación y sincronización con las fuentes.</w:t>
            </w:r>
          </w:p>
        </w:tc>
        <w:tc>
          <w:tcPr>
            <w:tcW w:type="dxa" w:w="22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Datos migrados y validados</w:t>
            </w:r>
          </w:p>
        </w:tc>
      </w:tr>
      <w:tr>
        <w:trPr>
          <w:cantSplit/>
        </w:trPr>
        <w:tc>
          <w:tcPr>
            <w:tcW w:type="dxa" w:w="19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
            </w:r>
          </w:p>
        </w:tc>
        <w:tc>
          <w:tcPr>
            <w:tcW w:type="dxa" w:w="17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Consolidación y catálogos</w:t>
            </w:r>
          </w:p>
        </w:tc>
        <w:tc>
          <w:tcPr>
            <w:tcW w:type="dxa" w:w="35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Pipeline de consolidación automático cada mes, catálogos maestros por ciclo PDI y reglas de negocio configurables.</w:t>
            </w:r>
          </w:p>
        </w:tc>
        <w:tc>
          <w:tcPr>
            <w:tcW w:type="dxa" w:w="22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Scripts ETL, catálogos y validaciones</w:t>
            </w:r>
          </w:p>
        </w:tc>
      </w:tr>
      <w:tr>
        <w:trPr>
          <w:cantSplit/>
        </w:trPr>
        <w:tc>
          <w:tcPr>
            <w:tcW w:type="dxa" w:w="19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
            </w:r>
          </w:p>
        </w:tc>
        <w:tc>
          <w:tcPr>
            <w:tcW w:type="dxa" w:w="17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10. Publicación</w:t>
            </w:r>
          </w:p>
        </w:tc>
        <w:tc>
          <w:tcPr>
            <w:tcW w:type="dxa" w:w="35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Imágenes de contenedor, entorno de pruebas y publicación del aplicativo.</w:t>
            </w:r>
          </w:p>
        </w:tc>
        <w:tc>
          <w:tcPr>
            <w:tcW w:type="dxa" w:w="22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Aplicación en https://sgind.vercel.app</w:t>
            </w:r>
          </w:p>
        </w:tc>
      </w:tr>
    </w:tbl>
    <w:p>
      <w:pPr>
        <w:spacing w:after="100"/>
      </w:pPr>
    </w:p>
    <w:p>
      <w:pPr>
        <w:spacing w:after="120" w:line="300"/>
      </w:pPr>
      <w:r>
        <w:rPr>
          <w:rFonts w:ascii="Montserrat" w:cs="Montserrat" w:eastAsia="Montserrat" w:hAnsi="Montserrat"/>
        </w:rPr>
        <w:t xml:space="preserve">Sobre esta base se incorporaron mejoras posteriores: semaforización unificada en todas las pantallas, aviso de frescura de los datos, el módulo POLISIGS y la gestión de varios ciclos PDI (sección 8).</w:t>
      </w:r>
    </w:p>
    <w:p>
      <w:pPr>
        <w:pStyle w:val="Heading1"/>
        <w:pageBreakBefore/>
      </w:pPr>
      <w:r>
        <w:rPr>
          <w:rFonts w:ascii="Montserrat" w:cs="Montserrat" w:eastAsia="Montserrat" w:hAnsi="Montserrat"/>
        </w:rPr>
        <w:t xml:space="preserve">4. Arquitectura y tecnología</w:t>
      </w:r>
    </w:p>
    <w:p>
      <w:pPr>
        <w:spacing w:after="120" w:line="300"/>
      </w:pPr>
      <w:r>
        <w:rPr>
          <w:rFonts w:ascii="Montserrat" w:cs="Montserrat" w:eastAsia="Montserrat" w:hAnsi="Montserrat"/>
        </w:rPr>
        <w:t xml:space="preserve">El aplicativo separa la presentación, la lógica de negocio y los datos, lo que permite evolucionar cada capa sin afectar a las demás.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060"/>
      </w:tblGrid>
      <w:tr>
        <w:trPr>
          <w:cantSplit/>
          <w:tblHeader/>
        </w:trPr>
        <w:tc>
          <w:tcPr>
            <w:tcW w:type="dxa" w:w="200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Capa</w:t>
            </w:r>
          </w:p>
        </w:tc>
        <w:tc>
          <w:tcPr>
            <w:tcW w:type="dxa" w:w="330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Tecnología</w:t>
            </w:r>
          </w:p>
        </w:tc>
        <w:tc>
          <w:tcPr>
            <w:tcW w:type="dxa" w:w="406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Función</w:t>
            </w:r>
          </w:p>
        </w:tc>
      </w:tr>
      <w:tr>
        <w:trPr>
          <w:cantSplit/>
        </w:trPr>
        <w:tc>
          <w:tcPr>
            <w:tcW w:type="dxa" w:w="20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Frontend</w:t>
            </w:r>
          </w:p>
        </w:tc>
        <w:tc>
          <w:tcPr>
            <w:tcW w:type="dxa" w:w="33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Next.js 14, TypeScript, Tailwind CSS, Zustand</w:t>
            </w:r>
          </w:p>
        </w:tc>
        <w:tc>
          <w:tcPr>
            <w:tcW w:type="dxa" w:w="40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Interfaz de usuario, filtros, navegación y estado</w:t>
            </w:r>
          </w:p>
        </w:tc>
      </w:tr>
      <w:tr>
        <w:trPr>
          <w:cantSplit/>
        </w:trPr>
        <w:tc>
          <w:tcPr>
            <w:tcW w:type="dxa" w:w="20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Gráficos</w:t>
            </w:r>
          </w:p>
        </w:tc>
        <w:tc>
          <w:tcPr>
            <w:tcW w:type="dxa" w:w="33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Plotly.js y Recharts</w:t>
            </w:r>
          </w:p>
        </w:tc>
        <w:tc>
          <w:tcPr>
            <w:tcW w:type="dxa" w:w="40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Barras, donas, radar, mapas de alineación y tendencias</w:t>
            </w:r>
          </w:p>
        </w:tc>
      </w:tr>
      <w:tr>
        <w:trPr>
          <w:cantSplit/>
        </w:trPr>
        <w:tc>
          <w:tcPr>
            <w:tcW w:type="dxa" w:w="20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Backend</w:t>
            </w:r>
          </w:p>
        </w:tc>
        <w:tc>
          <w:tcPr>
            <w:tcW w:type="dxa" w:w="33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FastAPI, SQLAlchemy asíncrono, Pydantic v2</w:t>
            </w:r>
          </w:p>
        </w:tc>
        <w:tc>
          <w:tcPr>
            <w:tcW w:type="dxa" w:w="40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API de consulta y reglas de negocio (cálculo de cumplimiento y semáforo)</w:t>
            </w:r>
          </w:p>
        </w:tc>
      </w:tr>
      <w:tr>
        <w:trPr>
          <w:cantSplit/>
        </w:trPr>
        <w:tc>
          <w:tcPr>
            <w:tcW w:type="dxa" w:w="20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Base de datos</w:t>
            </w:r>
          </w:p>
        </w:tc>
        <w:tc>
          <w:tcPr>
            <w:tcW w:type="dxa" w:w="33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PostgreSQL 16</w:t>
            </w:r>
          </w:p>
        </w:tc>
        <w:tc>
          <w:tcPr>
            <w:tcW w:type="dxa" w:w="40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Oportunidades de mejora, usuarios, roles y auditoría</w:t>
            </w:r>
          </w:p>
        </w:tc>
      </w:tr>
      <w:tr>
        <w:trPr>
          <w:cantSplit/>
        </w:trPr>
        <w:tc>
          <w:tcPr>
            <w:tcW w:type="dxa" w:w="20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Fuentes de indicadores</w:t>
            </w:r>
          </w:p>
        </w:tc>
        <w:tc>
          <w:tcPr>
            <w:tcW w:type="dxa" w:w="33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Consolidado de resultados (Excel) y catálogos institucionales</w:t>
            </w:r>
          </w:p>
        </w:tc>
        <w:tc>
          <w:tcPr>
            <w:tcW w:type="dxa" w:w="40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Indicadores, metas, ejecuciones, retos y proyectos</w:t>
            </w:r>
          </w:p>
        </w:tc>
      </w:tr>
      <w:tr>
        <w:trPr>
          <w:cantSplit/>
        </w:trPr>
        <w:tc>
          <w:tcPr>
            <w:tcW w:type="dxa" w:w="20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Autenticación</w:t>
            </w:r>
          </w:p>
        </w:tc>
        <w:tc>
          <w:tcPr>
            <w:tcW w:type="dxa" w:w="33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Azure AD (MSAL) y JWT</w:t>
            </w:r>
          </w:p>
        </w:tc>
        <w:tc>
          <w:tcPr>
            <w:tcW w:type="dxa" w:w="40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Inicio de sesión institucional y permisos por rol</w:t>
            </w:r>
          </w:p>
        </w:tc>
      </w:tr>
      <w:tr>
        <w:trPr>
          <w:cantSplit/>
        </w:trPr>
        <w:tc>
          <w:tcPr>
            <w:tcW w:type="dxa" w:w="20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Reportes</w:t>
            </w:r>
          </w:p>
        </w:tc>
        <w:tc>
          <w:tcPr>
            <w:tcW w:type="dxa" w:w="33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ReportLab</w:t>
            </w:r>
          </w:p>
        </w:tc>
        <w:tc>
          <w:tcPr>
            <w:tcW w:type="dxa" w:w="40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Informe Ejecutivo e Informe por Procesos en PDF</w:t>
            </w:r>
          </w:p>
        </w:tc>
      </w:tr>
      <w:tr>
        <w:trPr>
          <w:cantSplit/>
        </w:trPr>
        <w:tc>
          <w:tcPr>
            <w:tcW w:type="dxa" w:w="20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Calidad y despliegue</w:t>
            </w:r>
          </w:p>
        </w:tc>
        <w:tc>
          <w:tcPr>
            <w:tcW w:type="dxa" w:w="33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Playwright, Docker, GitHub Actions, Vercel y Render</w:t>
            </w:r>
          </w:p>
        </w:tc>
        <w:tc>
          <w:tcPr>
            <w:tcW w:type="dxa" w:w="40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Pruebas, contenedores, integración continua; interfaz en Vercel y API en Render</w:t>
            </w:r>
          </w:p>
        </w:tc>
      </w:tr>
    </w:tbl>
    <w:p>
      <w:pPr>
        <w:spacing w:after="100"/>
      </w:pPr>
    </w:p>
    <w:p>
      <w:pPr>
        <w:spacing w:after="120" w:line="300"/>
      </w:pPr>
      <w:r>
        <w:rPr>
          <w:rFonts w:ascii="Montserrat" w:cs="Montserrat" w:eastAsia="Montserrat" w:hAnsi="Montserrat"/>
        </w:rPr>
        <w:t xml:space="preserve">Los datos se actualizan mediante un proceso de consolidación automático cada mes a partir de Kawak y de los catálogos institucionales (secciones 6 y 7); el aplicativo muestra al pie de cada pantalla la fecha de la última actualización.</w:t>
      </w:r>
    </w:p>
    <w:p>
      <w:pPr>
        <w:pStyle w:val="Heading1"/>
        <w:pageBreakBefore/>
      </w:pPr>
      <w:r>
        <w:rPr>
          <w:rFonts w:ascii="Montserrat" w:cs="Montserrat" w:eastAsia="Montserrat" w:hAnsi="Montserrat"/>
        </w:rPr>
        <w:t xml:space="preserve">5. Recorrido por el aplicativo</w:t>
      </w:r>
    </w:p>
    <w:p>
      <w:pPr>
        <w:spacing w:after="120" w:line="300"/>
      </w:pPr>
      <w:r>
        <w:rPr>
          <w:rFonts w:ascii="Montserrat" w:cs="Montserrat" w:eastAsia="Montserrat" w:hAnsi="Montserrat"/>
        </w:rPr>
        <w:t xml:space="preserve">Cada módulo se presenta con su propósito, sus secciones, sus funcionalidades y un pantallazo del aplicativo en producción.</w:t>
      </w:r>
    </w:p>
    <w:p>
      <w:pPr>
        <w:pStyle w:val="Heading2"/>
        <w:keepNext/>
      </w:pPr>
      <w:r>
        <w:rPr>
          <w:rFonts w:ascii="Montserrat" w:cs="Montserrat" w:eastAsia="Montserrat" w:hAnsi="Montserrat"/>
        </w:rPr>
        <w:t xml:space="preserve">5.1 Acceso, menú principal y selección de PDI</w:t>
      </w:r>
    </w:p>
    <w:p>
      <w:pPr>
        <w:spacing w:after="120" w:line="300"/>
      </w:pPr>
      <w:r>
        <w:rPr>
          <w:rFonts w:ascii="Montserrat" w:cs="Montserrat" w:eastAsia="Montserrat" w:hAnsi="Montserrat"/>
        </w:rPr>
        <w:t xml:space="preserve">El ingreso se hace con el correo institucional. Después del inicio de sesión, el Panel de indicadores muestra los módulos como una ruta visual: Resumen General, CMI Estratégico, CMI por Procesos, Informe por Procesos, Indicadores POLISIGS y Plan de Mejoramiento. El botón Sección Operativa, visible para los roles de gestión, da acceso al Seguimiento Operativo y a la Gestión de OM.</w:t>
      </w:r>
    </w:p>
    <w:p>
      <w:pPr>
        <w:keepNext/>
        <w:pBdr>
          <w:top w:val="single" w:color="D0D7DE" w:sz="4"/>
          <w:left w:val="single" w:color="D0D7DE" w:sz="4"/>
          <w:bottom w:val="single" w:color="D0D7DE" w:sz="4"/>
          <w:right w:val="single" w:color="D0D7DE" w:sz="4"/>
        </w:pBdr>
        <w:spacing w:after="40" w:before="120"/>
        <w:jc w:val="center"/>
      </w:pPr>
      <w:r>
        <w:drawing>
          <wp:inline distT="0" distB="0" distL="0" distR="0">
            <wp:extent cx="5334000" cy="3333750"/>
            <wp:effectExtent t="0" r="0" b="0" l="0"/>
            <wp:docPr id="2" name="menu" descr="Figura 1. Panel de indicadores: menú principal de módulos" title="Figura 1. Panel de indicadores: menú principal de módu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Montserrat" w:cs="Montserrat" w:eastAsia="Montserrat" w:hAnsi="Montserrat"/>
          <w:i/>
          <w:iCs/>
          <w:color w:val="666666"/>
          <w:sz w:val="16"/>
          <w:szCs w:val="16"/>
        </w:rPr>
        <w:t xml:space="preserve">Figura 1. Panel de indicadores: menú principal de módulos</w:t>
      </w:r>
    </w:p>
    <w:p>
      <w:pPr>
        <w:spacing w:after="120" w:line="300"/>
      </w:pPr>
      <w:r>
        <w:rPr>
          <w:rFonts w:ascii="Montserrat" w:cs="Montserrat" w:eastAsia="Montserrat" w:hAnsi="Montserrat"/>
        </w:rPr>
        <w:t xml:space="preserve">Al entrar a un módulo analítico, el sistema pide elegir el Plan de Desarrollo Institucional. Cada PDI tiene su propio catálogo de indicadores, líneas, objetivos y metas, y los datos de un ciclo nunca se mezclan con los del otro.</w:t>
      </w:r>
    </w:p>
    <w:p>
      <w:pPr>
        <w:keepNext/>
        <w:pBdr>
          <w:top w:val="single" w:color="D0D7DE" w:sz="4"/>
          <w:left w:val="single" w:color="D0D7DE" w:sz="4"/>
          <w:bottom w:val="single" w:color="D0D7DE" w:sz="4"/>
          <w:right w:val="single" w:color="D0D7DE" w:sz="4"/>
        </w:pBdr>
        <w:spacing w:after="40" w:before="120"/>
        <w:jc w:val="center"/>
      </w:pPr>
      <w:r>
        <w:drawing>
          <wp:inline distT="0" distB="0" distL="0" distR="0">
            <wp:extent cx="5334000" cy="3343275"/>
            <wp:effectExtent t="0" r="0" b="0" l="0"/>
            <wp:docPr id="3" name="pdi" descr="Figura 2. Selector de PDI: ciclo vigente 2026-2030 y ciclo cerrado 2022-2026" title="Figura 2. Selector de PDI: ciclo vigente 2026-2030 y ciclo cerrado 2022-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43275"/>
                    </a:xfrm>
                    <a:prstGeom prst="rect">
                      <a:avLst/>
                    </a:prstGeom>
                  </pic:spPr>
                </pic:pic>
              </a:graphicData>
            </a:graphic>
          </wp:inline>
        </w:drawing>
      </w:r>
    </w:p>
    <w:p>
      <w:pPr>
        <w:spacing w:after="160"/>
        <w:jc w:val="center"/>
      </w:pPr>
      <w:r>
        <w:rPr>
          <w:rFonts w:ascii="Montserrat" w:cs="Montserrat" w:eastAsia="Montserrat" w:hAnsi="Montserrat"/>
          <w:i/>
          <w:iCs/>
          <w:color w:val="666666"/>
          <w:sz w:val="16"/>
          <w:szCs w:val="16"/>
        </w:rPr>
        <w:t xml:space="preserve">Figura 2. Selector de PDI: ciclo vigente 2026-2030 y ciclo cerrado 2022-2026</w:t>
      </w:r>
    </w:p>
    <w:p>
      <w:pPr>
        <w:pStyle w:val="Heading2"/>
        <w:keepNext/>
      </w:pPr>
      <w:r>
        <w:rPr>
          <w:rFonts w:ascii="Montserrat" w:cs="Montserrat" w:eastAsia="Montserrat" w:hAnsi="Montserrat"/>
        </w:rPr>
        <w:t xml:space="preserve">5.2 Resumen General</w:t>
      </w:r>
    </w:p>
    <w:p>
      <w:pPr>
        <w:spacing w:after="120" w:line="300"/>
      </w:pPr>
      <w:r>
        <w:rPr>
          <w:rFonts w:ascii="Montserrat" w:cs="Montserrat" w:eastAsia="Montserrat" w:hAnsi="Montserrat"/>
        </w:rPr>
        <w:t xml:space="preserve">Propósito: dar a la dirección una vista panorámica y consolidada del PDI en una sola pantalla.</w:t>
      </w:r>
    </w:p>
    <w:p>
      <w:pPr>
        <w:keepNext/>
        <w:spacing w:after="80" w:before="160"/>
      </w:pPr>
      <w:r>
        <w:rPr>
          <w:rFonts w:ascii="Montserrat" w:cs="Montserrat" w:eastAsia="Montserrat" w:hAnsi="Montserrat"/>
          <w:b/>
          <w:bCs/>
          <w:color w:val="263A58"/>
          <w:sz w:val="21"/>
          <w:szCs w:val="21"/>
        </w:rPr>
        <w:t xml:space="preserve">Secciones y funcionalidades</w:t>
      </w:r>
    </w:p>
    <w:p>
      <w:pPr>
        <w:pStyle w:val="ListParagraph"/>
        <w:numPr>
          <w:ilvl w:val="0"/>
          <w:numId w:val="2"/>
        </w:numPr>
        <w:spacing w:after="70" w:line="285"/>
      </w:pPr>
      <w:r>
        <w:rPr>
          <w:rFonts w:ascii="Montserrat" w:cs="Montserrat" w:eastAsia="Montserrat" w:hAnsi="Montserrat"/>
          <w:b/>
          <w:bCs/>
        </w:rPr>
        <w:t xml:space="preserve">Cabecera. </w:t>
      </w:r>
      <w:r>
        <w:rPr>
          <w:rFonts w:ascii="Montserrat" w:cs="Montserrat" w:eastAsia="Montserrat" w:hAnsi="Montserrat"/>
        </w:rPr>
        <w:t xml:space="preserve">Encabezado con selector de PDI y accesos directos a Consolidado por Línea e Informe Ejecutivo (PDF).</w:t>
      </w:r>
    </w:p>
    <w:p>
      <w:pPr>
        <w:pStyle w:val="ListParagraph"/>
        <w:numPr>
          <w:ilvl w:val="0"/>
          <w:numId w:val="2"/>
        </w:numPr>
        <w:spacing w:after="70" w:line="285"/>
      </w:pPr>
      <w:r>
        <w:rPr>
          <w:rFonts w:ascii="Montserrat" w:cs="Montserrat" w:eastAsia="Montserrat" w:hAnsi="Montserrat"/>
          <w:b/>
          <w:bCs/>
        </w:rPr>
        <w:t xml:space="preserve">Vistas. </w:t>
      </w:r>
      <w:r>
        <w:rPr>
          <w:rFonts w:ascii="Montserrat" w:cs="Montserrat" w:eastAsia="Montserrat" w:hAnsi="Montserrat"/>
        </w:rPr>
        <w:t xml:space="preserve">Cuatro vistas: Consolidado, Plan de Retos, Proyectos e Indicadores.</w:t>
      </w:r>
    </w:p>
    <w:p>
      <w:pPr>
        <w:pStyle w:val="ListParagraph"/>
        <w:numPr>
          <w:ilvl w:val="0"/>
          <w:numId w:val="2"/>
        </w:numPr>
        <w:spacing w:after="70" w:line="285"/>
      </w:pPr>
      <w:r>
        <w:rPr>
          <w:rFonts w:ascii="Montserrat" w:cs="Montserrat" w:eastAsia="Montserrat" w:hAnsi="Montserrat"/>
          <w:b/>
          <w:bCs/>
        </w:rPr>
        <w:t xml:space="preserve">Filtro de año. </w:t>
      </w:r>
      <w:r>
        <w:rPr>
          <w:rFonts w:ascii="Montserrat" w:cs="Montserrat" w:eastAsia="Montserrat" w:hAnsi="Montserrat"/>
        </w:rPr>
        <w:t xml:space="preserve">Años 2022, 2023, 2024, 2025 y Cierre PDI 2022-2025 como corte acumulado.</w:t>
      </w:r>
    </w:p>
    <w:p>
      <w:pPr>
        <w:pStyle w:val="ListParagraph"/>
        <w:numPr>
          <w:ilvl w:val="0"/>
          <w:numId w:val="2"/>
        </w:numPr>
        <w:spacing w:after="70" w:line="285"/>
      </w:pPr>
      <w:r>
        <w:rPr>
          <w:rFonts w:ascii="Montserrat" w:cs="Montserrat" w:eastAsia="Montserrat" w:hAnsi="Montserrat"/>
          <w:b/>
          <w:bCs/>
        </w:rPr>
        <w:t xml:space="preserve">Indicadores clave. </w:t>
      </w:r>
      <w:r>
        <w:rPr>
          <w:rFonts w:ascii="Montserrat" w:cs="Montserrat" w:eastAsia="Montserrat" w:hAnsi="Montserrat"/>
        </w:rPr>
        <w:t xml:space="preserve">Cumplimiento PDI, número de indicadores, proyectos y áreas con retos.</w:t>
      </w:r>
    </w:p>
    <w:p>
      <w:pPr>
        <w:pStyle w:val="ListParagraph"/>
        <w:numPr>
          <w:ilvl w:val="0"/>
          <w:numId w:val="2"/>
        </w:numPr>
        <w:spacing w:after="70" w:line="285"/>
      </w:pPr>
      <w:r>
        <w:rPr>
          <w:rFonts w:ascii="Montserrat" w:cs="Montserrat" w:eastAsia="Montserrat" w:hAnsi="Montserrat"/>
          <w:b/>
          <w:bCs/>
        </w:rPr>
        <w:t xml:space="preserve">Líneas estratégicas. </w:t>
      </w:r>
      <w:r>
        <w:rPr>
          <w:rFonts w:ascii="Montserrat" w:cs="Montserrat" w:eastAsia="Montserrat" w:hAnsi="Montserrat"/>
        </w:rPr>
        <w:t xml:space="preserve">Tarjetas de color por línea estratégica con su porcentaje de cumplimiento y número de indicadores y proyectos.</w:t>
      </w:r>
    </w:p>
    <w:p>
      <w:pPr>
        <w:pStyle w:val="ListParagraph"/>
        <w:numPr>
          <w:ilvl w:val="0"/>
          <w:numId w:val="2"/>
        </w:numPr>
        <w:spacing w:after="70" w:line="285"/>
      </w:pPr>
      <w:r>
        <w:rPr>
          <w:rFonts w:ascii="Montserrat" w:cs="Montserrat" w:eastAsia="Montserrat" w:hAnsi="Montserrat"/>
          <w:b/>
          <w:bCs/>
        </w:rPr>
        <w:t xml:space="preserve">Alineación de objetivos. </w:t>
      </w:r>
      <w:r>
        <w:rPr>
          <w:rFonts w:ascii="Montserrat" w:cs="Montserrat" w:eastAsia="Montserrat" w:hAnsi="Montserrat"/>
        </w:rPr>
        <w:t xml:space="preserve">Mapa interactivo que une cada línea con sus objetivos estratégicos; al pasar el cursor muestra el detalle y las alertas.</w:t>
      </w:r>
    </w:p>
    <w:p>
      <w:pPr>
        <w:pStyle w:val="ListParagraph"/>
        <w:numPr>
          <w:ilvl w:val="0"/>
          <w:numId w:val="2"/>
        </w:numPr>
        <w:spacing w:after="70" w:line="285"/>
      </w:pPr>
      <w:r>
        <w:rPr>
          <w:rFonts w:ascii="Montserrat" w:cs="Montserrat" w:eastAsia="Montserrat" w:hAnsi="Montserrat"/>
          <w:b/>
          <w:bCs/>
        </w:rPr>
        <w:t xml:space="preserve">Narrativa del periodo. </w:t>
      </w:r>
      <w:r>
        <w:rPr>
          <w:rFonts w:ascii="Montserrat" w:cs="Montserrat" w:eastAsia="Montserrat" w:hAnsi="Montserrat"/>
        </w:rPr>
        <w:t xml:space="preserve">Texto automático que resume el desempeño del periodo, la línea líder y la mayor brecha.</w:t>
      </w:r>
    </w:p>
    <w:p>
      <w:pPr>
        <w:pStyle w:val="ListParagraph"/>
        <w:numPr>
          <w:ilvl w:val="0"/>
          <w:numId w:val="2"/>
        </w:numPr>
        <w:spacing w:after="70" w:line="285"/>
      </w:pPr>
      <w:r>
        <w:rPr>
          <w:rFonts w:ascii="Montserrat" w:cs="Montserrat" w:eastAsia="Montserrat" w:hAnsi="Montserrat"/>
          <w:b/>
          <w:bCs/>
        </w:rPr>
        <w:t xml:space="preserve">Paneles de síntesis. </w:t>
      </w:r>
      <w:r>
        <w:rPr>
          <w:rFonts w:ascii="Montserrat" w:cs="Montserrat" w:eastAsia="Montserrat" w:hAnsi="Montserrat"/>
        </w:rPr>
        <w:t xml:space="preserve">Balance consolidado, logros clave en cifras y foco y retos priorizados.</w:t>
      </w:r>
    </w:p>
    <w:p>
      <w:pPr>
        <w:keepNext/>
        <w:pBdr>
          <w:top w:val="single" w:color="D0D7DE" w:sz="4"/>
          <w:left w:val="single" w:color="D0D7DE" w:sz="4"/>
          <w:bottom w:val="single" w:color="D0D7DE" w:sz="4"/>
          <w:right w:val="single" w:color="D0D7DE" w:sz="4"/>
        </w:pBdr>
        <w:spacing w:after="40" w:before="120"/>
        <w:jc w:val="center"/>
      </w:pPr>
      <w:r>
        <w:drawing>
          <wp:inline distT="0" distB="0" distL="0" distR="0">
            <wp:extent cx="5334000" cy="3343275"/>
            <wp:effectExtent t="0" r="0" b="0" l="0"/>
            <wp:docPr id="4" name="res1" descr="Figura 3. Resumen General: cabecera, vistas, años e indicadores clave" title="Figura 3. Resumen General: cabecera, vistas, años e indicadores cl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43275"/>
                    </a:xfrm>
                    <a:prstGeom prst="rect">
                      <a:avLst/>
                    </a:prstGeom>
                  </pic:spPr>
                </pic:pic>
              </a:graphicData>
            </a:graphic>
          </wp:inline>
        </w:drawing>
      </w:r>
    </w:p>
    <w:p>
      <w:pPr>
        <w:spacing w:after="160"/>
        <w:jc w:val="center"/>
      </w:pPr>
      <w:r>
        <w:rPr>
          <w:rFonts w:ascii="Montserrat" w:cs="Montserrat" w:eastAsia="Montserrat" w:hAnsi="Montserrat"/>
          <w:i/>
          <w:iCs/>
          <w:color w:val="666666"/>
          <w:sz w:val="16"/>
          <w:szCs w:val="16"/>
        </w:rPr>
        <w:t xml:space="preserve">Figura 3. Resumen General: cabecera, vistas, años e indicadores clave</w:t>
      </w:r>
    </w:p>
    <w:p>
      <w:pPr>
        <w:keepNext/>
        <w:pBdr>
          <w:top w:val="single" w:color="D0D7DE" w:sz="4"/>
          <w:left w:val="single" w:color="D0D7DE" w:sz="4"/>
          <w:bottom w:val="single" w:color="D0D7DE" w:sz="4"/>
          <w:right w:val="single" w:color="D0D7DE" w:sz="4"/>
        </w:pBdr>
        <w:spacing w:after="40" w:before="120"/>
        <w:jc w:val="center"/>
      </w:pPr>
      <w:r>
        <w:drawing>
          <wp:inline distT="0" distB="0" distL="0" distR="0">
            <wp:extent cx="5334000" cy="3343275"/>
            <wp:effectExtent t="0" r="0" b="0" l="0"/>
            <wp:docPr id="5" name="res2" descr="Figura 4. Resumen General: alineación de objetivos estratégicos por línea" title="Figura 4. Resumen General: alineación de objetivos estratégicos por lín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43275"/>
                    </a:xfrm>
                    <a:prstGeom prst="rect">
                      <a:avLst/>
                    </a:prstGeom>
                  </pic:spPr>
                </pic:pic>
              </a:graphicData>
            </a:graphic>
          </wp:inline>
        </w:drawing>
      </w:r>
    </w:p>
    <w:p>
      <w:pPr>
        <w:spacing w:after="160"/>
        <w:jc w:val="center"/>
      </w:pPr>
      <w:r>
        <w:rPr>
          <w:rFonts w:ascii="Montserrat" w:cs="Montserrat" w:eastAsia="Montserrat" w:hAnsi="Montserrat"/>
          <w:i/>
          <w:iCs/>
          <w:color w:val="666666"/>
          <w:sz w:val="16"/>
          <w:szCs w:val="16"/>
        </w:rPr>
        <w:t xml:space="preserve">Figura 4. Resumen General: alineación de objetivos estratégicos por línea</w:t>
      </w:r>
    </w:p>
    <w:p>
      <w:pPr>
        <w:keepNext/>
        <w:pBdr>
          <w:top w:val="single" w:color="D0D7DE" w:sz="4"/>
          <w:left w:val="single" w:color="D0D7DE" w:sz="4"/>
          <w:bottom w:val="single" w:color="D0D7DE" w:sz="4"/>
          <w:right w:val="single" w:color="D0D7DE" w:sz="4"/>
        </w:pBdr>
        <w:spacing w:after="40" w:before="120"/>
        <w:jc w:val="center"/>
      </w:pPr>
      <w:r>
        <w:drawing>
          <wp:inline distT="0" distB="0" distL="0" distR="0">
            <wp:extent cx="5334000" cy="3343275"/>
            <wp:effectExtent t="0" r="0" b="0" l="0"/>
            <wp:docPr id="6" name="res3" descr="Figura 5. Resumen General: narrativa del periodo, balance, logros y foco" title="Figura 5. Resumen General: narrativa del periodo, balance, logros y fo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43275"/>
                    </a:xfrm>
                    <a:prstGeom prst="rect">
                      <a:avLst/>
                    </a:prstGeom>
                  </pic:spPr>
                </pic:pic>
              </a:graphicData>
            </a:graphic>
          </wp:inline>
        </w:drawing>
      </w:r>
    </w:p>
    <w:p>
      <w:pPr>
        <w:spacing w:after="160"/>
        <w:jc w:val="center"/>
      </w:pPr>
      <w:r>
        <w:rPr>
          <w:rFonts w:ascii="Montserrat" w:cs="Montserrat" w:eastAsia="Montserrat" w:hAnsi="Montserrat"/>
          <w:i/>
          <w:iCs/>
          <w:color w:val="666666"/>
          <w:sz w:val="16"/>
          <w:szCs w:val="16"/>
        </w:rPr>
        <w:t xml:space="preserve">Figura 5. Resumen General: narrativa del periodo, balance, logros y foco</w:t>
      </w:r>
    </w:p>
    <w:p>
      <w:pPr>
        <w:keepNext/>
        <w:spacing w:after="80" w:before="160"/>
      </w:pPr>
      <w:r>
        <w:rPr>
          <w:rFonts w:ascii="Montserrat" w:cs="Montserrat" w:eastAsia="Montserrat" w:hAnsi="Montserrat"/>
          <w:b/>
          <w:bCs/>
          <w:color w:val="263A58"/>
          <w:sz w:val="21"/>
          <w:szCs w:val="21"/>
        </w:rPr>
        <w:t xml:space="preserve">Vista de Proyectos</w:t>
      </w:r>
    </w:p>
    <w:p>
      <w:pPr>
        <w:spacing w:after="120" w:line="300"/>
      </w:pPr>
      <w:r>
        <w:rPr>
          <w:rFonts w:ascii="Montserrat" w:cs="Montserrat" w:eastAsia="Montserrat" w:hAnsi="Montserrat"/>
        </w:rPr>
        <w:t xml:space="preserve">Muestra el portafolio de proyectos institucionales: total de proyectos, cerrados, en ejecución y en planeación, el cumplimiento por línea y un mapa de alineación propio del portafolio, con una narrativa que resume el estado.</w:t>
      </w:r>
    </w:p>
    <w:p>
      <w:pPr>
        <w:keepNext/>
        <w:pBdr>
          <w:top w:val="single" w:color="D0D7DE" w:sz="4"/>
          <w:left w:val="single" w:color="D0D7DE" w:sz="4"/>
          <w:bottom w:val="single" w:color="D0D7DE" w:sz="4"/>
          <w:right w:val="single" w:color="D0D7DE" w:sz="4"/>
        </w:pBdr>
        <w:spacing w:after="40" w:before="120"/>
        <w:jc w:val="center"/>
      </w:pPr>
      <w:r>
        <w:drawing>
          <wp:inline distT="0" distB="0" distL="0" distR="0">
            <wp:extent cx="5334000" cy="3343275"/>
            <wp:effectExtent t="0" r="0" b="0" l="0"/>
            <wp:docPr id="7" name="proy1" descr="Figura 6. Vista de Proyectos: estado del portafolio y cumplimiento por línea" title="Figura 6. Vista de Proyectos: estado del portafolio y cumplimiento por lín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43275"/>
                    </a:xfrm>
                    <a:prstGeom prst="rect">
                      <a:avLst/>
                    </a:prstGeom>
                  </pic:spPr>
                </pic:pic>
              </a:graphicData>
            </a:graphic>
          </wp:inline>
        </w:drawing>
      </w:r>
    </w:p>
    <w:p>
      <w:pPr>
        <w:spacing w:after="160"/>
        <w:jc w:val="center"/>
      </w:pPr>
      <w:r>
        <w:rPr>
          <w:rFonts w:ascii="Montserrat" w:cs="Montserrat" w:eastAsia="Montserrat" w:hAnsi="Montserrat"/>
          <w:i/>
          <w:iCs/>
          <w:color w:val="666666"/>
          <w:sz w:val="16"/>
          <w:szCs w:val="16"/>
        </w:rPr>
        <w:t xml:space="preserve">Figura 6. Vista de Proyectos: estado del portafolio y cumplimiento por línea</w:t>
      </w:r>
    </w:p>
    <w:p>
      <w:pPr>
        <w:keepNext/>
        <w:spacing w:after="80" w:before="160"/>
      </w:pPr>
      <w:r>
        <w:rPr>
          <w:rFonts w:ascii="Montserrat" w:cs="Montserrat" w:eastAsia="Montserrat" w:hAnsi="Montserrat"/>
          <w:b/>
          <w:bCs/>
          <w:color w:val="263A58"/>
          <w:sz w:val="21"/>
          <w:szCs w:val="21"/>
        </w:rPr>
        <w:t xml:space="preserve">Vista de Plan de Retos</w:t>
      </w:r>
    </w:p>
    <w:p>
      <w:pPr>
        <w:spacing w:after="120" w:line="300"/>
      </w:pPr>
      <w:r>
        <w:rPr>
          <w:rFonts w:ascii="Montserrat" w:cs="Montserrat" w:eastAsia="Montserrat" w:hAnsi="Montserrat"/>
        </w:rPr>
        <w:t xml:space="preserve">Presenta las áreas con retos, el porcentaje de meta esperada, el cumplimiento general y el avance por línea estratégica.</w:t>
      </w:r>
    </w:p>
    <w:p>
      <w:pPr>
        <w:keepNext/>
        <w:pBdr>
          <w:top w:val="single" w:color="D0D7DE" w:sz="4"/>
          <w:left w:val="single" w:color="D0D7DE" w:sz="4"/>
          <w:bottom w:val="single" w:color="D0D7DE" w:sz="4"/>
          <w:right w:val="single" w:color="D0D7DE" w:sz="4"/>
        </w:pBdr>
        <w:spacing w:after="40" w:before="120"/>
        <w:jc w:val="center"/>
      </w:pPr>
      <w:r>
        <w:drawing>
          <wp:inline distT="0" distB="0" distL="0" distR="0">
            <wp:extent cx="5334000" cy="3343275"/>
            <wp:effectExtent t="0" r="0" b="0" l="0"/>
            <wp:docPr id="8" name="retos" descr="Figura 7. Vista de Plan de Retos" title="Figura 7. Vista de Plan de 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43275"/>
                    </a:xfrm>
                    <a:prstGeom prst="rect">
                      <a:avLst/>
                    </a:prstGeom>
                  </pic:spPr>
                </pic:pic>
              </a:graphicData>
            </a:graphic>
          </wp:inline>
        </w:drawing>
      </w:r>
    </w:p>
    <w:p>
      <w:pPr>
        <w:spacing w:after="160"/>
        <w:jc w:val="center"/>
      </w:pPr>
      <w:r>
        <w:rPr>
          <w:rFonts w:ascii="Montserrat" w:cs="Montserrat" w:eastAsia="Montserrat" w:hAnsi="Montserrat"/>
          <w:i/>
          <w:iCs/>
          <w:color w:val="666666"/>
          <w:sz w:val="16"/>
          <w:szCs w:val="16"/>
        </w:rPr>
        <w:t xml:space="preserve">Figura 7. Vista de Plan de Retos</w:t>
      </w:r>
    </w:p>
    <w:p>
      <w:pPr>
        <w:pStyle w:val="Heading2"/>
        <w:keepNext/>
      </w:pPr>
      <w:r>
        <w:rPr>
          <w:rFonts w:ascii="Montserrat" w:cs="Montserrat" w:eastAsia="Montserrat" w:hAnsi="Montserrat"/>
        </w:rPr>
        <w:t xml:space="preserve">5.3 CMI Estratégico</w:t>
      </w:r>
    </w:p>
    <w:p>
      <w:pPr>
        <w:spacing w:after="120" w:line="300"/>
      </w:pPr>
      <w:r>
        <w:rPr>
          <w:rFonts w:ascii="Montserrat" w:cs="Montserrat" w:eastAsia="Montserrat" w:hAnsi="Montserrat"/>
        </w:rPr>
        <w:t xml:space="preserve">Propósito: seguir el cumplimiento de los indicadores del PDI por línea estratégica, objetivo y meta, con detalle hasta cada indicador.</w:t>
      </w:r>
    </w:p>
    <w:p>
      <w:pPr>
        <w:keepNext/>
        <w:spacing w:after="80" w:before="160"/>
      </w:pPr>
      <w:r>
        <w:rPr>
          <w:rFonts w:ascii="Montserrat" w:cs="Montserrat" w:eastAsia="Montserrat" w:hAnsi="Montserrat"/>
          <w:b/>
          <w:bCs/>
          <w:color w:val="263A58"/>
          <w:sz w:val="21"/>
          <w:szCs w:val="21"/>
        </w:rPr>
        <w:t xml:space="preserve">Secciones y funcionalidades</w:t>
      </w:r>
    </w:p>
    <w:p>
      <w:pPr>
        <w:pStyle w:val="ListParagraph"/>
        <w:numPr>
          <w:ilvl w:val="0"/>
          <w:numId w:val="2"/>
        </w:numPr>
        <w:spacing w:after="70" w:line="285"/>
      </w:pPr>
      <w:r>
        <w:rPr>
          <w:rFonts w:ascii="Montserrat" w:cs="Montserrat" w:eastAsia="Montserrat" w:hAnsi="Montserrat"/>
          <w:b/>
          <w:bCs/>
        </w:rPr>
        <w:t xml:space="preserve">Filtros. </w:t>
      </w:r>
      <w:r>
        <w:rPr>
          <w:rFonts w:ascii="Montserrat" w:cs="Montserrat" w:eastAsia="Montserrat" w:hAnsi="Montserrat"/>
        </w:rPr>
        <w:t xml:space="preserve">Año de corte (2022 a 2025 y Cierre PDI), opción de mostrar solo indicadores con reporte y botón para restablecer.</w:t>
      </w:r>
    </w:p>
    <w:p>
      <w:pPr>
        <w:pStyle w:val="ListParagraph"/>
        <w:numPr>
          <w:ilvl w:val="0"/>
          <w:numId w:val="2"/>
        </w:numPr>
        <w:spacing w:after="70" w:line="285"/>
      </w:pPr>
      <w:r>
        <w:rPr>
          <w:rFonts w:ascii="Montserrat" w:cs="Montserrat" w:eastAsia="Montserrat" w:hAnsi="Montserrat"/>
          <w:b/>
          <w:bCs/>
        </w:rPr>
        <w:t xml:space="preserve">Resumen Desglosado. </w:t>
      </w:r>
      <w:r>
        <w:rPr>
          <w:rFonts w:ascii="Montserrat" w:cs="Montserrat" w:eastAsia="Montserrat" w:hAnsi="Montserrat"/>
        </w:rPr>
        <w:t xml:space="preserve">Indicadores del PDI, promedio de cumplimiento, nivel predominante e indicadores en riesgo; gráfico de cumplimiento por línea con la meta del 100 % y distribución por nivel de semáforo.</w:t>
      </w:r>
    </w:p>
    <w:p>
      <w:pPr>
        <w:pStyle w:val="ListParagraph"/>
        <w:numPr>
          <w:ilvl w:val="0"/>
          <w:numId w:val="2"/>
        </w:numPr>
        <w:spacing w:after="70" w:line="285"/>
      </w:pPr>
      <w:r>
        <w:rPr>
          <w:rFonts w:ascii="Montserrat" w:cs="Montserrat" w:eastAsia="Montserrat" w:hAnsi="Montserrat"/>
          <w:b/>
          <w:bCs/>
        </w:rPr>
        <w:t xml:space="preserve">Líneas Estratégicas. </w:t>
      </w:r>
      <w:r>
        <w:rPr>
          <w:rFonts w:ascii="Montserrat" w:cs="Montserrat" w:eastAsia="Montserrat" w:hAnsi="Montserrat"/>
        </w:rPr>
        <w:t xml:space="preserve">Una tarjeta por línea con su cumplimiento, número de indicadores, objetivos y metas, y acceso al detalle.</w:t>
      </w:r>
    </w:p>
    <w:p>
      <w:pPr>
        <w:pStyle w:val="ListParagraph"/>
        <w:numPr>
          <w:ilvl w:val="0"/>
          <w:numId w:val="2"/>
        </w:numPr>
        <w:spacing w:after="70" w:line="285"/>
      </w:pPr>
      <w:r>
        <w:rPr>
          <w:rFonts w:ascii="Montserrat" w:cs="Montserrat" w:eastAsia="Montserrat" w:hAnsi="Montserrat"/>
          <w:b/>
          <w:bCs/>
        </w:rPr>
        <w:t xml:space="preserve">Listado de Indicadores. </w:t>
      </w:r>
      <w:r>
        <w:rPr>
          <w:rFonts w:ascii="Montserrat" w:cs="Montserrat" w:eastAsia="Montserrat" w:hAnsi="Montserrat"/>
        </w:rPr>
        <w:t xml:space="preserve">Tabla con código, indicador, línea, meta, ejecución, porcentaje y estado; filtros por línea, objetivo y estado, búsqueda por nombre y exportación a CSV.</w:t>
      </w:r>
    </w:p>
    <w:p>
      <w:pPr>
        <w:pStyle w:val="ListParagraph"/>
        <w:numPr>
          <w:ilvl w:val="0"/>
          <w:numId w:val="2"/>
        </w:numPr>
        <w:spacing w:after="70" w:line="285"/>
      </w:pPr>
      <w:r>
        <w:rPr>
          <w:rFonts w:ascii="Montserrat" w:cs="Montserrat" w:eastAsia="Montserrat" w:hAnsi="Montserrat"/>
          <w:b/>
          <w:bCs/>
        </w:rPr>
        <w:t xml:space="preserve">Alertas. </w:t>
      </w:r>
      <w:r>
        <w:rPr>
          <w:rFonts w:ascii="Montserrat" w:cs="Montserrat" w:eastAsia="Montserrat" w:hAnsi="Montserrat"/>
        </w:rPr>
        <w:t xml:space="preserve">Indicadores en peligro o alerta que requieren atención.</w:t>
      </w:r>
    </w:p>
    <w:p>
      <w:pPr>
        <w:keepNext/>
        <w:pBdr>
          <w:top w:val="single" w:color="D0D7DE" w:sz="4"/>
          <w:left w:val="single" w:color="D0D7DE" w:sz="4"/>
          <w:bottom w:val="single" w:color="D0D7DE" w:sz="4"/>
          <w:right w:val="single" w:color="D0D7DE" w:sz="4"/>
        </w:pBdr>
        <w:spacing w:after="40" w:before="120"/>
        <w:jc w:val="center"/>
      </w:pPr>
      <w:r>
        <w:drawing>
          <wp:inline distT="0" distB="0" distL="0" distR="0">
            <wp:extent cx="5334000" cy="3343275"/>
            <wp:effectExtent t="0" r="0" b="0" l="0"/>
            <wp:docPr id="9" name="cmie1" descr="Figura 8. CMI Estratégico: filtros y resumen desglosado" title="Figura 8. CMI Estratégico: filtros y resumen desglos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43275"/>
                    </a:xfrm>
                    <a:prstGeom prst="rect">
                      <a:avLst/>
                    </a:prstGeom>
                  </pic:spPr>
                </pic:pic>
              </a:graphicData>
            </a:graphic>
          </wp:inline>
        </w:drawing>
      </w:r>
    </w:p>
    <w:p>
      <w:pPr>
        <w:spacing w:after="160"/>
        <w:jc w:val="center"/>
      </w:pPr>
      <w:r>
        <w:rPr>
          <w:rFonts w:ascii="Montserrat" w:cs="Montserrat" w:eastAsia="Montserrat" w:hAnsi="Montserrat"/>
          <w:i/>
          <w:iCs/>
          <w:color w:val="666666"/>
          <w:sz w:val="16"/>
          <w:szCs w:val="16"/>
        </w:rPr>
        <w:t xml:space="preserve">Figura 8. CMI Estratégico: filtros y resumen desglosado</w:t>
      </w:r>
    </w:p>
    <w:p>
      <w:pPr>
        <w:keepNext/>
        <w:pBdr>
          <w:top w:val="single" w:color="D0D7DE" w:sz="4"/>
          <w:left w:val="single" w:color="D0D7DE" w:sz="4"/>
          <w:bottom w:val="single" w:color="D0D7DE" w:sz="4"/>
          <w:right w:val="single" w:color="D0D7DE" w:sz="4"/>
        </w:pBdr>
        <w:spacing w:after="40" w:before="120"/>
        <w:jc w:val="center"/>
      </w:pPr>
      <w:r>
        <w:drawing>
          <wp:inline distT="0" distB="0" distL="0" distR="0">
            <wp:extent cx="5334000" cy="3343275"/>
            <wp:effectExtent t="0" r="0" b="0" l="0"/>
            <wp:docPr id="10" name="cmie2" descr="Figura 9. CMI Estratégico: cumplimiento por línea y distribución por nivel" title="Figura 9. CMI Estratégico: cumplimiento por línea y distribución por ni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343275"/>
                    </a:xfrm>
                    <a:prstGeom prst="rect">
                      <a:avLst/>
                    </a:prstGeom>
                  </pic:spPr>
                </pic:pic>
              </a:graphicData>
            </a:graphic>
          </wp:inline>
        </w:drawing>
      </w:r>
    </w:p>
    <w:p>
      <w:pPr>
        <w:spacing w:after="160"/>
        <w:jc w:val="center"/>
      </w:pPr>
      <w:r>
        <w:rPr>
          <w:rFonts w:ascii="Montserrat" w:cs="Montserrat" w:eastAsia="Montserrat" w:hAnsi="Montserrat"/>
          <w:i/>
          <w:iCs/>
          <w:color w:val="666666"/>
          <w:sz w:val="16"/>
          <w:szCs w:val="16"/>
        </w:rPr>
        <w:t xml:space="preserve">Figura 9. CMI Estratégico: cumplimiento por línea y distribución por nivel</w:t>
      </w:r>
    </w:p>
    <w:p>
      <w:pPr>
        <w:keepNext/>
        <w:pBdr>
          <w:top w:val="single" w:color="D0D7DE" w:sz="4"/>
          <w:left w:val="single" w:color="D0D7DE" w:sz="4"/>
          <w:bottom w:val="single" w:color="D0D7DE" w:sz="4"/>
          <w:right w:val="single" w:color="D0D7DE" w:sz="4"/>
        </w:pBdr>
        <w:spacing w:after="40" w:before="120"/>
        <w:jc w:val="center"/>
      </w:pPr>
      <w:r>
        <w:drawing>
          <wp:inline distT="0" distB="0" distL="0" distR="0">
            <wp:extent cx="5334000" cy="3343275"/>
            <wp:effectExtent t="0" r="0" b="0" l="0"/>
            <wp:docPr id="11" name="cmie3" descr="Figura 10. CMI Estratégico: líneas estratégicas y objetivos" title="Figura 10. CMI Estratégico: líneas estratégicas y obje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43275"/>
                    </a:xfrm>
                    <a:prstGeom prst="rect">
                      <a:avLst/>
                    </a:prstGeom>
                  </pic:spPr>
                </pic:pic>
              </a:graphicData>
            </a:graphic>
          </wp:inline>
        </w:drawing>
      </w:r>
    </w:p>
    <w:p>
      <w:pPr>
        <w:spacing w:after="160"/>
        <w:jc w:val="center"/>
      </w:pPr>
      <w:r>
        <w:rPr>
          <w:rFonts w:ascii="Montserrat" w:cs="Montserrat" w:eastAsia="Montserrat" w:hAnsi="Montserrat"/>
          <w:i/>
          <w:iCs/>
          <w:color w:val="666666"/>
          <w:sz w:val="16"/>
          <w:szCs w:val="16"/>
        </w:rPr>
        <w:t xml:space="preserve">Figura 10. CMI Estratégico: líneas estratégicas y objetivos</w:t>
      </w:r>
    </w:p>
    <w:p>
      <w:pPr>
        <w:keepNext/>
        <w:pBdr>
          <w:top w:val="single" w:color="D0D7DE" w:sz="4"/>
          <w:left w:val="single" w:color="D0D7DE" w:sz="4"/>
          <w:bottom w:val="single" w:color="D0D7DE" w:sz="4"/>
          <w:right w:val="single" w:color="D0D7DE" w:sz="4"/>
        </w:pBdr>
        <w:spacing w:after="40" w:before="120"/>
        <w:jc w:val="center"/>
      </w:pPr>
      <w:r>
        <w:drawing>
          <wp:inline distT="0" distB="0" distL="0" distR="0">
            <wp:extent cx="5334000" cy="3343275"/>
            <wp:effectExtent t="0" r="0" b="0" l="0"/>
            <wp:docPr id="12" name="cmie4" descr="Figura 11. CMI Estratégico: listado de indicadores con filtros y exportación" title="Figura 11. CMI Estratégico: listado de indicadores con filtros y export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343275"/>
                    </a:xfrm>
                    <a:prstGeom prst="rect">
                      <a:avLst/>
                    </a:prstGeom>
                  </pic:spPr>
                </pic:pic>
              </a:graphicData>
            </a:graphic>
          </wp:inline>
        </w:drawing>
      </w:r>
    </w:p>
    <w:p>
      <w:pPr>
        <w:spacing w:after="160"/>
        <w:jc w:val="center"/>
      </w:pPr>
      <w:r>
        <w:rPr>
          <w:rFonts w:ascii="Montserrat" w:cs="Montserrat" w:eastAsia="Montserrat" w:hAnsi="Montserrat"/>
          <w:i/>
          <w:iCs/>
          <w:color w:val="666666"/>
          <w:sz w:val="16"/>
          <w:szCs w:val="16"/>
        </w:rPr>
        <w:t xml:space="preserve">Figura 11. CMI Estratégico: listado de indicadores con filtros y exportación</w:t>
      </w:r>
    </w:p>
    <w:p>
      <w:pPr>
        <w:pStyle w:val="Heading2"/>
        <w:keepNext/>
      </w:pPr>
      <w:r>
        <w:rPr>
          <w:rFonts w:ascii="Montserrat" w:cs="Montserrat" w:eastAsia="Montserrat" w:hAnsi="Montserrat"/>
        </w:rPr>
        <w:t xml:space="preserve">5.4 CMI por Procesos</w:t>
      </w:r>
    </w:p>
    <w:p>
      <w:pPr>
        <w:spacing w:after="120" w:line="300"/>
      </w:pPr>
      <w:r>
        <w:rPr>
          <w:rFonts w:ascii="Montserrat" w:cs="Montserrat" w:eastAsia="Montserrat" w:hAnsi="Montserrat"/>
        </w:rPr>
        <w:t xml:space="preserve">Propósito: Balanced Scorecard organizado por proceso y subproceso, validado contra Kawak, para que cada equipo vea su propio desempeño.</w:t>
      </w:r>
    </w:p>
    <w:p>
      <w:pPr>
        <w:keepNext/>
        <w:spacing w:after="80" w:before="160"/>
      </w:pPr>
      <w:r>
        <w:rPr>
          <w:rFonts w:ascii="Montserrat" w:cs="Montserrat" w:eastAsia="Montserrat" w:hAnsi="Montserrat"/>
          <w:b/>
          <w:bCs/>
          <w:color w:val="263A58"/>
          <w:sz w:val="21"/>
          <w:szCs w:val="21"/>
        </w:rPr>
        <w:t xml:space="preserve">Secciones y funcionalidades</w:t>
      </w:r>
    </w:p>
    <w:p>
      <w:pPr>
        <w:pStyle w:val="ListParagraph"/>
        <w:numPr>
          <w:ilvl w:val="0"/>
          <w:numId w:val="2"/>
        </w:numPr>
        <w:spacing w:after="70" w:line="285"/>
      </w:pPr>
      <w:r>
        <w:rPr>
          <w:rFonts w:ascii="Montserrat" w:cs="Montserrat" w:eastAsia="Montserrat" w:hAnsi="Montserrat"/>
          <w:b/>
          <w:bCs/>
        </w:rPr>
        <w:t xml:space="preserve">Filtros. </w:t>
      </w:r>
      <w:r>
        <w:rPr>
          <w:rFonts w:ascii="Montserrat" w:cs="Montserrat" w:eastAsia="Montserrat" w:hAnsi="Montserrat"/>
        </w:rPr>
        <w:t xml:space="preserve">Año, mes de corte (junio o diciembre), unidad, proceso, subproceso, clasificación, frecuencia y línea estratégica del PDI.</w:t>
      </w:r>
    </w:p>
    <w:p>
      <w:pPr>
        <w:pStyle w:val="ListParagraph"/>
        <w:numPr>
          <w:ilvl w:val="0"/>
          <w:numId w:val="2"/>
        </w:numPr>
        <w:spacing w:after="70" w:line="285"/>
      </w:pPr>
      <w:r>
        <w:rPr>
          <w:rFonts w:ascii="Montserrat" w:cs="Montserrat" w:eastAsia="Montserrat" w:hAnsi="Montserrat"/>
          <w:b/>
          <w:bCs/>
        </w:rPr>
        <w:t xml:space="preserve">Resumen. </w:t>
      </w:r>
      <w:r>
        <w:rPr>
          <w:rFonts w:ascii="Montserrat" w:cs="Montserrat" w:eastAsia="Montserrat" w:hAnsi="Montserrat"/>
        </w:rPr>
        <w:t xml:space="preserve">Cumplimiento global, variación frente al año anterior, indicadores activos, en alerta y en peligro, procesos y subprocesos activos.</w:t>
      </w:r>
    </w:p>
    <w:p>
      <w:pPr>
        <w:pStyle w:val="ListParagraph"/>
        <w:numPr>
          <w:ilvl w:val="0"/>
          <w:numId w:val="2"/>
        </w:numPr>
        <w:spacing w:after="70" w:line="285"/>
      </w:pPr>
      <w:r>
        <w:rPr>
          <w:rFonts w:ascii="Montserrat" w:cs="Montserrat" w:eastAsia="Montserrat" w:hAnsi="Montserrat"/>
          <w:b/>
          <w:bCs/>
        </w:rPr>
        <w:t xml:space="preserve">Procesos y Unidades. </w:t>
      </w:r>
      <w:r>
        <w:rPr>
          <w:rFonts w:ascii="Montserrat" w:cs="Montserrat" w:eastAsia="Montserrat" w:hAnsi="Montserrat"/>
        </w:rPr>
        <w:t xml:space="preserve">Desempeño por proceso y por unidad organizacional.</w:t>
      </w:r>
    </w:p>
    <w:p>
      <w:pPr>
        <w:pStyle w:val="ListParagraph"/>
        <w:numPr>
          <w:ilvl w:val="0"/>
          <w:numId w:val="2"/>
        </w:numPr>
        <w:spacing w:after="70" w:line="285"/>
      </w:pPr>
      <w:r>
        <w:rPr>
          <w:rFonts w:ascii="Montserrat" w:cs="Montserrat" w:eastAsia="Montserrat" w:hAnsi="Montserrat"/>
          <w:b/>
          <w:bCs/>
        </w:rPr>
        <w:t xml:space="preserve">Indicadores. </w:t>
      </w:r>
      <w:r>
        <w:rPr>
          <w:rFonts w:ascii="Montserrat" w:cs="Montserrat" w:eastAsia="Montserrat" w:hAnsi="Montserrat"/>
        </w:rPr>
        <w:t xml:space="preserve">Listado completo con total, métricas calculadas, distribución por nivel de semáforo y los indicadores con mayor variación positiva y negativa de ejecución.</w:t>
      </w:r>
    </w:p>
    <w:p>
      <w:pPr>
        <w:pStyle w:val="ListParagraph"/>
        <w:numPr>
          <w:ilvl w:val="0"/>
          <w:numId w:val="2"/>
        </w:numPr>
        <w:spacing w:after="70" w:line="285"/>
      </w:pPr>
      <w:r>
        <w:rPr>
          <w:rFonts w:ascii="Montserrat" w:cs="Montserrat" w:eastAsia="Montserrat" w:hAnsi="Montserrat"/>
          <w:b/>
          <w:bCs/>
        </w:rPr>
        <w:t xml:space="preserve">Alertas. </w:t>
      </w:r>
      <w:r>
        <w:rPr>
          <w:rFonts w:ascii="Montserrat" w:cs="Montserrat" w:eastAsia="Montserrat" w:hAnsi="Montserrat"/>
        </w:rPr>
        <w:t xml:space="preserve">Indicadores que requieren atención por proceso.</w:t>
      </w:r>
    </w:p>
    <w:p>
      <w:pPr>
        <w:pStyle w:val="ListParagraph"/>
        <w:numPr>
          <w:ilvl w:val="0"/>
          <w:numId w:val="2"/>
        </w:numPr>
        <w:spacing w:after="70" w:line="285"/>
      </w:pPr>
      <w:r>
        <w:rPr>
          <w:rFonts w:ascii="Montserrat" w:cs="Montserrat" w:eastAsia="Montserrat" w:hAnsi="Montserrat"/>
          <w:b/>
          <w:bCs/>
        </w:rPr>
        <w:t xml:space="preserve">Análisis Avanzado. </w:t>
      </w:r>
      <w:r>
        <w:rPr>
          <w:rFonts w:ascii="Montserrat" w:cs="Montserrat" w:eastAsia="Montserrat" w:hAnsi="Montserrat"/>
        </w:rPr>
        <w:t xml:space="preserve">Comparativos y tendencias para el análisis profundo.</w:t>
      </w:r>
    </w:p>
    <w:p>
      <w:pPr>
        <w:pStyle w:val="ListParagraph"/>
        <w:numPr>
          <w:ilvl w:val="0"/>
          <w:numId w:val="2"/>
        </w:numPr>
        <w:spacing w:after="70" w:line="285"/>
      </w:pPr>
      <w:r>
        <w:rPr>
          <w:rFonts w:ascii="Montserrat" w:cs="Montserrat" w:eastAsia="Montserrat" w:hAnsi="Montserrat"/>
          <w:b/>
          <w:bCs/>
        </w:rPr>
        <w:t xml:space="preserve">Exportación. </w:t>
      </w:r>
      <w:r>
        <w:rPr>
          <w:rFonts w:ascii="Montserrat" w:cs="Montserrat" w:eastAsia="Montserrat" w:hAnsi="Montserrat"/>
        </w:rPr>
        <w:t xml:space="preserve">Exportación a Excel de la vista filtrada.</w:t>
      </w:r>
    </w:p>
    <w:p>
      <w:pPr>
        <w:keepNext/>
        <w:pBdr>
          <w:top w:val="single" w:color="D0D7DE" w:sz="4"/>
          <w:left w:val="single" w:color="D0D7DE" w:sz="4"/>
          <w:bottom w:val="single" w:color="D0D7DE" w:sz="4"/>
          <w:right w:val="single" w:color="D0D7DE" w:sz="4"/>
        </w:pBdr>
        <w:spacing w:after="40" w:before="120"/>
        <w:jc w:val="center"/>
      </w:pPr>
      <w:r>
        <w:drawing>
          <wp:inline distT="0" distB="0" distL="0" distR="0">
            <wp:extent cx="5334000" cy="3343275"/>
            <wp:effectExtent t="0" r="0" b="0" l="0"/>
            <wp:docPr id="13" name="cmip1" descr="Figura 12. CMI por Procesos: filtros y encabezado de resumen" title="Figura 12. CMI por Procesos: filtros y encabezado de res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343275"/>
                    </a:xfrm>
                    <a:prstGeom prst="rect">
                      <a:avLst/>
                    </a:prstGeom>
                  </pic:spPr>
                </pic:pic>
              </a:graphicData>
            </a:graphic>
          </wp:inline>
        </w:drawing>
      </w:r>
    </w:p>
    <w:p>
      <w:pPr>
        <w:spacing w:after="160"/>
        <w:jc w:val="center"/>
      </w:pPr>
      <w:r>
        <w:rPr>
          <w:rFonts w:ascii="Montserrat" w:cs="Montserrat" w:eastAsia="Montserrat" w:hAnsi="Montserrat"/>
          <w:i/>
          <w:iCs/>
          <w:color w:val="666666"/>
          <w:sz w:val="16"/>
          <w:szCs w:val="16"/>
        </w:rPr>
        <w:t xml:space="preserve">Figura 12. CMI por Procesos: filtros y encabezado de resumen</w:t>
      </w:r>
    </w:p>
    <w:p>
      <w:pPr>
        <w:keepNext/>
        <w:pBdr>
          <w:top w:val="single" w:color="D0D7DE" w:sz="4"/>
          <w:left w:val="single" w:color="D0D7DE" w:sz="4"/>
          <w:bottom w:val="single" w:color="D0D7DE" w:sz="4"/>
          <w:right w:val="single" w:color="D0D7DE" w:sz="4"/>
        </w:pBdr>
        <w:spacing w:after="40" w:before="120"/>
        <w:jc w:val="center"/>
      </w:pPr>
      <w:r>
        <w:drawing>
          <wp:inline distT="0" distB="0" distL="0" distR="0">
            <wp:extent cx="5334000" cy="3343275"/>
            <wp:effectExtent t="0" r="0" b="0" l="0"/>
            <wp:docPr id="14" name="cmip2" descr="Figura 13. CMI por Procesos: indicadores clave del corte" title="Figura 13. CMI por Procesos: indicadores clave del c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343275"/>
                    </a:xfrm>
                    <a:prstGeom prst="rect">
                      <a:avLst/>
                    </a:prstGeom>
                  </pic:spPr>
                </pic:pic>
              </a:graphicData>
            </a:graphic>
          </wp:inline>
        </w:drawing>
      </w:r>
    </w:p>
    <w:p>
      <w:pPr>
        <w:spacing w:after="160"/>
        <w:jc w:val="center"/>
      </w:pPr>
      <w:r>
        <w:rPr>
          <w:rFonts w:ascii="Montserrat" w:cs="Montserrat" w:eastAsia="Montserrat" w:hAnsi="Montserrat"/>
          <w:i/>
          <w:iCs/>
          <w:color w:val="666666"/>
          <w:sz w:val="16"/>
          <w:szCs w:val="16"/>
        </w:rPr>
        <w:t xml:space="preserve">Figura 13. CMI por Procesos: indicadores clave del corte</w:t>
      </w:r>
    </w:p>
    <w:p>
      <w:pPr>
        <w:keepNext/>
        <w:pBdr>
          <w:top w:val="single" w:color="D0D7DE" w:sz="4"/>
          <w:left w:val="single" w:color="D0D7DE" w:sz="4"/>
          <w:bottom w:val="single" w:color="D0D7DE" w:sz="4"/>
          <w:right w:val="single" w:color="D0D7DE" w:sz="4"/>
        </w:pBdr>
        <w:spacing w:after="40" w:before="120"/>
        <w:jc w:val="center"/>
      </w:pPr>
      <w:r>
        <w:drawing>
          <wp:inline distT="0" distB="0" distL="0" distR="0">
            <wp:extent cx="5334000" cy="3343275"/>
            <wp:effectExtent t="0" r="0" b="0" l="0"/>
            <wp:docPr id="15" name="cmip3" descr="Figura 14. CMI por Procesos: indicadores y variación de ejecución" title="Figura 14. CMI por Procesos: indicadores y variación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343275"/>
                    </a:xfrm>
                    <a:prstGeom prst="rect">
                      <a:avLst/>
                    </a:prstGeom>
                  </pic:spPr>
                </pic:pic>
              </a:graphicData>
            </a:graphic>
          </wp:inline>
        </w:drawing>
      </w:r>
    </w:p>
    <w:p>
      <w:pPr>
        <w:spacing w:after="160"/>
        <w:jc w:val="center"/>
      </w:pPr>
      <w:r>
        <w:rPr>
          <w:rFonts w:ascii="Montserrat" w:cs="Montserrat" w:eastAsia="Montserrat" w:hAnsi="Montserrat"/>
          <w:i/>
          <w:iCs/>
          <w:color w:val="666666"/>
          <w:sz w:val="16"/>
          <w:szCs w:val="16"/>
        </w:rPr>
        <w:t xml:space="preserve">Figura 14. CMI por Procesos: indicadores y variación de ejecución</w:t>
      </w:r>
    </w:p>
    <w:p>
      <w:pPr>
        <w:pStyle w:val="Heading2"/>
        <w:keepNext/>
      </w:pPr>
      <w:r>
        <w:rPr>
          <w:rFonts w:ascii="Montserrat" w:cs="Montserrat" w:eastAsia="Montserrat" w:hAnsi="Montserrat"/>
        </w:rPr>
        <w:t xml:space="preserve">5.5 Informe por Procesos</w:t>
      </w:r>
    </w:p>
    <w:p>
      <w:pPr>
        <w:spacing w:after="120" w:line="300"/>
      </w:pPr>
      <w:r>
        <w:rPr>
          <w:rFonts w:ascii="Montserrat" w:cs="Montserrat" w:eastAsia="Montserrat" w:hAnsi="Montserrat"/>
        </w:rPr>
        <w:t xml:space="preserve">Propósito: informe detallado por proceso, con diagnóstico ejecutivo, calidad de los datos y propuestas de acción, descargable en PDF.</w:t>
      </w:r>
    </w:p>
    <w:p>
      <w:pPr>
        <w:keepNext/>
        <w:spacing w:after="80" w:before="160"/>
      </w:pPr>
      <w:r>
        <w:rPr>
          <w:rFonts w:ascii="Montserrat" w:cs="Montserrat" w:eastAsia="Montserrat" w:hAnsi="Montserrat"/>
          <w:b/>
          <w:bCs/>
          <w:color w:val="263A58"/>
          <w:sz w:val="21"/>
          <w:szCs w:val="21"/>
        </w:rPr>
        <w:t xml:space="preserve">Secciones y funcionalidades</w:t>
      </w:r>
    </w:p>
    <w:p>
      <w:pPr>
        <w:pStyle w:val="ListParagraph"/>
        <w:numPr>
          <w:ilvl w:val="0"/>
          <w:numId w:val="2"/>
        </w:numPr>
        <w:spacing w:after="70" w:line="285"/>
      </w:pPr>
      <w:r>
        <w:rPr>
          <w:rFonts w:ascii="Montserrat" w:cs="Montserrat" w:eastAsia="Montserrat" w:hAnsi="Montserrat"/>
          <w:b/>
          <w:bCs/>
        </w:rPr>
        <w:t xml:space="preserve">Resumen Ejecutivo. </w:t>
      </w:r>
      <w:r>
        <w:rPr>
          <w:rFonts w:ascii="Montserrat" w:cs="Montserrat" w:eastAsia="Montserrat" w:hAnsi="Montserrat"/>
        </w:rPr>
        <w:t xml:space="preserve">Alerta del indicador más crítico, score de salud, cumplimiento global frente a la meta, indicadores evaluados, estado de alertas y comparativa interanual.</w:t>
      </w:r>
    </w:p>
    <w:p>
      <w:pPr>
        <w:pStyle w:val="ListParagraph"/>
        <w:numPr>
          <w:ilvl w:val="0"/>
          <w:numId w:val="2"/>
        </w:numPr>
        <w:spacing w:after="70" w:line="285"/>
      </w:pPr>
      <w:r>
        <w:rPr>
          <w:rFonts w:ascii="Montserrat" w:cs="Montserrat" w:eastAsia="Montserrat" w:hAnsi="Montserrat"/>
          <w:b/>
          <w:bCs/>
        </w:rPr>
        <w:t xml:space="preserve">Indicadores. </w:t>
      </w:r>
      <w:r>
        <w:rPr>
          <w:rFonts w:ascii="Montserrat" w:cs="Montserrat" w:eastAsia="Montserrat" w:hAnsi="Montserrat"/>
        </w:rPr>
        <w:t xml:space="preserve">Detalle de los indicadores del proceso con su semáforo.</w:t>
      </w:r>
    </w:p>
    <w:p>
      <w:pPr>
        <w:pStyle w:val="ListParagraph"/>
        <w:numPr>
          <w:ilvl w:val="0"/>
          <w:numId w:val="2"/>
        </w:numPr>
        <w:spacing w:after="70" w:line="285"/>
      </w:pPr>
      <w:r>
        <w:rPr>
          <w:rFonts w:ascii="Montserrat" w:cs="Montserrat" w:eastAsia="Montserrat" w:hAnsi="Montserrat"/>
          <w:b/>
          <w:bCs/>
        </w:rPr>
        <w:t xml:space="preserve">Calidad de Datos. </w:t>
      </w:r>
      <w:r>
        <w:rPr>
          <w:rFonts w:ascii="Montserrat" w:cs="Montserrat" w:eastAsia="Montserrat" w:hAnsi="Montserrat"/>
        </w:rPr>
        <w:t xml:space="preserve">Score global de calidad de los datos y su análisis por cuatro dimensiones (completitud, consistencia, oportunidad y exactitud), con alertas y recomendaciones priorizadas.</w:t>
      </w:r>
    </w:p>
    <w:p>
      <w:pPr>
        <w:pStyle w:val="ListParagraph"/>
        <w:numPr>
          <w:ilvl w:val="0"/>
          <w:numId w:val="2"/>
        </w:numPr>
        <w:spacing w:after="70" w:line="285"/>
      </w:pPr>
      <w:r>
        <w:rPr>
          <w:rFonts w:ascii="Montserrat" w:cs="Montserrat" w:eastAsia="Montserrat" w:hAnsi="Montserrat"/>
          <w:b/>
          <w:bCs/>
        </w:rPr>
        <w:t xml:space="preserve">Auditoría. </w:t>
      </w:r>
      <w:r>
        <w:rPr>
          <w:rFonts w:ascii="Montserrat" w:cs="Montserrat" w:eastAsia="Montserrat" w:hAnsi="Montserrat"/>
        </w:rPr>
        <w:t xml:space="preserve">Control de la narrativa antes de publicarla.</w:t>
      </w:r>
    </w:p>
    <w:p>
      <w:pPr>
        <w:pStyle w:val="ListParagraph"/>
        <w:numPr>
          <w:ilvl w:val="0"/>
          <w:numId w:val="2"/>
        </w:numPr>
        <w:spacing w:after="70" w:line="285"/>
      </w:pPr>
      <w:r>
        <w:rPr>
          <w:rFonts w:ascii="Montserrat" w:cs="Montserrat" w:eastAsia="Montserrat" w:hAnsi="Montserrat"/>
          <w:b/>
          <w:bCs/>
        </w:rPr>
        <w:t xml:space="preserve">Análisis IA. </w:t>
      </w:r>
      <w:r>
        <w:rPr>
          <w:rFonts w:ascii="Montserrat" w:cs="Montserrat" w:eastAsia="Montserrat" w:hAnsi="Montserrat"/>
        </w:rPr>
        <w:t xml:space="preserve">Diagnóstico del proceso con foco urgente y directrices recomendadas generadas a partir del catálogo filtrado.</w:t>
      </w:r>
    </w:p>
    <w:p>
      <w:pPr>
        <w:pStyle w:val="ListParagraph"/>
        <w:numPr>
          <w:ilvl w:val="0"/>
          <w:numId w:val="2"/>
        </w:numPr>
        <w:spacing w:after="70" w:line="285"/>
      </w:pPr>
      <w:r>
        <w:rPr>
          <w:rFonts w:ascii="Montserrat" w:cs="Montserrat" w:eastAsia="Montserrat" w:hAnsi="Montserrat"/>
          <w:b/>
          <w:bCs/>
        </w:rPr>
        <w:t xml:space="preserve">Exportación. </w:t>
      </w:r>
      <w:r>
        <w:rPr>
          <w:rFonts w:ascii="Montserrat" w:cs="Montserrat" w:eastAsia="Montserrat" w:hAnsi="Montserrat"/>
        </w:rPr>
        <w:t xml:space="preserve">Descargar PDF del informe con los filtros aplicados.</w:t>
      </w:r>
    </w:p>
    <w:p>
      <w:pPr>
        <w:keepNext/>
        <w:pBdr>
          <w:top w:val="single" w:color="D0D7DE" w:sz="4"/>
          <w:left w:val="single" w:color="D0D7DE" w:sz="4"/>
          <w:bottom w:val="single" w:color="D0D7DE" w:sz="4"/>
          <w:right w:val="single" w:color="D0D7DE" w:sz="4"/>
        </w:pBdr>
        <w:spacing w:after="40" w:before="120"/>
        <w:jc w:val="center"/>
      </w:pPr>
      <w:r>
        <w:drawing>
          <wp:inline distT="0" distB="0" distL="0" distR="0">
            <wp:extent cx="5334000" cy="3343275"/>
            <wp:effectExtent t="0" r="0" b="0" l="0"/>
            <wp:docPr id="16" name="inf1" descr="Figura 15. Informe por Procesos: filtros y pestañas del informe" title="Figura 15. Informe por Procesos: filtros y pestañas del info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343275"/>
                    </a:xfrm>
                    <a:prstGeom prst="rect">
                      <a:avLst/>
                    </a:prstGeom>
                  </pic:spPr>
                </pic:pic>
              </a:graphicData>
            </a:graphic>
          </wp:inline>
        </w:drawing>
      </w:r>
    </w:p>
    <w:p>
      <w:pPr>
        <w:spacing w:after="160"/>
        <w:jc w:val="center"/>
      </w:pPr>
      <w:r>
        <w:rPr>
          <w:rFonts w:ascii="Montserrat" w:cs="Montserrat" w:eastAsia="Montserrat" w:hAnsi="Montserrat"/>
          <w:i/>
          <w:iCs/>
          <w:color w:val="666666"/>
          <w:sz w:val="16"/>
          <w:szCs w:val="16"/>
        </w:rPr>
        <w:t xml:space="preserve">Figura 15. Informe por Procesos: filtros y pestañas del informe</w:t>
      </w:r>
    </w:p>
    <w:p>
      <w:pPr>
        <w:keepNext/>
        <w:pBdr>
          <w:top w:val="single" w:color="D0D7DE" w:sz="4"/>
          <w:left w:val="single" w:color="D0D7DE" w:sz="4"/>
          <w:bottom w:val="single" w:color="D0D7DE" w:sz="4"/>
          <w:right w:val="single" w:color="D0D7DE" w:sz="4"/>
        </w:pBdr>
        <w:spacing w:after="40" w:before="120"/>
        <w:jc w:val="center"/>
      </w:pPr>
      <w:r>
        <w:drawing>
          <wp:inline distT="0" distB="0" distL="0" distR="0">
            <wp:extent cx="5334000" cy="3343275"/>
            <wp:effectExtent t="0" r="0" b="0" l="0"/>
            <wp:docPr id="17" name="inf2" descr="Figura 16. Informe por Procesos: resumen ejecutivo" title="Figura 16. Informe por Procesos: resumen ejecu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343275"/>
                    </a:xfrm>
                    <a:prstGeom prst="rect">
                      <a:avLst/>
                    </a:prstGeom>
                  </pic:spPr>
                </pic:pic>
              </a:graphicData>
            </a:graphic>
          </wp:inline>
        </w:drawing>
      </w:r>
    </w:p>
    <w:p>
      <w:pPr>
        <w:spacing w:after="160"/>
        <w:jc w:val="center"/>
      </w:pPr>
      <w:r>
        <w:rPr>
          <w:rFonts w:ascii="Montserrat" w:cs="Montserrat" w:eastAsia="Montserrat" w:hAnsi="Montserrat"/>
          <w:i/>
          <w:iCs/>
          <w:color w:val="666666"/>
          <w:sz w:val="16"/>
          <w:szCs w:val="16"/>
        </w:rPr>
        <w:t xml:space="preserve">Figura 16. Informe por Procesos: resumen ejecutivo</w:t>
      </w:r>
    </w:p>
    <w:p>
      <w:pPr>
        <w:keepNext/>
        <w:pBdr>
          <w:top w:val="single" w:color="D0D7DE" w:sz="4"/>
          <w:left w:val="single" w:color="D0D7DE" w:sz="4"/>
          <w:bottom w:val="single" w:color="D0D7DE" w:sz="4"/>
          <w:right w:val="single" w:color="D0D7DE" w:sz="4"/>
        </w:pBdr>
        <w:spacing w:after="40" w:before="120"/>
        <w:jc w:val="center"/>
      </w:pPr>
      <w:r>
        <w:drawing>
          <wp:inline distT="0" distB="0" distL="0" distR="0">
            <wp:extent cx="5334000" cy="3343275"/>
            <wp:effectExtent t="0" r="0" b="0" l="0"/>
            <wp:docPr id="18" name="inf3" descr="Figura 17. Informe por Procesos: calidad de datos" title="Figura 17. Informe por Procesos: calidad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343275"/>
                    </a:xfrm>
                    <a:prstGeom prst="rect">
                      <a:avLst/>
                    </a:prstGeom>
                  </pic:spPr>
                </pic:pic>
              </a:graphicData>
            </a:graphic>
          </wp:inline>
        </w:drawing>
      </w:r>
    </w:p>
    <w:p>
      <w:pPr>
        <w:spacing w:after="160"/>
        <w:jc w:val="center"/>
      </w:pPr>
      <w:r>
        <w:rPr>
          <w:rFonts w:ascii="Montserrat" w:cs="Montserrat" w:eastAsia="Montserrat" w:hAnsi="Montserrat"/>
          <w:i/>
          <w:iCs/>
          <w:color w:val="666666"/>
          <w:sz w:val="16"/>
          <w:szCs w:val="16"/>
        </w:rPr>
        <w:t xml:space="preserve">Figura 17. Informe por Procesos: calidad de datos</w:t>
      </w:r>
    </w:p>
    <w:p>
      <w:pPr>
        <w:keepNext/>
        <w:pBdr>
          <w:top w:val="single" w:color="D0D7DE" w:sz="4"/>
          <w:left w:val="single" w:color="D0D7DE" w:sz="4"/>
          <w:bottom w:val="single" w:color="D0D7DE" w:sz="4"/>
          <w:right w:val="single" w:color="D0D7DE" w:sz="4"/>
        </w:pBdr>
        <w:spacing w:after="40" w:before="120"/>
        <w:jc w:val="center"/>
      </w:pPr>
      <w:r>
        <w:drawing>
          <wp:inline distT="0" distB="0" distL="0" distR="0">
            <wp:extent cx="5334000" cy="3343275"/>
            <wp:effectExtent t="0" r="0" b="0" l="0"/>
            <wp:docPr id="19" name="inf4" descr="Figura 18. Informe por Procesos: análisis y directrices recomendadas" title="Figura 18. Informe por Procesos: análisis y directrices recomend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343275"/>
                    </a:xfrm>
                    <a:prstGeom prst="rect">
                      <a:avLst/>
                    </a:prstGeom>
                  </pic:spPr>
                </pic:pic>
              </a:graphicData>
            </a:graphic>
          </wp:inline>
        </w:drawing>
      </w:r>
    </w:p>
    <w:p>
      <w:pPr>
        <w:spacing w:after="160"/>
        <w:jc w:val="center"/>
      </w:pPr>
      <w:r>
        <w:rPr>
          <w:rFonts w:ascii="Montserrat" w:cs="Montserrat" w:eastAsia="Montserrat" w:hAnsi="Montserrat"/>
          <w:i/>
          <w:iCs/>
          <w:color w:val="666666"/>
          <w:sz w:val="16"/>
          <w:szCs w:val="16"/>
        </w:rPr>
        <w:t xml:space="preserve">Figura 18. Informe por Procesos: análisis y directrices recomendadas</w:t>
      </w:r>
    </w:p>
    <w:p>
      <w:pPr>
        <w:pStyle w:val="Heading2"/>
        <w:keepNext/>
      </w:pPr>
      <w:r>
        <w:rPr>
          <w:rFonts w:ascii="Montserrat" w:cs="Montserrat" w:eastAsia="Montserrat" w:hAnsi="Montserrat"/>
        </w:rPr>
        <w:t xml:space="preserve">5.6 Indicadores POLISIGS</w:t>
      </w:r>
    </w:p>
    <w:p>
      <w:pPr>
        <w:spacing w:after="120" w:line="300"/>
      </w:pPr>
      <w:r>
        <w:rPr>
          <w:rFonts w:ascii="Montserrat" w:cs="Montserrat" w:eastAsia="Montserrat" w:hAnsi="Montserrat"/>
        </w:rPr>
        <w:t xml:space="preserve">Propósito: mostrar el cumplimiento consolidado de la política del Sistema Integrado de Gestión y de cada uno de sus seis objetivos.</w:t>
      </w:r>
    </w:p>
    <w:p>
      <w:pPr>
        <w:keepNext/>
        <w:spacing w:after="80" w:before="160"/>
      </w:pPr>
      <w:r>
        <w:rPr>
          <w:rFonts w:ascii="Montserrat" w:cs="Montserrat" w:eastAsia="Montserrat" w:hAnsi="Montserrat"/>
          <w:b/>
          <w:bCs/>
          <w:color w:val="263A58"/>
          <w:sz w:val="21"/>
          <w:szCs w:val="21"/>
        </w:rPr>
        <w:t xml:space="preserve">Secciones y funcionalidades</w:t>
      </w:r>
    </w:p>
    <w:p>
      <w:pPr>
        <w:pStyle w:val="ListParagraph"/>
        <w:numPr>
          <w:ilvl w:val="0"/>
          <w:numId w:val="2"/>
        </w:numPr>
        <w:spacing w:after="70" w:line="285"/>
      </w:pPr>
      <w:r>
        <w:rPr>
          <w:rFonts w:ascii="Montserrat" w:cs="Montserrat" w:eastAsia="Montserrat" w:hAnsi="Montserrat"/>
          <w:b/>
          <w:bCs/>
        </w:rPr>
        <w:t xml:space="preserve">Filtros. </w:t>
      </w:r>
      <w:r>
        <w:rPr>
          <w:rFonts w:ascii="Montserrat" w:cs="Montserrat" w:eastAsia="Montserrat" w:hAnsi="Montserrat"/>
        </w:rPr>
        <w:t xml:space="preserve">Año y fecha de corte (junio o diciembre) con indicación del corte de los datos.</w:t>
      </w:r>
    </w:p>
    <w:p>
      <w:pPr>
        <w:pStyle w:val="ListParagraph"/>
        <w:numPr>
          <w:ilvl w:val="0"/>
          <w:numId w:val="2"/>
        </w:numPr>
        <w:spacing w:after="70" w:line="285"/>
      </w:pPr>
      <w:r>
        <w:rPr>
          <w:rFonts w:ascii="Montserrat" w:cs="Montserrat" w:eastAsia="Montserrat" w:hAnsi="Montserrat"/>
          <w:b/>
          <w:bCs/>
        </w:rPr>
        <w:t xml:space="preserve">Panel principal. </w:t>
      </w:r>
      <w:r>
        <w:rPr>
          <w:rFonts w:ascii="Montserrat" w:cs="Montserrat" w:eastAsia="Montserrat" w:hAnsi="Montserrat"/>
        </w:rPr>
        <w:t xml:space="preserve">Cumplimiento consolidado de la política, con el número de indicadores con información y cuántos cumplen, están en alerta o en peligro.</w:t>
      </w:r>
    </w:p>
    <w:p>
      <w:pPr>
        <w:pStyle w:val="ListParagraph"/>
        <w:numPr>
          <w:ilvl w:val="0"/>
          <w:numId w:val="2"/>
        </w:numPr>
        <w:spacing w:after="70" w:line="285"/>
      </w:pPr>
      <w:r>
        <w:rPr>
          <w:rFonts w:ascii="Montserrat" w:cs="Montserrat" w:eastAsia="Montserrat" w:hAnsi="Montserrat"/>
          <w:b/>
          <w:bCs/>
        </w:rPr>
        <w:t xml:space="preserve">Objetivos. </w:t>
      </w:r>
      <w:r>
        <w:rPr>
          <w:rFonts w:ascii="Montserrat" w:cs="Montserrat" w:eastAsia="Montserrat" w:hAnsi="Montserrat"/>
        </w:rPr>
        <w:t xml:space="preserve">Seis objetivos: desarrollo sostenible e impacto, autoevaluación y aseguramiento de la calidad, procesos con calidad y experiencia positiva, protección del medio ambiente, entorno de trabajo y cumplimiento de requisitos legales.</w:t>
      </w:r>
    </w:p>
    <w:p>
      <w:pPr>
        <w:pStyle w:val="ListParagraph"/>
        <w:numPr>
          <w:ilvl w:val="0"/>
          <w:numId w:val="2"/>
        </w:numPr>
        <w:spacing w:after="70" w:line="285"/>
      </w:pPr>
      <w:r>
        <w:rPr>
          <w:rFonts w:ascii="Montserrat" w:cs="Montserrat" w:eastAsia="Montserrat" w:hAnsi="Montserrat"/>
          <w:b/>
          <w:bCs/>
        </w:rPr>
        <w:t xml:space="preserve">Detalle por objetivo. </w:t>
      </w:r>
      <w:r>
        <w:rPr>
          <w:rFonts w:ascii="Montserrat" w:cs="Montserrat" w:eastAsia="Montserrat" w:hAnsi="Montserrat"/>
        </w:rPr>
        <w:t xml:space="preserve">Cada objetivo se despliega para ver sus indicadores asociados; el consolidado cuenta cada indicador una sola vez.</w:t>
      </w:r>
    </w:p>
    <w:p>
      <w:pPr>
        <w:keepNext/>
        <w:pBdr>
          <w:top w:val="single" w:color="D0D7DE" w:sz="4"/>
          <w:left w:val="single" w:color="D0D7DE" w:sz="4"/>
          <w:bottom w:val="single" w:color="D0D7DE" w:sz="4"/>
          <w:right w:val="single" w:color="D0D7DE" w:sz="4"/>
        </w:pBdr>
        <w:spacing w:after="40" w:before="120"/>
        <w:jc w:val="center"/>
      </w:pPr>
      <w:r>
        <w:drawing>
          <wp:inline distT="0" distB="0" distL="0" distR="0">
            <wp:extent cx="5334000" cy="3343275"/>
            <wp:effectExtent t="0" r="0" b="0" l="0"/>
            <wp:docPr id="20" name="poli1" descr="Figura 19. POLISIGS: cumplimiento consolidado de la política y de sus seis objetivos" title="Figura 19. POLISIGS: cumplimiento consolidado de la política y de sus seis obje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343275"/>
                    </a:xfrm>
                    <a:prstGeom prst="rect">
                      <a:avLst/>
                    </a:prstGeom>
                  </pic:spPr>
                </pic:pic>
              </a:graphicData>
            </a:graphic>
          </wp:inline>
        </w:drawing>
      </w:r>
    </w:p>
    <w:p>
      <w:pPr>
        <w:spacing w:after="160"/>
        <w:jc w:val="center"/>
      </w:pPr>
      <w:r>
        <w:rPr>
          <w:rFonts w:ascii="Montserrat" w:cs="Montserrat" w:eastAsia="Montserrat" w:hAnsi="Montserrat"/>
          <w:i/>
          <w:iCs/>
          <w:color w:val="666666"/>
          <w:sz w:val="16"/>
          <w:szCs w:val="16"/>
        </w:rPr>
        <w:t xml:space="preserve">Figura 19. POLISIGS: cumplimiento consolidado de la política y de sus seis objetivos</w:t>
      </w:r>
    </w:p>
    <w:p>
      <w:pPr>
        <w:keepNext/>
        <w:pBdr>
          <w:top w:val="single" w:color="D0D7DE" w:sz="4"/>
          <w:left w:val="single" w:color="D0D7DE" w:sz="4"/>
          <w:bottom w:val="single" w:color="D0D7DE" w:sz="4"/>
          <w:right w:val="single" w:color="D0D7DE" w:sz="4"/>
        </w:pBdr>
        <w:spacing w:after="40" w:before="120"/>
        <w:jc w:val="center"/>
      </w:pPr>
      <w:r>
        <w:drawing>
          <wp:inline distT="0" distB="0" distL="0" distR="0">
            <wp:extent cx="5334000" cy="3343275"/>
            <wp:effectExtent t="0" r="0" b="0" l="0"/>
            <wp:docPr id="21" name="poli2" descr="Figura 20. POLISIGS: cumplimiento por objetivo con indicadores asociados" title="Figura 20. POLISIGS: cumplimiento por objetivo con indicadores asoci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343275"/>
                    </a:xfrm>
                    <a:prstGeom prst="rect">
                      <a:avLst/>
                    </a:prstGeom>
                  </pic:spPr>
                </pic:pic>
              </a:graphicData>
            </a:graphic>
          </wp:inline>
        </w:drawing>
      </w:r>
    </w:p>
    <w:p>
      <w:pPr>
        <w:spacing w:after="160"/>
        <w:jc w:val="center"/>
      </w:pPr>
      <w:r>
        <w:rPr>
          <w:rFonts w:ascii="Montserrat" w:cs="Montserrat" w:eastAsia="Montserrat" w:hAnsi="Montserrat"/>
          <w:i/>
          <w:iCs/>
          <w:color w:val="666666"/>
          <w:sz w:val="16"/>
          <w:szCs w:val="16"/>
        </w:rPr>
        <w:t xml:space="preserve">Figura 20. POLISIGS: cumplimiento por objetivo con indicadores asociados</w:t>
      </w:r>
    </w:p>
    <w:p>
      <w:pPr>
        <w:pStyle w:val="Heading2"/>
        <w:keepNext/>
      </w:pPr>
      <w:r>
        <w:rPr>
          <w:rFonts w:ascii="Montserrat" w:cs="Montserrat" w:eastAsia="Montserrat" w:hAnsi="Montserrat"/>
        </w:rPr>
        <w:t xml:space="preserve">5.7 Plan de Mejoramiento (modelo CNA)</w:t>
      </w:r>
    </w:p>
    <w:p>
      <w:pPr>
        <w:spacing w:after="120" w:line="300"/>
      </w:pPr>
      <w:r>
        <w:rPr>
          <w:rFonts w:ascii="Montserrat" w:cs="Montserrat" w:eastAsia="Montserrat" w:hAnsi="Montserrat"/>
        </w:rPr>
        <w:t xml:space="preserve">Propósito: seguir los indicadores y métricas del plan de mejoramiento ligados a los factores y características del modelo de acreditación del CNA.</w:t>
      </w:r>
    </w:p>
    <w:p>
      <w:pPr>
        <w:keepNext/>
        <w:spacing w:after="80" w:before="160"/>
      </w:pPr>
      <w:r>
        <w:rPr>
          <w:rFonts w:ascii="Montserrat" w:cs="Montserrat" w:eastAsia="Montserrat" w:hAnsi="Montserrat"/>
          <w:b/>
          <w:bCs/>
          <w:color w:val="263A58"/>
          <w:sz w:val="21"/>
          <w:szCs w:val="21"/>
        </w:rPr>
        <w:t xml:space="preserve">Secciones y funcionalidades</w:t>
      </w:r>
    </w:p>
    <w:p>
      <w:pPr>
        <w:pStyle w:val="ListParagraph"/>
        <w:numPr>
          <w:ilvl w:val="0"/>
          <w:numId w:val="2"/>
        </w:numPr>
        <w:spacing w:after="70" w:line="285"/>
      </w:pPr>
      <w:r>
        <w:rPr>
          <w:rFonts w:ascii="Montserrat" w:cs="Montserrat" w:eastAsia="Montserrat" w:hAnsi="Montserrat"/>
          <w:b/>
          <w:bCs/>
        </w:rPr>
        <w:t xml:space="preserve">Indicadores clave. </w:t>
      </w:r>
      <w:r>
        <w:rPr>
          <w:rFonts w:ascii="Montserrat" w:cs="Montserrat" w:eastAsia="Montserrat" w:hAnsi="Montserrat"/>
        </w:rPr>
        <w:t xml:space="preserve">Indicadores del plan asociados a 12 factores CNA, indicadores con meta 2026-2030, con cumplimiento histórico y aprobados.</w:t>
      </w:r>
    </w:p>
    <w:p>
      <w:pPr>
        <w:pStyle w:val="ListParagraph"/>
        <w:numPr>
          <w:ilvl w:val="0"/>
          <w:numId w:val="2"/>
        </w:numPr>
        <w:spacing w:after="70" w:line="285"/>
      </w:pPr>
      <w:r>
        <w:rPr>
          <w:rFonts w:ascii="Montserrat" w:cs="Montserrat" w:eastAsia="Montserrat" w:hAnsi="Montserrat"/>
          <w:b/>
          <w:bCs/>
        </w:rPr>
        <w:t xml:space="preserve">Metas 2026-2030. </w:t>
      </w:r>
      <w:r>
        <w:rPr>
          <w:rFonts w:ascii="Montserrat" w:cs="Montserrat" w:eastAsia="Montserrat" w:hAnsi="Montserrat"/>
        </w:rPr>
        <w:t xml:space="preserve">Trayectoria de metas 2026 a 2030 por indicador, agrupadas por factor y característica.</w:t>
      </w:r>
    </w:p>
    <w:p>
      <w:pPr>
        <w:pStyle w:val="ListParagraph"/>
        <w:numPr>
          <w:ilvl w:val="0"/>
          <w:numId w:val="2"/>
        </w:numPr>
        <w:spacing w:after="70" w:line="285"/>
      </w:pPr>
      <w:r>
        <w:rPr>
          <w:rFonts w:ascii="Montserrat" w:cs="Montserrat" w:eastAsia="Montserrat" w:hAnsi="Montserrat"/>
          <w:b/>
          <w:bCs/>
        </w:rPr>
        <w:t xml:space="preserve">Cumplimiento histórico. </w:t>
      </w:r>
      <w:r>
        <w:rPr>
          <w:rFonts w:ascii="Montserrat" w:cs="Montserrat" w:eastAsia="Montserrat" w:hAnsi="Montserrat"/>
        </w:rPr>
        <w:t xml:space="preserve">Meta, ejecución y porcentaje de cumplimiento por indicador, con barras de avance.</w:t>
      </w:r>
    </w:p>
    <w:p>
      <w:pPr>
        <w:pStyle w:val="ListParagraph"/>
        <w:numPr>
          <w:ilvl w:val="0"/>
          <w:numId w:val="2"/>
        </w:numPr>
        <w:spacing w:after="70" w:line="285"/>
      </w:pPr>
      <w:r>
        <w:rPr>
          <w:rFonts w:ascii="Montserrat" w:cs="Montserrat" w:eastAsia="Montserrat" w:hAnsi="Montserrat"/>
          <w:b/>
          <w:bCs/>
        </w:rPr>
        <w:t xml:space="preserve">Filtros y exportación. </w:t>
      </w:r>
      <w:r>
        <w:rPr>
          <w:rFonts w:ascii="Montserrat" w:cs="Montserrat" w:eastAsia="Montserrat" w:hAnsi="Montserrat"/>
        </w:rPr>
        <w:t xml:space="preserve">Filtros por factor, característica y tipo, búsqueda por texto y exportación a Excel.</w:t>
      </w:r>
    </w:p>
    <w:p>
      <w:pPr>
        <w:pStyle w:val="ListParagraph"/>
        <w:numPr>
          <w:ilvl w:val="0"/>
          <w:numId w:val="2"/>
        </w:numPr>
        <w:spacing w:after="70" w:line="285"/>
      </w:pPr>
      <w:r>
        <w:rPr>
          <w:rFonts w:ascii="Montserrat" w:cs="Montserrat" w:eastAsia="Montserrat" w:hAnsi="Montserrat"/>
          <w:b/>
          <w:bCs/>
        </w:rPr>
        <w:t xml:space="preserve">Métricas. </w:t>
      </w:r>
      <w:r>
        <w:rPr>
          <w:rFonts w:ascii="Montserrat" w:cs="Montserrat" w:eastAsia="Montserrat" w:hAnsi="Montserrat"/>
        </w:rPr>
        <w:t xml:space="preserve">Pestaña de métricas que muestra la tendencia (creciente, decreciente o estable) de los ítems de seguimiento sin meta.</w:t>
      </w:r>
    </w:p>
    <w:p>
      <w:pPr>
        <w:keepNext/>
        <w:pBdr>
          <w:top w:val="single" w:color="D0D7DE" w:sz="4"/>
          <w:left w:val="single" w:color="D0D7DE" w:sz="4"/>
          <w:bottom w:val="single" w:color="D0D7DE" w:sz="4"/>
          <w:right w:val="single" w:color="D0D7DE" w:sz="4"/>
        </w:pBdr>
        <w:spacing w:after="40" w:before="120"/>
        <w:jc w:val="center"/>
      </w:pPr>
      <w:r>
        <w:drawing>
          <wp:inline distT="0" distB="0" distL="0" distR="0">
            <wp:extent cx="5334000" cy="3343275"/>
            <wp:effectExtent t="0" r="0" b="0" l="0"/>
            <wp:docPr id="22" name="plan1" descr="Figura 21. Plan de Mejoramiento: indicadores clave y metas 2026-2030" title="Figura 21. Plan de Mejoramiento: indicadores clave y metas 2026-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3343275"/>
                    </a:xfrm>
                    <a:prstGeom prst="rect">
                      <a:avLst/>
                    </a:prstGeom>
                  </pic:spPr>
                </pic:pic>
              </a:graphicData>
            </a:graphic>
          </wp:inline>
        </w:drawing>
      </w:r>
    </w:p>
    <w:p>
      <w:pPr>
        <w:spacing w:after="160"/>
        <w:jc w:val="center"/>
      </w:pPr>
      <w:r>
        <w:rPr>
          <w:rFonts w:ascii="Montserrat" w:cs="Montserrat" w:eastAsia="Montserrat" w:hAnsi="Montserrat"/>
          <w:i/>
          <w:iCs/>
          <w:color w:val="666666"/>
          <w:sz w:val="16"/>
          <w:szCs w:val="16"/>
        </w:rPr>
        <w:t xml:space="preserve">Figura 21. Plan de Mejoramiento: indicadores clave y metas 2026-2030</w:t>
      </w:r>
    </w:p>
    <w:p>
      <w:pPr>
        <w:keepNext/>
        <w:pBdr>
          <w:top w:val="single" w:color="D0D7DE" w:sz="4"/>
          <w:left w:val="single" w:color="D0D7DE" w:sz="4"/>
          <w:bottom w:val="single" w:color="D0D7DE" w:sz="4"/>
          <w:right w:val="single" w:color="D0D7DE" w:sz="4"/>
        </w:pBdr>
        <w:spacing w:after="40" w:before="120"/>
        <w:jc w:val="center"/>
      </w:pPr>
      <w:r>
        <w:drawing>
          <wp:inline distT="0" distB="0" distL="0" distR="0">
            <wp:extent cx="5334000" cy="3343275"/>
            <wp:effectExtent t="0" r="0" b="0" l="0"/>
            <wp:docPr id="23" name="plan2" descr="Figura 22. Plan de Mejoramiento: cumplimiento histórico con meta frente a ejecución" title="Figura 22. Plan de Mejoramiento: cumplimiento histórico con meta frente a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343275"/>
                    </a:xfrm>
                    <a:prstGeom prst="rect">
                      <a:avLst/>
                    </a:prstGeom>
                  </pic:spPr>
                </pic:pic>
              </a:graphicData>
            </a:graphic>
          </wp:inline>
        </w:drawing>
      </w:r>
    </w:p>
    <w:p>
      <w:pPr>
        <w:spacing w:after="160"/>
        <w:jc w:val="center"/>
      </w:pPr>
      <w:r>
        <w:rPr>
          <w:rFonts w:ascii="Montserrat" w:cs="Montserrat" w:eastAsia="Montserrat" w:hAnsi="Montserrat"/>
          <w:i/>
          <w:iCs/>
          <w:color w:val="666666"/>
          <w:sz w:val="16"/>
          <w:szCs w:val="16"/>
        </w:rPr>
        <w:t xml:space="preserve">Figura 22. Plan de Mejoramiento: cumplimiento histórico con meta frente a ejecución</w:t>
      </w:r>
    </w:p>
    <w:p>
      <w:pPr>
        <w:pStyle w:val="Heading2"/>
        <w:keepNext/>
      </w:pPr>
      <w:r>
        <w:rPr>
          <w:rFonts w:ascii="Montserrat" w:cs="Montserrat" w:eastAsia="Montserrat" w:hAnsi="Montserrat"/>
        </w:rPr>
        <w:t xml:space="preserve">5.8 Seguimiento Operativo</w:t>
      </w:r>
    </w:p>
    <w:p>
      <w:pPr>
        <w:spacing w:after="120" w:line="300"/>
      </w:pPr>
      <w:r>
        <w:rPr>
          <w:rFonts w:ascii="Montserrat" w:cs="Montserrat" w:eastAsia="Montserrat" w:hAnsi="Montserrat"/>
        </w:rPr>
        <w:t xml:space="preserve">Propósito: saber, en cada corte mensual, quién ha reportado sus indicadores y a quién le falta, para asegurar la calidad y la oportunidad del dato antes de que llegue a los tableros. Se accede desde el botón Sección Operativa del menú principal y está disponible para los roles de gestión (Administrador, Calidad y Desempeño).</w:t>
      </w:r>
    </w:p>
    <w:p>
      <w:pPr>
        <w:keepNext/>
        <w:spacing w:after="80" w:before="160"/>
      </w:pPr>
      <w:r>
        <w:rPr>
          <w:rFonts w:ascii="Montserrat" w:cs="Montserrat" w:eastAsia="Montserrat" w:hAnsi="Montserrat"/>
          <w:b/>
          <w:bCs/>
          <w:color w:val="263A58"/>
          <w:sz w:val="21"/>
          <w:szCs w:val="21"/>
        </w:rPr>
        <w:t xml:space="preserve">Secciones y funcionalidades</w:t>
      </w:r>
    </w:p>
    <w:p>
      <w:pPr>
        <w:pStyle w:val="ListParagraph"/>
        <w:numPr>
          <w:ilvl w:val="0"/>
          <w:numId w:val="2"/>
        </w:numPr>
        <w:spacing w:after="70" w:line="285"/>
      </w:pPr>
      <w:r>
        <w:rPr>
          <w:rFonts w:ascii="Montserrat" w:cs="Montserrat" w:eastAsia="Montserrat" w:hAnsi="Montserrat"/>
          <w:b/>
          <w:bCs/>
        </w:rPr>
        <w:t xml:space="preserve">Estructura. </w:t>
      </w:r>
      <w:r>
        <w:rPr>
          <w:rFonts w:ascii="Montserrat" w:cs="Montserrat" w:eastAsia="Montserrat" w:hAnsi="Montserrat"/>
        </w:rPr>
        <w:t xml:space="preserve">Pestañas Seguimiento y Alertas por correo, en la parte superior de la pantalla.</w:t>
      </w:r>
    </w:p>
    <w:p>
      <w:pPr>
        <w:pStyle w:val="ListParagraph"/>
        <w:numPr>
          <w:ilvl w:val="0"/>
          <w:numId w:val="2"/>
        </w:numPr>
        <w:spacing w:after="70" w:line="285"/>
      </w:pPr>
      <w:r>
        <w:rPr>
          <w:rFonts w:ascii="Montserrat" w:cs="Montserrat" w:eastAsia="Montserrat" w:hAnsi="Montserrat"/>
          <w:b/>
          <w:bCs/>
        </w:rPr>
        <w:t xml:space="preserve">Filtros. </w:t>
      </w:r>
      <w:r>
        <w:rPr>
          <w:rFonts w:ascii="Montserrat" w:cs="Montserrat" w:eastAsia="Montserrat" w:hAnsi="Montserrat"/>
        </w:rPr>
        <w:t xml:space="preserve">Año (todos, 2025 o 2026), mes del corte (de enero a diciembre, con los meses sin datos deshabilitados), proceso, estado de reporte y búsqueda por indicador, proceso o ID.</w:t>
      </w:r>
    </w:p>
    <w:p>
      <w:pPr>
        <w:pStyle w:val="ListParagraph"/>
        <w:numPr>
          <w:ilvl w:val="0"/>
          <w:numId w:val="2"/>
        </w:numPr>
        <w:spacing w:after="70" w:line="285"/>
      </w:pPr>
      <w:r>
        <w:rPr>
          <w:rFonts w:ascii="Montserrat" w:cs="Montserrat" w:eastAsia="Montserrat" w:hAnsi="Montserrat"/>
          <w:b/>
          <w:bCs/>
        </w:rPr>
        <w:t xml:space="preserve">Filtro por estado. </w:t>
      </w:r>
      <w:r>
        <w:rPr>
          <w:rFonts w:ascii="Montserrat" w:cs="Montserrat" w:eastAsia="Montserrat" w:hAnsi="Montserrat"/>
        </w:rPr>
        <w:t xml:space="preserve">Estado de reporte: Todos, Reportado, Pendiente o No aplica.</w:t>
      </w:r>
    </w:p>
    <w:p>
      <w:pPr>
        <w:pStyle w:val="ListParagraph"/>
        <w:numPr>
          <w:ilvl w:val="0"/>
          <w:numId w:val="2"/>
        </w:numPr>
        <w:spacing w:after="70" w:line="285"/>
      </w:pPr>
      <w:r>
        <w:rPr>
          <w:rFonts w:ascii="Montserrat" w:cs="Montserrat" w:eastAsia="Montserrat" w:hAnsi="Montserrat"/>
          <w:b/>
          <w:bCs/>
        </w:rPr>
        <w:t xml:space="preserve">Cumplimiento del corte. </w:t>
      </w:r>
      <w:r>
        <w:rPr>
          <w:rFonts w:ascii="Montserrat" w:cs="Montserrat" w:eastAsia="Montserrat" w:hAnsi="Montserrat"/>
        </w:rPr>
        <w:t xml:space="preserve">Porcentaje de indicadores reportados en el corte, con su variación en puntos porcentuales frente al corte anterior y una línea de tendencia.</w:t>
      </w:r>
    </w:p>
    <w:p>
      <w:pPr>
        <w:pStyle w:val="ListParagraph"/>
        <w:numPr>
          <w:ilvl w:val="0"/>
          <w:numId w:val="2"/>
        </w:numPr>
        <w:spacing w:after="70" w:line="285"/>
      </w:pPr>
      <w:r>
        <w:rPr>
          <w:rFonts w:ascii="Montserrat" w:cs="Montserrat" w:eastAsia="Montserrat" w:hAnsi="Montserrat"/>
          <w:b/>
          <w:bCs/>
        </w:rPr>
        <w:t xml:space="preserve">Indicadores clave. </w:t>
      </w:r>
      <w:r>
        <w:rPr>
          <w:rFonts w:ascii="Montserrat" w:cs="Montserrat" w:eastAsia="Montserrat" w:hAnsi="Montserrat"/>
        </w:rPr>
        <w:t xml:space="preserve">Tres tarjetas: indicadores reportados sobre el total de exigibles, indicadores pendientes con el número de procesos involucrados e indicadores que no aplican.</w:t>
      </w:r>
    </w:p>
    <w:p>
      <w:pPr>
        <w:pStyle w:val="ListParagraph"/>
        <w:numPr>
          <w:ilvl w:val="0"/>
          <w:numId w:val="2"/>
        </w:numPr>
        <w:spacing w:after="70" w:line="285"/>
      </w:pPr>
      <w:r>
        <w:rPr>
          <w:rFonts w:ascii="Montserrat" w:cs="Montserrat" w:eastAsia="Montserrat" w:hAnsi="Montserrat"/>
          <w:b/>
          <w:bCs/>
        </w:rPr>
        <w:t xml:space="preserve">Evolución por corte. </w:t>
      </w:r>
      <w:r>
        <w:rPr>
          <w:rFonts w:ascii="Montserrat" w:cs="Montserrat" w:eastAsia="Montserrat" w:hAnsi="Montserrat"/>
        </w:rPr>
        <w:t xml:space="preserve">Gráfico mensual que combina el porcentaje de cumplimiento del reporte con los indicadores pendientes de cada mes; al hacer clic en un punto se consulta ese corte.</w:t>
      </w:r>
    </w:p>
    <w:p>
      <w:pPr>
        <w:pStyle w:val="ListParagraph"/>
        <w:numPr>
          <w:ilvl w:val="0"/>
          <w:numId w:val="2"/>
        </w:numPr>
        <w:spacing w:after="70" w:line="285"/>
      </w:pPr>
      <w:r>
        <w:rPr>
          <w:rFonts w:ascii="Montserrat" w:cs="Montserrat" w:eastAsia="Montserrat" w:hAnsi="Montserrat"/>
          <w:b/>
          <w:bCs/>
        </w:rPr>
        <w:t xml:space="preserve">Estado de los reportes. </w:t>
      </w:r>
      <w:r>
        <w:rPr>
          <w:rFonts w:ascii="Montserrat" w:cs="Montserrat" w:eastAsia="Montserrat" w:hAnsi="Montserrat"/>
        </w:rPr>
        <w:t xml:space="preserve">Gráfico de dona con la distribución de reportados, pendientes y no aplica del corte seleccionado.</w:t>
      </w:r>
    </w:p>
    <w:p>
      <w:pPr>
        <w:pStyle w:val="ListParagraph"/>
        <w:numPr>
          <w:ilvl w:val="0"/>
          <w:numId w:val="2"/>
        </w:numPr>
        <w:spacing w:after="70" w:line="285"/>
      </w:pPr>
      <w:r>
        <w:rPr>
          <w:rFonts w:ascii="Montserrat" w:cs="Montserrat" w:eastAsia="Montserrat" w:hAnsi="Montserrat"/>
          <w:b/>
          <w:bCs/>
        </w:rPr>
        <w:t xml:space="preserve">Exportación. </w:t>
      </w:r>
      <w:r>
        <w:rPr>
          <w:rFonts w:ascii="Montserrat" w:cs="Montserrat" w:eastAsia="Montserrat" w:hAnsi="Montserrat"/>
        </w:rPr>
        <w:t xml:space="preserve">Descarga a Excel del detalle filtrado, con indicador, proceso y estado.</w:t>
      </w:r>
    </w:p>
    <w:p>
      <w:pPr>
        <w:pStyle w:val="ListParagraph"/>
        <w:numPr>
          <w:ilvl w:val="0"/>
          <w:numId w:val="2"/>
        </w:numPr>
        <w:spacing w:after="70" w:line="285"/>
      </w:pPr>
      <w:r>
        <w:rPr>
          <w:rFonts w:ascii="Montserrat" w:cs="Montserrat" w:eastAsia="Montserrat" w:hAnsi="Montserrat"/>
          <w:b/>
          <w:bCs/>
        </w:rPr>
        <w:t xml:space="preserve">Alertas por correo. </w:t>
      </w:r>
      <w:r>
        <w:rPr>
          <w:rFonts w:ascii="Montserrat" w:cs="Montserrat" w:eastAsia="Montserrat" w:hAnsi="Montserrat"/>
        </w:rPr>
        <w:t xml:space="preserve">Notificación a los responsables de los indicadores pendientes, para cerrar el reporte a tiempo.</w:t>
      </w:r>
    </w:p>
    <w:p>
      <w:pPr>
        <w:keepNext/>
        <w:pBdr>
          <w:top w:val="single" w:color="D0D7DE" w:sz="4"/>
          <w:left w:val="single" w:color="D0D7DE" w:sz="4"/>
          <w:bottom w:val="single" w:color="D0D7DE" w:sz="4"/>
          <w:right w:val="single" w:color="D0D7DE" w:sz="4"/>
        </w:pBdr>
        <w:spacing w:after="40" w:before="120"/>
        <w:jc w:val="center"/>
      </w:pPr>
      <w:r>
        <w:drawing>
          <wp:inline distT="0" distB="0" distL="0" distR="0">
            <wp:extent cx="5334000" cy="3343275"/>
            <wp:effectExtent t="0" r="0" b="0" l="0"/>
            <wp:docPr id="24" name="seg0" descr="Figura 23. Seguimiento Operativo: filtros por año, mes, proceso y estado, y cumplimiento del corte" title="Figura 23. Seguimiento Operativo: filtros por año, mes, proceso y estado, y cumplimiento del c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3343275"/>
                    </a:xfrm>
                    <a:prstGeom prst="rect">
                      <a:avLst/>
                    </a:prstGeom>
                  </pic:spPr>
                </pic:pic>
              </a:graphicData>
            </a:graphic>
          </wp:inline>
        </w:drawing>
      </w:r>
    </w:p>
    <w:p>
      <w:pPr>
        <w:spacing w:after="160"/>
        <w:jc w:val="center"/>
      </w:pPr>
      <w:r>
        <w:rPr>
          <w:rFonts w:ascii="Montserrat" w:cs="Montserrat" w:eastAsia="Montserrat" w:hAnsi="Montserrat"/>
          <w:i/>
          <w:iCs/>
          <w:color w:val="666666"/>
          <w:sz w:val="16"/>
          <w:szCs w:val="16"/>
        </w:rPr>
        <w:t xml:space="preserve">Figura 23. Seguimiento Operativo: filtros por año, mes, proceso y estado, y cumplimiento del corte</w:t>
      </w:r>
    </w:p>
    <w:p>
      <w:pPr>
        <w:keepNext/>
        <w:pBdr>
          <w:top w:val="single" w:color="D0D7DE" w:sz="4"/>
          <w:left w:val="single" w:color="D0D7DE" w:sz="4"/>
          <w:bottom w:val="single" w:color="D0D7DE" w:sz="4"/>
          <w:right w:val="single" w:color="D0D7DE" w:sz="4"/>
        </w:pBdr>
        <w:spacing w:after="40" w:before="120"/>
        <w:jc w:val="center"/>
      </w:pPr>
      <w:r>
        <w:drawing>
          <wp:inline distT="0" distB="0" distL="0" distR="0">
            <wp:extent cx="5334000" cy="3343275"/>
            <wp:effectExtent t="0" r="0" b="0" l="0"/>
            <wp:docPr id="25" name="seg1" descr="Figura 24. Seguimiento Operativo: indicadores reportados, pendientes y que no aplican" title="Figura 24. Seguimiento Operativo: indicadores reportados, pendientes y que no apli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3343275"/>
                    </a:xfrm>
                    <a:prstGeom prst="rect">
                      <a:avLst/>
                    </a:prstGeom>
                  </pic:spPr>
                </pic:pic>
              </a:graphicData>
            </a:graphic>
          </wp:inline>
        </w:drawing>
      </w:r>
    </w:p>
    <w:p>
      <w:pPr>
        <w:spacing w:after="160"/>
        <w:jc w:val="center"/>
      </w:pPr>
      <w:r>
        <w:rPr>
          <w:rFonts w:ascii="Montserrat" w:cs="Montserrat" w:eastAsia="Montserrat" w:hAnsi="Montserrat"/>
          <w:i/>
          <w:iCs/>
          <w:color w:val="666666"/>
          <w:sz w:val="16"/>
          <w:szCs w:val="16"/>
        </w:rPr>
        <w:t xml:space="preserve">Figura 24. Seguimiento Operativo: indicadores reportados, pendientes y que no aplican</w:t>
      </w:r>
    </w:p>
    <w:p>
      <w:pPr>
        <w:keepNext/>
        <w:spacing w:after="80" w:before="160"/>
      </w:pPr>
      <w:r>
        <w:rPr>
          <w:rFonts w:ascii="Montserrat" w:cs="Montserrat" w:eastAsia="Montserrat" w:hAnsi="Montserrat"/>
          <w:b/>
          <w:bCs/>
          <w:color w:val="263A58"/>
          <w:sz w:val="21"/>
          <w:szCs w:val="21"/>
        </w:rPr>
        <w:t xml:space="preserve">Cómo se usa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4160"/>
      </w:tblGrid>
      <w:tr>
        <w:trPr>
          <w:cantSplit/>
          <w:tblHeader/>
        </w:trPr>
        <w:tc>
          <w:tcPr>
            <w:tcW w:type="dxa" w:w="90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pPr>
              <w:jc w:val="center"/>
            </w:pPr>
            <w:r>
              <w:rPr>
                <w:rFonts w:ascii="Montserrat" w:cs="Montserrat" w:eastAsia="Montserrat" w:hAnsi="Montserrat"/>
                <w:b/>
                <w:bCs/>
                <w:color w:val="FFFFFF"/>
                <w:sz w:val="18"/>
                <w:szCs w:val="18"/>
              </w:rPr>
              <w:t xml:space="preserve">Paso</w:t>
            </w:r>
          </w:p>
        </w:tc>
        <w:tc>
          <w:tcPr>
            <w:tcW w:type="dxa" w:w="430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Acción</w:t>
            </w:r>
          </w:p>
        </w:tc>
        <w:tc>
          <w:tcPr>
            <w:tcW w:type="dxa" w:w="416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Resultado</w:t>
            </w:r>
          </w:p>
        </w:tc>
      </w:tr>
      <w:tr>
        <w:trPr>
          <w:cantSplit/>
        </w:trPr>
        <w:tc>
          <w:tcPr>
            <w:tcW w:type="dxa" w:w="900"/>
            <w:tcBorders>
              <w:top w:val="single" w:color="D0D7DE" w:sz="4"/>
              <w:left w:val="single" w:color="D0D7DE" w:sz="4"/>
              <w:bottom w:val="single" w:color="D0D7DE" w:sz="4"/>
              <w:right w:val="single" w:color="D0D7DE" w:sz="4"/>
            </w:tcBorders>
            <w:tcMar>
              <w:top w:type="dxa" w:w="70"/>
              <w:left w:type="dxa" w:w="110"/>
              <w:bottom w:type="dxa" w:w="70"/>
              <w:right w:type="dxa" w:w="110"/>
            </w:tcMar>
          </w:tcPr>
          <w:p>
            <w:pPr>
              <w:jc w:val="center"/>
            </w:pPr>
            <w:r>
              <w:rPr>
                <w:rFonts w:ascii="Montserrat" w:cs="Montserrat" w:eastAsia="Montserrat" w:hAnsi="Montserrat"/>
                <w:b/>
                <w:bCs/>
                <w:sz w:val="18"/>
                <w:szCs w:val="18"/>
              </w:rPr>
              <w:t xml:space="preserve">1</w:t>
            </w:r>
          </w:p>
        </w:tc>
        <w:tc>
          <w:tcPr>
            <w:tcW w:type="dxa" w:w="43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Elegir año y mes del corte</w:t>
            </w:r>
          </w:p>
        </w:tc>
        <w:tc>
          <w:tcPr>
            <w:tcW w:type="dxa" w:w="41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El tablero se recalcula para ese corte</w:t>
            </w:r>
          </w:p>
        </w:tc>
      </w:tr>
      <w:tr>
        <w:trPr>
          <w:cantSplit/>
        </w:trPr>
        <w:tc>
          <w:tcPr>
            <w:tcW w:type="dxa" w:w="9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pPr>
              <w:jc w:val="center"/>
            </w:pPr>
            <w:r>
              <w:rPr>
                <w:rFonts w:ascii="Montserrat" w:cs="Montserrat" w:eastAsia="Montserrat" w:hAnsi="Montserrat"/>
                <w:b/>
                <w:bCs/>
                <w:sz w:val="18"/>
                <w:szCs w:val="18"/>
              </w:rPr>
              <w:t xml:space="preserve">2</w:t>
            </w:r>
          </w:p>
        </w:tc>
        <w:tc>
          <w:tcPr>
            <w:tcW w:type="dxa" w:w="43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Filtrar por proceso o estado</w:t>
            </w:r>
          </w:p>
        </w:tc>
        <w:tc>
          <w:tcPr>
            <w:tcW w:type="dxa" w:w="41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Se listan los indicadores del proceso y su estado de reporte</w:t>
            </w:r>
          </w:p>
        </w:tc>
      </w:tr>
      <w:tr>
        <w:trPr>
          <w:cantSplit/>
        </w:trPr>
        <w:tc>
          <w:tcPr>
            <w:tcW w:type="dxa" w:w="900"/>
            <w:tcBorders>
              <w:top w:val="single" w:color="D0D7DE" w:sz="4"/>
              <w:left w:val="single" w:color="D0D7DE" w:sz="4"/>
              <w:bottom w:val="single" w:color="D0D7DE" w:sz="4"/>
              <w:right w:val="single" w:color="D0D7DE" w:sz="4"/>
            </w:tcBorders>
            <w:tcMar>
              <w:top w:type="dxa" w:w="70"/>
              <w:left w:type="dxa" w:w="110"/>
              <w:bottom w:type="dxa" w:w="70"/>
              <w:right w:type="dxa" w:w="110"/>
            </w:tcMar>
          </w:tcPr>
          <w:p>
            <w:pPr>
              <w:jc w:val="center"/>
            </w:pPr>
            <w:r>
              <w:rPr>
                <w:rFonts w:ascii="Montserrat" w:cs="Montserrat" w:eastAsia="Montserrat" w:hAnsi="Montserrat"/>
                <w:b/>
                <w:bCs/>
                <w:sz w:val="18"/>
                <w:szCs w:val="18"/>
              </w:rPr>
              <w:t xml:space="preserve">3</w:t>
            </w:r>
          </w:p>
        </w:tc>
        <w:tc>
          <w:tcPr>
            <w:tcW w:type="dxa" w:w="43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Revisar pendientes y su tendencia</w:t>
            </w:r>
          </w:p>
        </w:tc>
        <w:tc>
          <w:tcPr>
            <w:tcW w:type="dxa" w:w="41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Se identifican los procesos con mayor rezago</w:t>
            </w:r>
          </w:p>
        </w:tc>
      </w:tr>
      <w:tr>
        <w:trPr>
          <w:cantSplit/>
        </w:trPr>
        <w:tc>
          <w:tcPr>
            <w:tcW w:type="dxa" w:w="9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pPr>
              <w:jc w:val="center"/>
            </w:pPr>
            <w:r>
              <w:rPr>
                <w:rFonts w:ascii="Montserrat" w:cs="Montserrat" w:eastAsia="Montserrat" w:hAnsi="Montserrat"/>
                <w:b/>
                <w:bCs/>
                <w:sz w:val="18"/>
                <w:szCs w:val="18"/>
              </w:rPr>
              <w:t xml:space="preserve">4</w:t>
            </w:r>
          </w:p>
        </w:tc>
        <w:tc>
          <w:tcPr>
            <w:tcW w:type="dxa" w:w="43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Descargar el detalle o enviar alertas por correo</w:t>
            </w:r>
          </w:p>
        </w:tc>
        <w:tc>
          <w:tcPr>
            <w:tcW w:type="dxa" w:w="41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El responsable recibe la solicitud y completa el reporte</w:t>
            </w:r>
          </w:p>
        </w:tc>
      </w:tr>
    </w:tbl>
    <w:p>
      <w:pPr>
        <w:spacing w:after="100"/>
      </w:pPr>
    </w:p>
    <w:p>
      <w:pPr>
        <w:spacing w:after="120" w:line="300"/>
      </w:pPr>
      <w:r>
        <w:rPr>
          <w:rFonts w:ascii="Montserrat" w:cs="Montserrat" w:eastAsia="Montserrat" w:hAnsi="Montserrat"/>
        </w:rPr>
        <w:t xml:space="preserve">Beneficio: convierte el reporte de indicadores en un proceso medible, con corte mensual, responsables claros y recordatorios, y mejora la oportunidad del dato que alimenta el CMI, el Informe por Procesos y el Informe Ejecutivo.</w:t>
      </w:r>
    </w:p>
    <w:p>
      <w:pPr>
        <w:pStyle w:val="Heading2"/>
        <w:keepNext/>
      </w:pPr>
      <w:r>
        <w:rPr>
          <w:rFonts w:ascii="Montserrat" w:cs="Montserrat" w:eastAsia="Montserrat" w:hAnsi="Montserrat"/>
        </w:rPr>
        <w:t xml:space="preserve">5.9 Gestión de Oportunidades de Mejora (OM)</w:t>
      </w:r>
    </w:p>
    <w:p>
      <w:pPr>
        <w:spacing w:after="120" w:line="300"/>
      </w:pPr>
      <w:r>
        <w:rPr>
          <w:rFonts w:ascii="Montserrat" w:cs="Montserrat" w:eastAsia="Montserrat" w:hAnsi="Montserrat"/>
        </w:rPr>
        <w:t xml:space="preserve">Propósito: vincular cada indicador en peligro con su oportunidad de mejora y seguirla hasta el cierre. Es el módulo donde la información se registra y modifica dentro del sistema; solo los roles de gestión pueden editarla.</w:t>
      </w:r>
    </w:p>
    <w:p>
      <w:pPr>
        <w:keepNext/>
        <w:spacing w:after="80" w:before="160"/>
      </w:pPr>
      <w:r>
        <w:rPr>
          <w:rFonts w:ascii="Montserrat" w:cs="Montserrat" w:eastAsia="Montserrat" w:hAnsi="Montserrat"/>
          <w:b/>
          <w:bCs/>
          <w:color w:val="263A58"/>
          <w:sz w:val="21"/>
          <w:szCs w:val="21"/>
        </w:rPr>
        <w:t xml:space="preserve">Secciones y funcionalidades</w:t>
      </w:r>
    </w:p>
    <w:p>
      <w:pPr>
        <w:pStyle w:val="ListParagraph"/>
        <w:numPr>
          <w:ilvl w:val="0"/>
          <w:numId w:val="2"/>
        </w:numPr>
        <w:spacing w:after="70" w:line="285"/>
      </w:pPr>
      <w:r>
        <w:rPr>
          <w:rFonts w:ascii="Montserrat" w:cs="Montserrat" w:eastAsia="Montserrat" w:hAnsi="Montserrat"/>
          <w:b/>
          <w:bCs/>
        </w:rPr>
        <w:t xml:space="preserve">Filtros. </w:t>
      </w:r>
      <w:r>
        <w:rPr>
          <w:rFonts w:ascii="Montserrat" w:cs="Montserrat" w:eastAsia="Montserrat" w:hAnsi="Montserrat"/>
        </w:rPr>
        <w:t xml:space="preserve">Año, mes del corte, proceso, subproceso, búsqueda por ID, indicador, proceso u OM y opción de incluir indicadores en alerta.</w:t>
      </w:r>
    </w:p>
    <w:p>
      <w:pPr>
        <w:pStyle w:val="ListParagraph"/>
        <w:numPr>
          <w:ilvl w:val="0"/>
          <w:numId w:val="2"/>
        </w:numPr>
        <w:spacing w:after="70" w:line="285"/>
      </w:pPr>
      <w:r>
        <w:rPr>
          <w:rFonts w:ascii="Montserrat" w:cs="Montserrat" w:eastAsia="Montserrat" w:hAnsi="Montserrat"/>
          <w:b/>
          <w:bCs/>
        </w:rPr>
        <w:t xml:space="preserve">Indicadores clave. </w:t>
      </w:r>
      <w:r>
        <w:rPr>
          <w:rFonts w:ascii="Montserrat" w:cs="Montserrat" w:eastAsia="Montserrat" w:hAnsi="Montserrat"/>
        </w:rPr>
        <w:t xml:space="preserve">Indicadores en riesgo clasificados como sin OM, en gestión y cerradas, con la cobertura de OM sobre los indicadores en riesgo.</w:t>
      </w:r>
    </w:p>
    <w:p>
      <w:pPr>
        <w:pStyle w:val="ListParagraph"/>
        <w:numPr>
          <w:ilvl w:val="0"/>
          <w:numId w:val="2"/>
        </w:numPr>
        <w:spacing w:after="70" w:line="285"/>
      </w:pPr>
      <w:r>
        <w:rPr>
          <w:rFonts w:ascii="Montserrat" w:cs="Montserrat" w:eastAsia="Montserrat" w:hAnsi="Montserrat"/>
          <w:b/>
          <w:bCs/>
        </w:rPr>
        <w:t xml:space="preserve">Análisis por proceso. </w:t>
      </w:r>
      <w:r>
        <w:rPr>
          <w:rFonts w:ascii="Montserrat" w:cs="Montserrat" w:eastAsia="Montserrat" w:hAnsi="Montserrat"/>
        </w:rPr>
        <w:t xml:space="preserve">Gráfico de indicadores en riesgo por proceso (con y sin OM) que filtra la tabla al hacer clic.</w:t>
      </w:r>
    </w:p>
    <w:p>
      <w:pPr>
        <w:pStyle w:val="ListParagraph"/>
        <w:numPr>
          <w:ilvl w:val="0"/>
          <w:numId w:val="2"/>
        </w:numPr>
        <w:spacing w:after="70" w:line="285"/>
      </w:pPr>
      <w:r>
        <w:rPr>
          <w:rFonts w:ascii="Montserrat" w:cs="Montserrat" w:eastAsia="Montserrat" w:hAnsi="Montserrat"/>
          <w:b/>
          <w:bCs/>
        </w:rPr>
        <w:t xml:space="preserve">Gestión. </w:t>
      </w:r>
      <w:r>
        <w:rPr>
          <w:rFonts w:ascii="Montserrat" w:cs="Montserrat" w:eastAsia="Montserrat" w:hAnsi="Montserrat"/>
        </w:rPr>
        <w:t xml:space="preserve">Crear, editar y cerrar oportunidades de mejora, con registro de auditoría.</w:t>
      </w:r>
    </w:p>
    <w:p>
      <w:pPr>
        <w:keepNext/>
        <w:pBdr>
          <w:top w:val="single" w:color="D0D7DE" w:sz="4"/>
          <w:left w:val="single" w:color="D0D7DE" w:sz="4"/>
          <w:bottom w:val="single" w:color="D0D7DE" w:sz="4"/>
          <w:right w:val="single" w:color="D0D7DE" w:sz="4"/>
        </w:pBdr>
        <w:spacing w:after="40" w:before="120"/>
        <w:jc w:val="center"/>
      </w:pPr>
      <w:r>
        <w:drawing>
          <wp:inline distT="0" distB="0" distL="0" distR="0">
            <wp:extent cx="5334000" cy="3400425"/>
            <wp:effectExtent t="0" r="0" b="0" l="0"/>
            <wp:docPr id="26" name="om1" descr="Figura 25. Gestión OM: filtros e indicadores en riesgo" title="Figura 25. Gestión OM: filtros e indicadores en ries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3400425"/>
                    </a:xfrm>
                    <a:prstGeom prst="rect">
                      <a:avLst/>
                    </a:prstGeom>
                  </pic:spPr>
                </pic:pic>
              </a:graphicData>
            </a:graphic>
          </wp:inline>
        </w:drawing>
      </w:r>
    </w:p>
    <w:p>
      <w:pPr>
        <w:spacing w:after="160"/>
        <w:jc w:val="center"/>
      </w:pPr>
      <w:r>
        <w:rPr>
          <w:rFonts w:ascii="Montserrat" w:cs="Montserrat" w:eastAsia="Montserrat" w:hAnsi="Montserrat"/>
          <w:i/>
          <w:iCs/>
          <w:color w:val="666666"/>
          <w:sz w:val="16"/>
          <w:szCs w:val="16"/>
        </w:rPr>
        <w:t xml:space="preserve">Figura 25. Gestión OM: filtros e indicadores en riesgo</w:t>
      </w:r>
    </w:p>
    <w:p>
      <w:pPr>
        <w:pStyle w:val="Heading1"/>
        <w:pageBreakBefore/>
      </w:pPr>
      <w:r>
        <w:rPr>
          <w:rFonts w:ascii="Montserrat" w:cs="Montserrat" w:eastAsia="Montserrat" w:hAnsi="Montserrat"/>
        </w:rPr>
        <w:t xml:space="preserve">6. Fuentes de datos y catálogos</w:t>
      </w:r>
    </w:p>
    <w:p>
      <w:pPr>
        <w:spacing w:after="120" w:line="300"/>
      </w:pPr>
      <w:r>
        <w:rPr>
          <w:rFonts w:ascii="Montserrat" w:cs="Montserrat" w:eastAsia="Montserrat" w:hAnsi="Montserrat"/>
        </w:rPr>
        <w:t xml:space="preserve">Los tableros no calculan los indicadores por su cuenta: leen un consolidado institucional que se construye a partir de fuentes oficiales y se enriquece con catálogos mantenidos por Planeación. Esta capa de datos es la que garantiza que cada cifra sea trazable hasta su origen.</w:t>
      </w:r>
    </w:p>
    <w:p>
      <w:pPr>
        <w:pStyle w:val="Heading2"/>
        <w:keepNext/>
      </w:pPr>
      <w:r>
        <w:rPr>
          <w:rFonts w:ascii="Montserrat" w:cs="Montserrat" w:eastAsia="Montserrat" w:hAnsi="Montserrat"/>
        </w:rPr>
        <w:t xml:space="preserve">6.1 Fuentes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560"/>
        <w:gridCol w:w="1900"/>
      </w:tblGrid>
      <w:tr>
        <w:trPr>
          <w:cantSplit/>
          <w:tblHeader/>
        </w:trPr>
        <w:tc>
          <w:tcPr>
            <w:tcW w:type="dxa" w:w="290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Fuente</w:t>
            </w:r>
          </w:p>
        </w:tc>
        <w:tc>
          <w:tcPr>
            <w:tcW w:type="dxa" w:w="456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Qué aporta</w:t>
            </w:r>
          </w:p>
        </w:tc>
        <w:tc>
          <w:tcPr>
            <w:tcW w:type="dxa" w:w="190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Frecuencia</w:t>
            </w:r>
          </w:p>
        </w:tc>
      </w:tr>
      <w:tr>
        <w:trPr>
          <w:cantSplit/>
        </w:trPr>
        <w:tc>
          <w:tcPr>
            <w:tcW w:type="dxa" w:w="29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Kawak (exportes por año, 2022-2026)</w:t>
            </w:r>
          </w:p>
        </w:tc>
        <w:tc>
          <w:tcPr>
            <w:tcW w:type="dxa" w:w="45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Resultados de los indicadores: fecha, resultado, análisis, variables y series</w:t>
            </w:r>
          </w:p>
        </w:tc>
        <w:tc>
          <w:tcPr>
            <w:tcW w:type="dxa" w:w="19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Mensual, con consolidación automática</w:t>
            </w:r>
          </w:p>
        </w:tc>
      </w:tr>
      <w:tr>
        <w:trPr>
          <w:cantSplit/>
        </w:trPr>
        <w:tc>
          <w:tcPr>
            <w:tcW w:type="dxa" w:w="29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API de resultados (por año)</w:t>
            </w:r>
          </w:p>
        </w:tc>
        <w:tc>
          <w:tcPr>
            <w:tcW w:type="dxa" w:w="45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Resultados detallados por variable y por serie</w:t>
            </w:r>
          </w:p>
        </w:tc>
        <w:tc>
          <w:tcPr>
            <w:tcW w:type="dxa" w:w="19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Mensual</w:t>
            </w:r>
          </w:p>
        </w:tc>
      </w:tr>
      <w:tr>
        <w:trPr>
          <w:cantSplit/>
        </w:trPr>
        <w:tc>
          <w:tcPr>
            <w:tcW w:type="dxa" w:w="29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Catálogo maestro de indicadores</w:t>
            </w:r>
          </w:p>
        </w:tc>
        <w:tc>
          <w:tcPr>
            <w:tcW w:type="dxa" w:w="45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Clasificación, proceso, periodicidad, sentido, tipo de cálculo y estado de cada indicador</w:t>
            </w:r>
          </w:p>
        </w:tc>
        <w:tc>
          <w:tcPr>
            <w:tcW w:type="dxa" w:w="19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Mantenido por Planeación</w:t>
            </w:r>
          </w:p>
        </w:tc>
      </w:tr>
      <w:tr>
        <w:trPr>
          <w:cantSplit/>
        </w:trPr>
        <w:tc>
          <w:tcPr>
            <w:tcW w:type="dxa" w:w="29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Ficha técnica de indicadores</w:t>
            </w:r>
          </w:p>
        </w:tc>
        <w:tc>
          <w:tcPr>
            <w:tcW w:type="dxa" w:w="45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Definición, unidad, línea y objetivo estratégico, vigencia y variables</w:t>
            </w:r>
          </w:p>
        </w:tc>
        <w:tc>
          <w:tcPr>
            <w:tcW w:type="dxa" w:w="19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Mantenida por Planeación</w:t>
            </w:r>
          </w:p>
        </w:tc>
      </w:tr>
      <w:tr>
        <w:trPr>
          <w:cantSplit/>
        </w:trPr>
        <w:tc>
          <w:tcPr>
            <w:tcW w:type="dxa" w:w="29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Indicadores por CMI</w:t>
            </w:r>
          </w:p>
        </w:tc>
        <w:tc>
          <w:tcPr>
            <w:tcW w:type="dxa" w:w="45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Clasificación de indicadores del Cuadro de Mando Integral</w:t>
            </w:r>
          </w:p>
        </w:tc>
        <w:tc>
          <w:tcPr>
            <w:tcW w:type="dxa" w:w="19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Sincronizada en cada corrida</w:t>
            </w:r>
          </w:p>
        </w:tc>
      </w:tr>
      <w:tr>
        <w:trPr>
          <w:cantSplit/>
        </w:trPr>
        <w:tc>
          <w:tcPr>
            <w:tcW w:type="dxa" w:w="29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Mapa Subproceso-Proceso-Área</w:t>
            </w:r>
          </w:p>
        </w:tc>
        <w:tc>
          <w:tcPr>
            <w:tcW w:type="dxa" w:w="45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Jerarquía organizacional para los filtros por unidad, proceso y subproceso</w:t>
            </w:r>
          </w:p>
        </w:tc>
        <w:tc>
          <w:tcPr>
            <w:tcW w:type="dxa" w:w="19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Manual</w:t>
            </w:r>
          </w:p>
        </w:tc>
      </w:tr>
      <w:tr>
        <w:trPr>
          <w:cantSplit/>
        </w:trPr>
        <w:tc>
          <w:tcPr>
            <w:tcW w:type="dxa" w:w="29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Plan de retos y proyectos PMO</w:t>
            </w:r>
          </w:p>
        </w:tc>
        <w:tc>
          <w:tcPr>
            <w:tcW w:type="dxa" w:w="45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Retos por área y avance de los proyectos institucionales</w:t>
            </w:r>
          </w:p>
        </w:tc>
        <w:tc>
          <w:tcPr>
            <w:tcW w:type="dxa" w:w="19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Un archivo por ciclo PDI</w:t>
            </w:r>
          </w:p>
        </w:tc>
      </w:tr>
      <w:tr>
        <w:trPr>
          <w:cantSplit/>
        </w:trPr>
        <w:tc>
          <w:tcPr>
            <w:tcW w:type="dxa" w:w="29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Monitoreo de información de procesos</w:t>
            </w:r>
          </w:p>
        </w:tc>
        <w:tc>
          <w:tcPr>
            <w:tcW w:type="dxa" w:w="45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Lista de chequeo con criterios de calidad del dato por proceso</w:t>
            </w:r>
          </w:p>
        </w:tc>
        <w:tc>
          <w:tcPr>
            <w:tcW w:type="dxa" w:w="19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Por corte</w:t>
            </w:r>
          </w:p>
        </w:tc>
      </w:tr>
      <w:tr>
        <w:trPr>
          <w:cantSplit/>
        </w:trPr>
        <w:tc>
          <w:tcPr>
            <w:tcW w:type="dxa" w:w="29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Anexo estadístico CNA</w:t>
            </w:r>
          </w:p>
        </w:tc>
        <w:tc>
          <w:tcPr>
            <w:tcW w:type="dxa" w:w="45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Tablas y gráficos de factores y características para el plan de mejoramiento</w:t>
            </w:r>
          </w:p>
        </w:tc>
        <w:tc>
          <w:tcPr>
            <w:tcW w:type="dxa" w:w="19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Extracción automática</w:t>
            </w:r>
          </w:p>
        </w:tc>
      </w:tr>
      <w:tr>
        <w:trPr>
          <w:cantSplit/>
        </w:trPr>
        <w:tc>
          <w:tcPr>
            <w:tcW w:type="dxa" w:w="29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POLISIGS</w:t>
            </w:r>
          </w:p>
        </w:tc>
        <w:tc>
          <w:tcPr>
            <w:tcW w:type="dxa" w:w="45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Indicadores de la política y de los seis objetivos del sistema integrado de gestión</w:t>
            </w:r>
          </w:p>
        </w:tc>
        <w:tc>
          <w:tcPr>
            <w:tcW w:type="dxa" w:w="19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Semestral (junio y diciembre)</w:t>
            </w:r>
          </w:p>
        </w:tc>
      </w:tr>
      <w:tr>
        <w:trPr>
          <w:cantSplit/>
        </w:trPr>
        <w:tc>
          <w:tcPr>
            <w:tcW w:type="dxa" w:w="29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Oportunidades de mejora (PostgreSQL)</w:t>
            </w:r>
          </w:p>
        </w:tc>
        <w:tc>
          <w:tcPr>
            <w:tcW w:type="dxa" w:w="45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Registro y cierre de OM ligadas a indicadores en riesgo</w:t>
            </w:r>
          </w:p>
        </w:tc>
        <w:tc>
          <w:tcPr>
            <w:tcW w:type="dxa" w:w="19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En línea</w:t>
            </w:r>
          </w:p>
        </w:tc>
      </w:tr>
    </w:tbl>
    <w:p>
      <w:pPr>
        <w:pStyle w:val="Heading2"/>
        <w:keepNext/>
      </w:pPr>
      <w:r>
        <w:rPr>
          <w:rFonts w:ascii="Montserrat" w:cs="Montserrat" w:eastAsia="Montserrat" w:hAnsi="Montserrat"/>
        </w:rPr>
        <w:t xml:space="preserve">6.2 Productos de datos generados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cantSplit/>
          <w:tblHeader/>
        </w:trPr>
        <w:tc>
          <w:tcPr>
            <w:tcW w:type="dxa" w:w="270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Producto</w:t>
            </w:r>
          </w:p>
        </w:tc>
        <w:tc>
          <w:tcPr>
            <w:tcW w:type="dxa" w:w="666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Contenido principal</w:t>
            </w:r>
          </w:p>
        </w:tc>
      </w:tr>
      <w:tr>
        <w:trPr>
          <w:cantSplit/>
        </w:trPr>
        <w:tc>
          <w:tcPr>
            <w:tcW w:type="dxa" w:w="27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Resultados Consolidados</w:t>
            </w:r>
          </w:p>
        </w:tc>
        <w:tc>
          <w:tcPr>
            <w:tcW w:type="dxa" w:w="66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Hojas Consolidado Histórico, Semestral y Cierres (cerca de 4.600, 2.800 y 1.700 registros), Cierre PDI, Variables, Desglose de Series y Catálogo de Indicadores. Es la fuente principal de todos los tableros.</w:t>
            </w:r>
          </w:p>
        </w:tc>
      </w:tr>
      <w:tr>
        <w:trPr>
          <w:cantSplit/>
        </w:trPr>
        <w:tc>
          <w:tcPr>
            <w:tcW w:type="dxa" w:w="27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Seguimiento de Reporte</w:t>
            </w:r>
          </w:p>
        </w:tc>
        <w:tc>
          <w:tcPr>
            <w:tcW w:type="dxa" w:w="66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Resumen por periodicidad, Tracking Mensual, hojas por frecuencia (mensual, bimestral, trimestral, semestral y anual) y matriz de calor.</w:t>
            </w:r>
          </w:p>
        </w:tc>
      </w:tr>
      <w:tr>
        <w:trPr>
          <w:cantSplit/>
        </w:trPr>
        <w:tc>
          <w:tcPr>
            <w:tcW w:type="dxa" w:w="27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Resultados Consolidados CNA</w:t>
            </w:r>
          </w:p>
        </w:tc>
        <w:tc>
          <w:tcPr>
            <w:tcW w:type="dxa" w:w="66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Métricas del plan de mejoramiento extraídas del anexo estadístico.</w:t>
            </w:r>
          </w:p>
        </w:tc>
      </w:tr>
      <w:tr>
        <w:trPr>
          <w:cantSplit/>
        </w:trPr>
        <w:tc>
          <w:tcPr>
            <w:tcW w:type="dxa" w:w="27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Narrativas versionadas (JSON)</w:t>
            </w:r>
          </w:p>
        </w:tc>
        <w:tc>
          <w:tcPr>
            <w:tcW w:type="dxa" w:w="66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Narrativa estratégica del PDI y diagnóstico por proceso, con borrador, publicado e historial.</w:t>
            </w:r>
          </w:p>
        </w:tc>
      </w:tr>
      <w:tr>
        <w:trPr>
          <w:cantSplit/>
        </w:trPr>
        <w:tc>
          <w:tcPr>
            <w:tcW w:type="dxa" w:w="27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Reportes de cada corrida</w:t>
            </w:r>
          </w:p>
        </w:tc>
        <w:tc>
          <w:tcPr>
            <w:tcW w:type="dxa" w:w="66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Informe JSON y bitácora de cada ejecución del pipeline, con métricas de calidad.</w:t>
            </w:r>
          </w:p>
        </w:tc>
      </w:tr>
      <w:tr>
        <w:trPr>
          <w:cantSplit/>
        </w:trPr>
        <w:tc>
          <w:tcPr>
            <w:tcW w:type="dxa" w:w="27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Informes en PDF</w:t>
            </w:r>
          </w:p>
        </w:tc>
        <w:tc>
          <w:tcPr>
            <w:tcW w:type="dxa" w:w="66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Informe Ejecutivo e Informe por Procesos descargables desde la interfaz.</w:t>
            </w:r>
          </w:p>
        </w:tc>
      </w:tr>
    </w:tbl>
    <w:p>
      <w:pPr>
        <w:pStyle w:val="Heading2"/>
        <w:keepNext/>
      </w:pPr>
      <w:r>
        <w:rPr>
          <w:rFonts w:ascii="Montserrat" w:cs="Montserrat" w:eastAsia="Montserrat" w:hAnsi="Montserrat"/>
        </w:rPr>
        <w:t xml:space="preserve">6.3 Catálogos y gobierno de la información</w:t>
      </w:r>
    </w:p>
    <w:p>
      <w:pPr>
        <w:spacing w:after="120" w:line="300"/>
      </w:pPr>
      <w:r>
        <w:rPr>
          <w:rFonts w:ascii="Montserrat" w:cs="Montserrat" w:eastAsia="Montserrat" w:hAnsi="Montserrat"/>
        </w:rPr>
        <w:t xml:space="preserve">Los catálogos son datos maestros: definen qué es cada indicador y a qué parte de la estrategia pertenece. Se mantienen en libros de Excel con listas de validación para que Planeación los administre sin tocar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cantSplit/>
          <w:tblHeader/>
        </w:trPr>
        <w:tc>
          <w:tcPr>
            <w:tcW w:type="dxa" w:w="220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Catálogo</w:t>
            </w:r>
          </w:p>
        </w:tc>
        <w:tc>
          <w:tcPr>
            <w:tcW w:type="dxa" w:w="456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Qué contiene</w:t>
            </w:r>
          </w:p>
        </w:tc>
        <w:tc>
          <w:tcPr>
            <w:tcW w:type="dxa" w:w="260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Regla de gobierno</w:t>
            </w:r>
          </w:p>
        </w:tc>
      </w:tr>
      <w:tr>
        <w:trPr>
          <w:cantSplit/>
        </w:trPr>
        <w:tc>
          <w:tcPr>
            <w:tcW w:type="dxa" w:w="22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Catálogo de indicadores</w:t>
            </w:r>
          </w:p>
        </w:tc>
        <w:tc>
          <w:tcPr>
            <w:tcW w:type="dxa" w:w="45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Más de 700 registros con 36 atributos: Id, indicador, clasificación, proceso, periodicidad, sentido, tipo de API, estado, fuente, extracción, tipo de cálculo, asociación, formato de valores, años activos y tipo de indicador</w:t>
            </w:r>
          </w:p>
        </w:tc>
        <w:tc>
          <w:tcPr>
            <w:tcW w:type="dxa" w:w="26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Directorio maestro: define cómo se extrae y calcula cada indicador</w:t>
            </w:r>
          </w:p>
        </w:tc>
      </w:tr>
      <w:tr>
        <w:trPr>
          <w:cantSplit/>
        </w:trPr>
        <w:tc>
          <w:tcPr>
            <w:tcW w:type="dxa" w:w="22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Ficha técnica detalle</w:t>
            </w:r>
          </w:p>
        </w:tc>
        <w:tc>
          <w:tcPr>
            <w:tcW w:type="dxa" w:w="45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Más de 60 campos por indicador, incluidos línea y objetivo estratégico, unidad, frecuencia y vigencia</w:t>
            </w:r>
          </w:p>
        </w:tc>
        <w:tc>
          <w:tcPr>
            <w:tcW w:type="dxa" w:w="26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Complementa el catálogo con la definición metodológica</w:t>
            </w:r>
          </w:p>
        </w:tc>
      </w:tr>
      <w:tr>
        <w:trPr>
          <w:cantSplit/>
        </w:trPr>
        <w:tc>
          <w:tcPr>
            <w:tcW w:type="dxa" w:w="22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PDI 2022-2026</w:t>
            </w:r>
          </w:p>
        </w:tc>
        <w:tc>
          <w:tcPr>
            <w:tcW w:type="dxa" w:w="45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683 indicadores asociados a línea, objetivo y meta; congelado al cierre del ciclo</w:t>
            </w:r>
          </w:p>
        </w:tc>
        <w:tc>
          <w:tcPr>
            <w:tcW w:type="dxa" w:w="26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Hoja independiente por ciclo</w:t>
            </w:r>
          </w:p>
        </w:tc>
      </w:tr>
      <w:tr>
        <w:trPr>
          <w:cantSplit/>
        </w:trPr>
        <w:tc>
          <w:tcPr>
            <w:tcW w:type="dxa" w:w="22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PDI 2026-2030</w:t>
            </w:r>
          </w:p>
        </w:tc>
        <w:tc>
          <w:tcPr>
            <w:tcW w:type="dxa" w:w="45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322 filas precargadas (indicadores activos, proyectos que continúan y proyectos nuevos) para que Planeación asigne línea, objetivo y meta</w:t>
            </w:r>
          </w:p>
        </w:tc>
        <w:tc>
          <w:tcPr>
            <w:tcW w:type="dxa" w:w="26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Hoja independiente por ciclo</w:t>
            </w:r>
          </w:p>
        </w:tc>
      </w:tr>
      <w:tr>
        <w:trPr>
          <w:cantSplit/>
        </w:trPr>
        <w:tc>
          <w:tcPr>
            <w:tcW w:type="dxa" w:w="22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Taxonomía del marco</w:t>
            </w:r>
          </w:p>
        </w:tc>
        <w:tc>
          <w:tcPr>
            <w:tcW w:type="dxa" w:w="45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Líneas, objetivos y metas de cada PDI con identificadores estables (línea, línea-O#, línea-O#-M#)</w:t>
            </w:r>
          </w:p>
        </w:tc>
        <w:tc>
          <w:tcPr>
            <w:tcW w:type="dxa" w:w="26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Versionada por ciclo</w:t>
            </w:r>
          </w:p>
        </w:tc>
      </w:tr>
      <w:tr>
        <w:trPr>
          <w:cantSplit/>
        </w:trPr>
        <w:tc>
          <w:tcPr>
            <w:tcW w:type="dxa" w:w="22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Listas desplegables</w:t>
            </w:r>
          </w:p>
        </w:tc>
        <w:tc>
          <w:tcPr>
            <w:tcW w:type="dxa" w:w="45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Listas de línea, objetivo y meta por ciclo, para escoger siempre el texto oficial</w:t>
            </w:r>
          </w:p>
        </w:tc>
        <w:tc>
          <w:tcPr>
            <w:tcW w:type="dxa" w:w="26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Evita textos libres y errores de digitación</w:t>
            </w:r>
          </w:p>
        </w:tc>
      </w:tr>
      <w:tr>
        <w:trPr>
          <w:cantSplit/>
        </w:trPr>
        <w:tc>
          <w:tcPr>
            <w:tcW w:type="dxa" w:w="22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Índice de tablas CNA</w:t>
            </w:r>
          </w:p>
        </w:tc>
        <w:tc>
          <w:tcPr>
            <w:tcW w:type="dxa" w:w="45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Catálogo de tablas y gráficos del anexo estadístico y su estructura</w:t>
            </w:r>
          </w:p>
        </w:tc>
        <w:tc>
          <w:tcPr>
            <w:tcW w:type="dxa" w:w="26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Alerta si una hoja nueva no tiene registro</w:t>
            </w:r>
          </w:p>
        </w:tc>
      </w:tr>
    </w:tbl>
    <w:p>
      <w:pPr>
        <w:spacing w:after="100"/>
      </w:pPr>
    </w:p>
    <w:p>
      <w:pPr>
        <w:pStyle w:val="ListParagraph"/>
        <w:numPr>
          <w:ilvl w:val="0"/>
          <w:numId w:val="2"/>
        </w:numPr>
        <w:spacing w:after="70" w:line="285"/>
      </w:pPr>
      <w:r>
        <w:rPr>
          <w:rFonts w:ascii="Montserrat" w:cs="Montserrat" w:eastAsia="Montserrat" w:hAnsi="Montserrat"/>
          <w:b/>
          <w:bCs/>
        </w:rPr>
        <w:t xml:space="preserve">Política de fusión. </w:t>
      </w:r>
      <w:r>
        <w:rPr>
          <w:rFonts w:ascii="Montserrat" w:cs="Montserrat" w:eastAsia="Montserrat" w:hAnsi="Montserrat"/>
        </w:rPr>
        <w:t xml:space="preserve">El directorio maestro se completa con la ficha técnica y con Indicadores por CMI, en ese orden de prioridad, y solo llena celdas vacías: nunca sobrescribe un valor ya corregido en SGIND.</w:t>
      </w:r>
    </w:p>
    <w:p>
      <w:pPr>
        <w:pStyle w:val="ListParagraph"/>
        <w:numPr>
          <w:ilvl w:val="0"/>
          <w:numId w:val="2"/>
        </w:numPr>
        <w:spacing w:after="70" w:line="285"/>
      </w:pPr>
      <w:r>
        <w:rPr>
          <w:rFonts w:ascii="Montserrat" w:cs="Montserrat" w:eastAsia="Montserrat" w:hAnsi="Montserrat"/>
          <w:b/>
          <w:bCs/>
        </w:rPr>
        <w:t xml:space="preserve">Regla de asociación. </w:t>
      </w:r>
      <w:r>
        <w:rPr>
          <w:rFonts w:ascii="Montserrat" w:cs="Montserrat" w:eastAsia="Montserrat" w:hAnsi="Montserrat"/>
        </w:rPr>
        <w:t xml:space="preserve">Una sola columna PDI por ciclo: 1 = indicador estratégico (exige meta estratégica), 0 = indicador de proceso (no puede tener meta estratégica), vacío = sin definir.</w:t>
      </w:r>
    </w:p>
    <w:p>
      <w:pPr>
        <w:pStyle w:val="ListParagraph"/>
        <w:numPr>
          <w:ilvl w:val="0"/>
          <w:numId w:val="2"/>
        </w:numPr>
        <w:spacing w:after="70" w:line="285"/>
      </w:pPr>
      <w:r>
        <w:rPr>
          <w:rFonts w:ascii="Montserrat" w:cs="Montserrat" w:eastAsia="Montserrat" w:hAnsi="Montserrat"/>
          <w:b/>
          <w:bCs/>
        </w:rPr>
        <w:t xml:space="preserve">Validación de la asociación. </w:t>
      </w:r>
      <w:r>
        <w:rPr>
          <w:rFonts w:ascii="Montserrat" w:cs="Montserrat" w:eastAsia="Montserrat" w:hAnsi="Montserrat"/>
        </w:rPr>
        <w:t xml:space="preserve">El sistema valida que el objetivo pertenezca a la línea y la meta al objetivo, rechaza repetidos y reporta cada incumplimiento con su fila, sin descartar datos.</w:t>
      </w:r>
    </w:p>
    <w:p>
      <w:pPr>
        <w:pStyle w:val="Heading1"/>
        <w:pageBreakBefore/>
      </w:pPr>
      <w:r>
        <w:rPr>
          <w:rFonts w:ascii="Montserrat" w:cs="Montserrat" w:eastAsia="Montserrat" w:hAnsi="Montserrat"/>
        </w:rPr>
        <w:t xml:space="preserve">7. Proceso de consolidación de datos (ETL)</w:t>
      </w:r>
    </w:p>
    <w:p>
      <w:pPr>
        <w:spacing w:after="120" w:line="300"/>
      </w:pPr>
      <w:r>
        <w:rPr>
          <w:rFonts w:ascii="Montserrat" w:cs="Montserrat" w:eastAsia="Montserrat" w:hAnsi="Montserrat"/>
        </w:rPr>
        <w:t xml:space="preserve">La consolidación convierte los exportes de Kawak y los catálogos en el libro Resultados Consolidados que consumen todos los módulos. Está implementada en scripts de Python, organizada en más de 20 módulos especializados, y se ejecuta de forma automática cada mes.</w:t>
      </w:r>
    </w:p>
    <w:p>
      <w:pPr>
        <w:pStyle w:val="Heading2"/>
        <w:keepNext/>
      </w:pPr>
      <w:r>
        <w:rPr>
          <w:rFonts w:ascii="Montserrat" w:cs="Montserrat" w:eastAsia="Montserrat" w:hAnsi="Montserrat"/>
        </w:rPr>
        <w:t xml:space="preserve">7.1 Flujo del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rPr>
        <w:tc>
          <w:tcPr>
            <w:tcW w:type="dxa" w:w="1872"/>
            <w:tcBorders>
              <w:top w:val="single" w:color="22B2DE" w:sz="24"/>
              <w:left w:val="single" w:color="FFFFFF" w:sz="12"/>
              <w:bottom w:val="single" w:color="D0D7DE" w:sz="4"/>
              <w:right w:val="single" w:color="FFFFFF" w:sz="12"/>
            </w:tcBorders>
            <w:shd w:fill="EEF2F6" w:color="auto" w:val="clear"/>
            <w:tcMar>
              <w:top w:type="dxa" w:w="100"/>
              <w:left w:type="dxa" w:w="90"/>
              <w:bottom w:type="dxa" w:w="100"/>
              <w:right w:type="dxa" w:w="90"/>
            </w:tcMar>
          </w:tcPr>
          <w:p>
            <w:pPr>
              <w:jc w:val="center"/>
            </w:pPr>
            <w:r>
              <w:rPr>
                <w:rFonts w:ascii="Montserrat" w:cs="Montserrat" w:eastAsia="Montserrat" w:hAnsi="Montserrat"/>
                <w:b/>
                <w:bCs/>
                <w:color w:val="22B2DE"/>
                <w:sz w:val="14"/>
                <w:szCs w:val="14"/>
              </w:rPr>
              <w:t xml:space="preserve">PASO 1</w:t>
            </w:r>
          </w:p>
          <w:p>
            <w:pPr>
              <w:spacing w:after="60"/>
              <w:jc w:val="center"/>
            </w:pPr>
            <w:r>
              <w:rPr>
                <w:rFonts w:ascii="Montserrat" w:cs="Montserrat" w:eastAsia="Montserrat" w:hAnsi="Montserrat"/>
                <w:b/>
                <w:bCs/>
                <w:color w:val="263A58"/>
                <w:sz w:val="18"/>
                <w:szCs w:val="18"/>
              </w:rPr>
              <w:t xml:space="preserve">Directorio maestro</w:t>
            </w:r>
          </w:p>
          <w:p>
            <w:pPr>
              <w:jc w:val="center"/>
            </w:pPr>
            <w:r>
              <w:rPr>
                <w:rFonts w:ascii="Montserrat" w:cs="Montserrat" w:eastAsia="Montserrat" w:hAnsi="Montserrat"/>
                <w:color w:val="444444"/>
                <w:sz w:val="15"/>
                <w:szCs w:val="15"/>
              </w:rPr>
              <w:t xml:space="preserve">Completa periodicidad, sentido y clasificación desde la ficha técnica y Indicadores por CMI</w:t>
            </w:r>
          </w:p>
        </w:tc>
        <w:tc>
          <w:tcPr>
            <w:tcW w:type="dxa" w:w="1872"/>
            <w:tcBorders>
              <w:top w:val="single" w:color="22B2DE" w:sz="24"/>
              <w:left w:val="single" w:color="FFFFFF" w:sz="12"/>
              <w:bottom w:val="single" w:color="D0D7DE" w:sz="4"/>
              <w:right w:val="single" w:color="FFFFFF" w:sz="12"/>
            </w:tcBorders>
            <w:shd w:fill="EEF2F6" w:color="auto" w:val="clear"/>
            <w:tcMar>
              <w:top w:type="dxa" w:w="100"/>
              <w:left w:type="dxa" w:w="90"/>
              <w:bottom w:type="dxa" w:w="100"/>
              <w:right w:type="dxa" w:w="90"/>
            </w:tcMar>
          </w:tcPr>
          <w:p>
            <w:pPr>
              <w:jc w:val="center"/>
            </w:pPr>
            <w:r>
              <w:rPr>
                <w:rFonts w:ascii="Montserrat" w:cs="Montserrat" w:eastAsia="Montserrat" w:hAnsi="Montserrat"/>
                <w:b/>
                <w:bCs/>
                <w:color w:val="22B2DE"/>
                <w:sz w:val="14"/>
                <w:szCs w:val="14"/>
              </w:rPr>
              <w:t xml:space="preserve">PASO 2</w:t>
            </w:r>
          </w:p>
          <w:p>
            <w:pPr>
              <w:spacing w:after="60"/>
              <w:jc w:val="center"/>
            </w:pPr>
            <w:r>
              <w:rPr>
                <w:rFonts w:ascii="Montserrat" w:cs="Montserrat" w:eastAsia="Montserrat" w:hAnsi="Montserrat"/>
                <w:b/>
                <w:bCs/>
                <w:color w:val="263A58"/>
                <w:sz w:val="18"/>
                <w:szCs w:val="18"/>
              </w:rPr>
              <w:t xml:space="preserve">Extracción CNA</w:t>
            </w:r>
          </w:p>
          <w:p>
            <w:pPr>
              <w:jc w:val="center"/>
            </w:pPr>
            <w:r>
              <w:rPr>
                <w:rFonts w:ascii="Montserrat" w:cs="Montserrat" w:eastAsia="Montserrat" w:hAnsi="Montserrat"/>
                <w:color w:val="444444"/>
                <w:sz w:val="15"/>
                <w:szCs w:val="15"/>
              </w:rPr>
              <w:t xml:space="preserve">Regenera las métricas del plan de mejoramiento desde el anexo estadístico</w:t>
            </w:r>
          </w:p>
        </w:tc>
        <w:tc>
          <w:tcPr>
            <w:tcW w:type="dxa" w:w="1872"/>
            <w:tcBorders>
              <w:top w:val="single" w:color="22B2DE" w:sz="24"/>
              <w:left w:val="single" w:color="FFFFFF" w:sz="12"/>
              <w:bottom w:val="single" w:color="D0D7DE" w:sz="4"/>
              <w:right w:val="single" w:color="FFFFFF" w:sz="12"/>
            </w:tcBorders>
            <w:shd w:fill="EEF2F6" w:color="auto" w:val="clear"/>
            <w:tcMar>
              <w:top w:type="dxa" w:w="100"/>
              <w:left w:type="dxa" w:w="90"/>
              <w:bottom w:type="dxa" w:w="100"/>
              <w:right w:type="dxa" w:w="90"/>
            </w:tcMar>
          </w:tcPr>
          <w:p>
            <w:pPr>
              <w:jc w:val="center"/>
            </w:pPr>
            <w:r>
              <w:rPr>
                <w:rFonts w:ascii="Montserrat" w:cs="Montserrat" w:eastAsia="Montserrat" w:hAnsi="Montserrat"/>
                <w:b/>
                <w:bCs/>
                <w:color w:val="22B2DE"/>
                <w:sz w:val="14"/>
                <w:szCs w:val="14"/>
              </w:rPr>
              <w:t xml:space="preserve">PASO 3</w:t>
            </w:r>
          </w:p>
          <w:p>
            <w:pPr>
              <w:spacing w:after="60"/>
              <w:jc w:val="center"/>
            </w:pPr>
            <w:r>
              <w:rPr>
                <w:rFonts w:ascii="Montserrat" w:cs="Montserrat" w:eastAsia="Montserrat" w:hAnsi="Montserrat"/>
                <w:b/>
                <w:bCs/>
                <w:color w:val="263A58"/>
                <w:sz w:val="18"/>
                <w:szCs w:val="18"/>
              </w:rPr>
              <w:t xml:space="preserve">Consolidar API</w:t>
            </w:r>
          </w:p>
          <w:p>
            <w:pPr>
              <w:jc w:val="center"/>
            </w:pPr>
            <w:r>
              <w:rPr>
                <w:rFonts w:ascii="Montserrat" w:cs="Montserrat" w:eastAsia="Montserrat" w:hAnsi="Montserrat"/>
                <w:color w:val="444444"/>
                <w:sz w:val="15"/>
                <w:szCs w:val="15"/>
              </w:rPr>
              <w:t xml:space="preserve">Une los exportes de Kawak y de la API por año en un consolidado único</w:t>
            </w:r>
          </w:p>
        </w:tc>
        <w:tc>
          <w:tcPr>
            <w:tcW w:type="dxa" w:w="1872"/>
            <w:tcBorders>
              <w:top w:val="single" w:color="22B2DE" w:sz="24"/>
              <w:left w:val="single" w:color="FFFFFF" w:sz="12"/>
              <w:bottom w:val="single" w:color="D0D7DE" w:sz="4"/>
              <w:right w:val="single" w:color="FFFFFF" w:sz="12"/>
            </w:tcBorders>
            <w:shd w:fill="EEF2F6" w:color="auto" w:val="clear"/>
            <w:tcMar>
              <w:top w:type="dxa" w:w="100"/>
              <w:left w:type="dxa" w:w="90"/>
              <w:bottom w:type="dxa" w:w="100"/>
              <w:right w:type="dxa" w:w="90"/>
            </w:tcMar>
          </w:tcPr>
          <w:p>
            <w:pPr>
              <w:jc w:val="center"/>
            </w:pPr>
            <w:r>
              <w:rPr>
                <w:rFonts w:ascii="Montserrat" w:cs="Montserrat" w:eastAsia="Montserrat" w:hAnsi="Montserrat"/>
                <w:b/>
                <w:bCs/>
                <w:color w:val="22B2DE"/>
                <w:sz w:val="14"/>
                <w:szCs w:val="14"/>
              </w:rPr>
              <w:t xml:space="preserve">PASO 4</w:t>
            </w:r>
          </w:p>
          <w:p>
            <w:pPr>
              <w:spacing w:after="60"/>
              <w:jc w:val="center"/>
            </w:pPr>
            <w:r>
              <w:rPr>
                <w:rFonts w:ascii="Montserrat" w:cs="Montserrat" w:eastAsia="Montserrat" w:hAnsi="Montserrat"/>
                <w:b/>
                <w:bCs/>
                <w:color w:val="263A58"/>
                <w:sz w:val="18"/>
                <w:szCs w:val="18"/>
              </w:rPr>
              <w:t xml:space="preserve">Actualizar consolidado</w:t>
            </w:r>
          </w:p>
          <w:p>
            <w:pPr>
              <w:jc w:val="center"/>
            </w:pPr>
            <w:r>
              <w:rPr>
                <w:rFonts w:ascii="Montserrat" w:cs="Montserrat" w:eastAsia="Montserrat" w:hAnsi="Montserrat"/>
                <w:color w:val="444444"/>
                <w:sz w:val="15"/>
                <w:szCs w:val="15"/>
              </w:rPr>
              <w:t xml:space="preserve">Valida, construye registros, aplica reglas de negocio, repara y escribe el libro final</w:t>
            </w:r>
          </w:p>
        </w:tc>
        <w:tc>
          <w:tcPr>
            <w:tcW w:type="dxa" w:w="1872"/>
            <w:tcBorders>
              <w:top w:val="single" w:color="22B2DE" w:sz="24"/>
              <w:left w:val="single" w:color="FFFFFF" w:sz="12"/>
              <w:bottom w:val="single" w:color="D0D7DE" w:sz="4"/>
              <w:right w:val="single" w:color="FFFFFF" w:sz="12"/>
            </w:tcBorders>
            <w:shd w:fill="EEF2F6" w:color="auto" w:val="clear"/>
            <w:tcMar>
              <w:top w:type="dxa" w:w="100"/>
              <w:left w:type="dxa" w:w="90"/>
              <w:bottom w:type="dxa" w:w="100"/>
              <w:right w:type="dxa" w:w="90"/>
            </w:tcMar>
          </w:tcPr>
          <w:p>
            <w:pPr>
              <w:jc w:val="center"/>
            </w:pPr>
            <w:r>
              <w:rPr>
                <w:rFonts w:ascii="Montserrat" w:cs="Montserrat" w:eastAsia="Montserrat" w:hAnsi="Montserrat"/>
                <w:b/>
                <w:bCs/>
                <w:color w:val="22B2DE"/>
                <w:sz w:val="14"/>
                <w:szCs w:val="14"/>
              </w:rPr>
              <w:t xml:space="preserve">PASO 5</w:t>
            </w:r>
          </w:p>
          <w:p>
            <w:pPr>
              <w:spacing w:after="60"/>
              <w:jc w:val="center"/>
            </w:pPr>
            <w:r>
              <w:rPr>
                <w:rFonts w:ascii="Montserrat" w:cs="Montserrat" w:eastAsia="Montserrat" w:hAnsi="Montserrat"/>
                <w:b/>
                <w:bCs/>
                <w:color w:val="263A58"/>
                <w:sz w:val="18"/>
                <w:szCs w:val="18"/>
              </w:rPr>
              <w:t xml:space="preserve">Generar reporte</w:t>
            </w:r>
          </w:p>
          <w:p>
            <w:pPr>
              <w:jc w:val="center"/>
            </w:pPr>
            <w:r>
              <w:rPr>
                <w:rFonts w:ascii="Montserrat" w:cs="Montserrat" w:eastAsia="Montserrat" w:hAnsi="Montserrat"/>
                <w:color w:val="444444"/>
                <w:sz w:val="15"/>
                <w:szCs w:val="15"/>
              </w:rPr>
              <w:t xml:space="preserve">Calcula métricas de calidad de la corrida y deja la evidencia</w:t>
            </w:r>
          </w:p>
        </w:tc>
      </w:tr>
    </w:tbl>
    <w:p>
      <w:pPr>
        <w:spacing w:after="100"/>
      </w:pPr>
    </w:p>
    <w:p>
      <w:pPr>
        <w:spacing w:after="120" w:line="300"/>
      </w:pPr>
      <w:r>
        <w:rPr>
          <w:rFonts w:ascii="Montserrat" w:cs="Montserrat" w:eastAsia="Montserrat" w:hAnsi="Montserrat"/>
          <w:sz w:val="19"/>
          <w:szCs w:val="19"/>
        </w:rPr>
        <w:t xml:space="preserve">Resultado: Resultados Consolidados, Seguimiento de Reporte, Resultados Consolidados CNA y el informe de la corrida. Después de una corrida exitosa con cambios, los datos se publican y el servicio se redespliega.</w:t>
      </w:r>
    </w:p>
    <w:p>
      <w:pPr>
        <w:pStyle w:val="Heading2"/>
        <w:keepNext/>
      </w:pPr>
      <w:r>
        <w:rPr>
          <w:rFonts w:ascii="Montserrat" w:cs="Montserrat" w:eastAsia="Montserrat" w:hAnsi="Montserrat"/>
        </w:rPr>
        <w:t xml:space="preserve">7.2 Ejecución automática y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Característica</w:t>
            </w:r>
          </w:p>
        </w:tc>
        <w:tc>
          <w:tcPr>
            <w:tcW w:type="dxa" w:w="706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Cómo funciona</w:t>
            </w:r>
          </w:p>
        </w:tc>
      </w:tr>
      <w:tr>
        <w:trPr>
          <w:cantSplit/>
        </w:trPr>
        <w:tc>
          <w:tcPr>
            <w:tcW w:type="dxa" w:w="23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Programación</w:t>
            </w:r>
          </w:p>
        </w:tc>
        <w:tc>
          <w:tcPr>
            <w:tcW w:type="dxa" w:w="70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GitHub Actions ejecuta el pipeline el día 5 de cada mes a las 6:00 a. m. (hora de Colombia), en horario laboral para poder reaccionar. También puede lanzarse manualmente.</w:t>
            </w:r>
          </w:p>
        </w:tc>
      </w:tr>
      <w:tr>
        <w:trPr>
          <w:cantSplit/>
        </w:trPr>
        <w:tc>
          <w:tcPr>
            <w:tcW w:type="dxa" w:w="23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Modo de validación</w:t>
            </w:r>
          </w:p>
        </w:tc>
        <w:tc>
          <w:tcPr>
            <w:tcW w:type="dxa" w:w="70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Una ejecución manual en modo de prueba (--no-exec) revisa contratos y calidad sin ejecutar el pipeline ni tocar los datos.</w:t>
            </w:r>
          </w:p>
        </w:tc>
      </w:tr>
      <w:tr>
        <w:trPr>
          <w:cantSplit/>
        </w:trPr>
        <w:tc>
          <w:tcPr>
            <w:tcW w:type="dxa" w:w="23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Publicación</w:t>
            </w:r>
          </w:p>
        </w:tc>
        <w:tc>
          <w:tcPr>
            <w:tcW w:type="dxa" w:w="70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Si la corrida termina bien y hay cambios, publica los resultados en el repositorio y dispara el redespliegue del servicio.</w:t>
            </w:r>
          </w:p>
        </w:tc>
      </w:tr>
      <w:tr>
        <w:trPr>
          <w:cantSplit/>
        </w:trPr>
        <w:tc>
          <w:tcPr>
            <w:tcW w:type="dxa" w:w="23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Evidencia</w:t>
            </w:r>
          </w:p>
        </w:tc>
        <w:tc>
          <w:tcPr>
            <w:tcW w:type="dxa" w:w="70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Cada corrida guarda su informe JSON y su bitácora como artefacto durante 90 días.</w:t>
            </w:r>
          </w:p>
        </w:tc>
      </w:tr>
      <w:tr>
        <w:trPr>
          <w:cantSplit/>
        </w:trPr>
        <w:tc>
          <w:tcPr>
            <w:tcW w:type="dxa" w:w="23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Alertas</w:t>
            </w:r>
          </w:p>
        </w:tc>
        <w:tc>
          <w:tcPr>
            <w:tcW w:type="dxa" w:w="70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Si falla, abre automáticamente un issue con el extracto del log; si detecta avisos de catálogo (por ejemplo, una hoja del anexo CNA sin registro), abre un issue informativo para revisión.</w:t>
            </w:r>
          </w:p>
        </w:tc>
      </w:tr>
      <w:tr>
        <w:trPr>
          <w:cantSplit/>
        </w:trPr>
        <w:tc>
          <w:tcPr>
            <w:tcW w:type="dxa" w:w="23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Concurrencia</w:t>
            </w:r>
          </w:p>
        </w:tc>
        <w:tc>
          <w:tcPr>
            <w:tcW w:type="dxa" w:w="70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Solo una corrida a la vez, para evitar escrituras simultáneas.</w:t>
            </w:r>
          </w:p>
        </w:tc>
      </w:tr>
      <w:tr>
        <w:trPr>
          <w:cantSplit/>
        </w:trPr>
        <w:tc>
          <w:tcPr>
            <w:tcW w:type="dxa" w:w="23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Resiliencia</w:t>
            </w:r>
          </w:p>
        </w:tc>
        <w:tc>
          <w:tcPr>
            <w:tcW w:type="dxa" w:w="70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Reintenta con espera creciente los errores transitorios (conexión, tiempo de espera, bloqueos de archivo) y falla de inmediato ante errores de validación.</w:t>
            </w:r>
          </w:p>
        </w:tc>
      </w:tr>
      <w:tr>
        <w:trPr>
          <w:cantSplit/>
        </w:trPr>
        <w:tc>
          <w:tcPr>
            <w:tcW w:type="dxa" w:w="23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Notificaciones</w:t>
            </w:r>
          </w:p>
        </w:tc>
        <w:tc>
          <w:tcPr>
            <w:tcW w:type="dxa" w:w="70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El módulo de notificaciones soporta aviso por correo (SMTP) y por Slack con el detalle del fallo.</w:t>
            </w:r>
          </w:p>
        </w:tc>
      </w:tr>
      <w:tr>
        <w:trPr>
          <w:cantSplit/>
        </w:trPr>
        <w:tc>
          <w:tcPr>
            <w:tcW w:type="dxa" w:w="23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Respaldo y reversión</w:t>
            </w:r>
          </w:p>
        </w:tc>
        <w:tc>
          <w:tcPr>
            <w:tcW w:type="dxa" w:w="70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Antes de escribir crea una copia versionada del libro y revierte automáticamente si algo falla.</w:t>
            </w:r>
          </w:p>
        </w:tc>
      </w:tr>
      <w:tr>
        <w:trPr>
          <w:cantSplit/>
        </w:trPr>
        <w:tc>
          <w:tcPr>
            <w:tcW w:type="dxa" w:w="23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Idempotencia</w:t>
            </w:r>
          </w:p>
        </w:tc>
        <w:tc>
          <w:tcPr>
            <w:tcW w:type="dxa" w:w="70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Marcadores en las hojas evitan duplicar registros cuando se vuelve a ejecutar el mismo corte.</w:t>
            </w:r>
          </w:p>
        </w:tc>
      </w:tr>
    </w:tbl>
    <w:p>
      <w:pPr>
        <w:pStyle w:val="Heading2"/>
        <w:keepNext/>
      </w:pPr>
      <w:r>
        <w:rPr>
          <w:rFonts w:ascii="Montserrat" w:cs="Montserrat" w:eastAsia="Montserrat" w:hAnsi="Montserrat"/>
        </w:rPr>
        <w:t xml:space="preserve">7.3 Qué hace cada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cantSplit/>
          <w:tblHeader/>
        </w:trPr>
        <w:tc>
          <w:tcPr>
            <w:tcW w:type="dxa" w:w="330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Script o módulo</w:t>
            </w:r>
          </w:p>
        </w:tc>
        <w:tc>
          <w:tcPr>
            <w:tcW w:type="dxa" w:w="606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Responsabilidad</w:t>
            </w:r>
          </w:p>
        </w:tc>
      </w:tr>
      <w:tr>
        <w:trPr>
          <w:cantSplit/>
        </w:trPr>
        <w:tc>
          <w:tcPr>
            <w:tcW w:type="dxa" w:w="33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run_pipeline.py</w:t>
            </w:r>
          </w:p>
        </w:tc>
        <w:tc>
          <w:tcPr>
            <w:tcW w:type="dxa" w:w="60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Orquesta los pasos definidos en la configuración y genera informe y bitácora de la corrida.</w:t>
            </w:r>
          </w:p>
        </w:tc>
      </w:tr>
      <w:tr>
        <w:trPr>
          <w:cantSplit/>
        </w:trPr>
        <w:tc>
          <w:tcPr>
            <w:tcW w:type="dxa" w:w="33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actualizar_directorio_maestro.py</w:t>
            </w:r>
          </w:p>
        </w:tc>
        <w:tc>
          <w:tcPr>
            <w:tcW w:type="dxa" w:w="60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Completa vacíos del catálogo maestro sin sobrescribir valores existentes.</w:t>
            </w:r>
          </w:p>
        </w:tc>
      </w:tr>
      <w:tr>
        <w:trPr>
          <w:cantSplit/>
        </w:trPr>
        <w:tc>
          <w:tcPr>
            <w:tcW w:type="dxa" w:w="33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cna_extraction (build_cli)</w:t>
            </w:r>
          </w:p>
        </w:tc>
        <w:tc>
          <w:tcPr>
            <w:tcW w:type="dxa" w:w="60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Lee el anexo estadístico y escribe las métricas CNA; admite modo incremental, reconstrucción total, relleno de fuente y reproceso de tablas específicas.</w:t>
            </w:r>
          </w:p>
        </w:tc>
      </w:tr>
      <w:tr>
        <w:trPr>
          <w:cantSplit/>
        </w:trPr>
        <w:tc>
          <w:tcPr>
            <w:tcW w:type="dxa" w:w="33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consolidar_api.py</w:t>
            </w:r>
          </w:p>
        </w:tc>
        <w:tc>
          <w:tcPr>
            <w:tcW w:type="dxa" w:w="60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Consolida los exportes de Kawak y de la API de 2022 a 2026.</w:t>
            </w:r>
          </w:p>
        </w:tc>
      </w:tr>
      <w:tr>
        <w:trPr>
          <w:cantSplit/>
        </w:trPr>
        <w:tc>
          <w:tcPr>
            <w:tcW w:type="dxa" w:w="33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actualizar_consolidado.py</w:t>
            </w:r>
          </w:p>
        </w:tc>
        <w:tc>
          <w:tcPr>
            <w:tcW w:type="dxa" w:w="60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Orquestador de negocio: carga, valida, construye, corrige, repara y escribe.</w:t>
            </w:r>
          </w:p>
        </w:tc>
      </w:tr>
      <w:tr>
        <w:trPr>
          <w:cantSplit/>
        </w:trPr>
        <w:tc>
          <w:tcPr>
            <w:tcW w:type="dxa" w:w="33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etl/fuentes y etl/catalogo</w:t>
            </w:r>
          </w:p>
        </w:tc>
        <w:tc>
          <w:tcPr>
            <w:tcW w:type="dxa" w:w="60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Cargan las fuentes y el catálogo en una sola lectura.</w:t>
            </w:r>
          </w:p>
        </w:tc>
      </w:tr>
      <w:tr>
        <w:trPr>
          <w:cantSplit/>
        </w:trPr>
        <w:tc>
          <w:tcPr>
            <w:tcW w:type="dxa" w:w="33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etl/extraccion</w:t>
            </w:r>
          </w:p>
        </w:tc>
        <w:tc>
          <w:tcPr>
            <w:tcW w:type="dxa" w:w="60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Estrategias para obtener meta y ejecución desde variables, series o símbolos, según el tipo de cálculo de cada indicador.</w:t>
            </w:r>
          </w:p>
        </w:tc>
      </w:tr>
      <w:tr>
        <w:trPr>
          <w:cantSplit/>
        </w:trPr>
        <w:tc>
          <w:tcPr>
            <w:tcW w:type="dxa" w:w="33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etl/desglose</w:t>
            </w:r>
          </w:p>
        </w:tc>
        <w:tc>
          <w:tcPr>
            <w:tcW w:type="dxa" w:w="60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Expande series, variables y análisis a filas planas (hojas Desglose de Series y Variables).</w:t>
            </w:r>
          </w:p>
        </w:tc>
      </w:tr>
      <w:tr>
        <w:trPr>
          <w:cantSplit/>
        </w:trPr>
        <w:tc>
          <w:tcPr>
            <w:tcW w:type="dxa" w:w="33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etl/cumplimiento</w:t>
            </w:r>
          </w:p>
        </w:tc>
        <w:tc>
          <w:tcPr>
            <w:tcW w:type="dxa" w:w="60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Calcula el cumplimiento con topes y casos especiales.</w:t>
            </w:r>
          </w:p>
        </w:tc>
      </w:tr>
      <w:tr>
        <w:trPr>
          <w:cantSplit/>
        </w:trPr>
        <w:tc>
          <w:tcPr>
            <w:tcW w:type="dxa" w:w="33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etl/no_aplica y etl/signos</w:t>
            </w:r>
          </w:p>
        </w:tc>
        <w:tc>
          <w:tcPr>
            <w:tcW w:type="dxa" w:w="60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Detectan registros No Aplica y resuelven el signo, la escala y los decimales de meta y ejecución.</w:t>
            </w:r>
          </w:p>
        </w:tc>
      </w:tr>
      <w:tr>
        <w:trPr>
          <w:cantSplit/>
        </w:trPr>
        <w:tc>
          <w:tcPr>
            <w:tcW w:type="dxa" w:w="33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etl/periodos</w:t>
            </w:r>
          </w:p>
        </w:tc>
        <w:tc>
          <w:tcPr>
            <w:tcW w:type="dxa" w:w="60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Deriva fechas y periodos según la periodicidad de cada indicador.</w:t>
            </w:r>
          </w:p>
        </w:tc>
      </w:tr>
      <w:tr>
        <w:trPr>
          <w:cantSplit/>
        </w:trPr>
        <w:tc>
          <w:tcPr>
            <w:tcW w:type="dxa" w:w="33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etl/builders</w:t>
            </w:r>
          </w:p>
        </w:tc>
        <w:tc>
          <w:tcPr>
            <w:tcW w:type="dxa" w:w="60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Construye los registros de las hojas Histórico, Semestral y Cierres, incluidos proyectos y población.</w:t>
            </w:r>
          </w:p>
        </w:tc>
      </w:tr>
      <w:tr>
        <w:trPr>
          <w:cantSplit/>
        </w:trPr>
        <w:tc>
          <w:tcPr>
            <w:tcW w:type="dxa" w:w="33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etl/purga</w:t>
            </w:r>
          </w:p>
        </w:tc>
        <w:tc>
          <w:tcPr>
            <w:tcW w:type="dxa" w:w="60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Limpia duplicados y filas inválidas y repara metas, signos, multiserie y agregados.</w:t>
            </w:r>
          </w:p>
        </w:tc>
      </w:tr>
      <w:tr>
        <w:trPr>
          <w:cantSplit/>
        </w:trPr>
        <w:tc>
          <w:tcPr>
            <w:tcW w:type="dxa" w:w="33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etl/validation_gate, intermediate_validation y validacion_historica</w:t>
            </w:r>
          </w:p>
        </w:tc>
        <w:tc>
          <w:tcPr>
            <w:tcW w:type="dxa" w:w="60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Validaciones de contrato y de coherencia (sección 9).</w:t>
            </w:r>
          </w:p>
        </w:tc>
      </w:tr>
      <w:tr>
        <w:trPr>
          <w:cantSplit/>
        </w:trPr>
        <w:tc>
          <w:tcPr>
            <w:tcW w:type="dxa" w:w="33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etl/audit, versioning, pipeline_metrics, retry_handler y notifications</w:t>
            </w:r>
          </w:p>
        </w:tc>
        <w:tc>
          <w:tcPr>
            <w:tcW w:type="dxa" w:w="60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Auditoría de ejecuciones, respaldos con reversión, métricas, reintentos y avisos.</w:t>
            </w:r>
          </w:p>
        </w:tc>
      </w:tr>
      <w:tr>
        <w:trPr>
          <w:cantSplit/>
        </w:trPr>
        <w:tc>
          <w:tcPr>
            <w:tcW w:type="dxa" w:w="33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generar_reporte.py</w:t>
            </w:r>
          </w:p>
        </w:tc>
        <w:tc>
          <w:tcPr>
            <w:tcW w:type="dxa" w:w="60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Resume la corrida en JSON y CSV con métricas por hoja.</w:t>
            </w:r>
          </w:p>
        </w:tc>
      </w:tr>
    </w:tbl>
    <w:p>
      <w:pPr>
        <w:pStyle w:val="Heading1"/>
        <w:pageBreakBefore/>
      </w:pPr>
      <w:r>
        <w:rPr>
          <w:rFonts w:ascii="Montserrat" w:cs="Montserrat" w:eastAsia="Montserrat" w:hAnsi="Montserrat"/>
        </w:rPr>
        <w:t xml:space="preserve">8. Reglas de negocio</w:t>
      </w:r>
    </w:p>
    <w:p>
      <w:pPr>
        <w:spacing w:after="120" w:line="300"/>
      </w:pPr>
      <w:r>
        <w:rPr>
          <w:rFonts w:ascii="Montserrat" w:cs="Montserrat" w:eastAsia="Montserrat" w:hAnsi="Montserrat"/>
        </w:rPr>
        <w:t xml:space="preserve">Las reglas que determinan el color, el porcentaje y la lectura de cada indicador viven en un único módulo de dominio, de modo que todas las pantallas aplican exactamente la misma lógica. Los parámetros que cambian cada año se configuran sin modificar código.</w:t>
      </w:r>
    </w:p>
    <w:p>
      <w:pPr>
        <w:pStyle w:val="Heading2"/>
        <w:keepNext/>
      </w:pPr>
      <w:r>
        <w:rPr>
          <w:rFonts w:ascii="Montserrat" w:cs="Montserrat" w:eastAsia="Montserrat" w:hAnsi="Montserrat"/>
        </w:rPr>
        <w:t xml:space="preserve">8.1 Cálculo del cumplimiento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cantSplit/>
          <w:tblHeader/>
        </w:trPr>
        <w:tc>
          <w:tcPr>
            <w:tcW w:type="dxa" w:w="270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Regla</w:t>
            </w:r>
          </w:p>
        </w:tc>
        <w:tc>
          <w:tcPr>
            <w:tcW w:type="dxa" w:w="666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Definición</w:t>
            </w:r>
          </w:p>
        </w:tc>
      </w:tr>
      <w:tr>
        <w:trPr>
          <w:cantSplit/>
        </w:trPr>
        <w:tc>
          <w:tcPr>
            <w:tcW w:type="dxa" w:w="27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Fórmula</w:t>
            </w:r>
          </w:p>
        </w:tc>
        <w:tc>
          <w:tcPr>
            <w:tcW w:type="dxa" w:w="66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Cumplimiento = Ejecución ÷ Meta, ajustado por el sentido del indicador (más alto es mejor o más bajo es mejor).</w:t>
            </w:r>
          </w:p>
        </w:tc>
      </w:tr>
      <w:tr>
        <w:trPr>
          <w:cantSplit/>
        </w:trPr>
        <w:tc>
          <w:tcPr>
            <w:tcW w:type="dxa" w:w="27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Tope regular</w:t>
            </w:r>
          </w:p>
        </w:tc>
        <w:tc>
          <w:tcPr>
            <w:tcW w:type="dxa" w:w="66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El cumplimiento se limita al rango de 0 % a 130 %.</w:t>
            </w:r>
          </w:p>
        </w:tc>
      </w:tr>
      <w:tr>
        <w:trPr>
          <w:cantSplit/>
        </w:trPr>
        <w:tc>
          <w:tcPr>
            <w:tcW w:type="dxa" w:w="27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Tope 100 %</w:t>
            </w:r>
          </w:p>
        </w:tc>
        <w:tc>
          <w:tcPr>
            <w:tcW w:type="dxa" w:w="66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Los indicadores de Plan Anual y los de tope 100 % no pueden sobrecumplir: su meta es un techo real y el cumplimiento se limita al 100 %.</w:t>
            </w:r>
          </w:p>
        </w:tc>
      </w:tr>
      <w:tr>
        <w:trPr>
          <w:cantSplit/>
        </w:trPr>
        <w:tc>
          <w:tcPr>
            <w:tcW w:type="dxa" w:w="27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Cumplimiento real</w:t>
            </w:r>
          </w:p>
        </w:tc>
        <w:tc>
          <w:tcPr>
            <w:tcW w:type="dxa" w:w="66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Se conserva también el valor sin tope (salvo Plan Anual y tope 100 %) para análisis.</w:t>
            </w:r>
          </w:p>
        </w:tc>
      </w:tr>
      <w:tr>
        <w:trPr>
          <w:cantSplit/>
        </w:trPr>
        <w:tc>
          <w:tcPr>
            <w:tcW w:type="dxa" w:w="27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Meta 0 y ejecución 0</w:t>
            </w:r>
          </w:p>
        </w:tc>
        <w:tc>
          <w:tcPr>
            <w:tcW w:type="dxa" w:w="66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Se considera cumplimiento del 100 % (por ejemplo, mortalidad laboral con meta cero y cero casos).</w:t>
            </w:r>
          </w:p>
        </w:tc>
      </w:tr>
      <w:tr>
        <w:trPr>
          <w:cantSplit/>
        </w:trPr>
        <w:tc>
          <w:tcPr>
            <w:tcW w:type="dxa" w:w="27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Sentido negativo con ejecución 0</w:t>
            </w:r>
          </w:p>
        </w:tc>
        <w:tc>
          <w:tcPr>
            <w:tcW w:type="dxa" w:w="66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Se considera cumplimiento del 100 % (por ejemplo, cero accidentes frente a una meta mayor que cero).</w:t>
            </w:r>
          </w:p>
        </w:tc>
      </w:tr>
      <w:tr>
        <w:trPr>
          <w:cantSplit/>
        </w:trPr>
        <w:tc>
          <w:tcPr>
            <w:tcW w:type="dxa" w:w="27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Meta vacía o cero</w:t>
            </w:r>
          </w:p>
        </w:tc>
        <w:tc>
          <w:tcPr>
            <w:tcW w:type="dxa" w:w="66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Se señala para revisión; la meta cero es válida en indicadores de sentido negativo.</w:t>
            </w:r>
          </w:p>
        </w:tc>
      </w:tr>
      <w:tr>
        <w:trPr>
          <w:cantSplit/>
        </w:trPr>
        <w:tc>
          <w:tcPr>
            <w:tcW w:type="dxa" w:w="27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No Aplica</w:t>
            </w:r>
          </w:p>
        </w:tc>
        <w:tc>
          <w:tcPr>
            <w:tcW w:type="dxa" w:w="66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El indicador no corresponde medirse en ese periodo (por diseño, estacionalidad o fase del proyecto). No es un dato faltante: la ejecución queda vacía, se marca No Aplica y se excluye de los reportes exigibles.</w:t>
            </w:r>
          </w:p>
        </w:tc>
      </w:tr>
      <w:tr>
        <w:trPr>
          <w:cantSplit/>
        </w:trPr>
        <w:tc>
          <w:tcPr>
            <w:tcW w:type="dxa" w:w="27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Normalización</w:t>
            </w:r>
          </w:p>
        </w:tc>
        <w:tc>
          <w:tcPr>
            <w:tcW w:type="dxa" w:w="66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Se interpretan porcentajes en texto, comas decimales y escalas de 0 a 100 o de 0 a 1.</w:t>
            </w:r>
          </w:p>
        </w:tc>
      </w:tr>
    </w:tbl>
    <w:p>
      <w:pPr>
        <w:pStyle w:val="Heading2"/>
        <w:keepNext/>
      </w:pPr>
      <w:r>
        <w:rPr>
          <w:rFonts w:ascii="Montserrat" w:cs="Montserrat" w:eastAsia="Montserrat" w:hAnsi="Montserrat"/>
        </w:rPr>
        <w:t xml:space="preserve">8.2 Semáforo y regímenes</w:t>
      </w:r>
    </w:p>
    <w:p>
      <w:pPr>
        <w:spacing w:after="120" w:line="300"/>
      </w:pPr>
      <w:r>
        <w:rPr>
          <w:rFonts w:ascii="Montserrat" w:cs="Montserrat" w:eastAsia="Montserrat" w:hAnsi="Montserrat"/>
        </w:rPr>
        <w:t xml:space="preserve">Los cortes siempre pertenecen a la categoría superior: un indicador con exactamente 100 % es Cumplimiento, no Alerta. La paleta oficial es única para backend y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1000"/>
        <w:gridCol w:w="1360"/>
        <w:gridCol w:w="1400"/>
        <w:gridCol w:w="1200"/>
      </w:tblGrid>
      <w:tr>
        <w:trPr>
          <w:cantSplit/>
          <w:tblHeader/>
        </w:trPr>
        <w:tc>
          <w:tcPr>
            <w:tcW w:type="dxa" w:w="170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Régimen</w:t>
            </w:r>
          </w:p>
        </w:tc>
        <w:tc>
          <w:tcPr>
            <w:tcW w:type="dxa" w:w="270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Aplica a</w:t>
            </w:r>
          </w:p>
        </w:tc>
        <w:tc>
          <w:tcPr>
            <w:tcW w:type="dxa" w:w="100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Peligro</w:t>
            </w:r>
          </w:p>
        </w:tc>
        <w:tc>
          <w:tcPr>
            <w:tcW w:type="dxa" w:w="136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Alerta</w:t>
            </w:r>
          </w:p>
        </w:tc>
        <w:tc>
          <w:tcPr>
            <w:tcW w:type="dxa" w:w="140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Cumplimiento</w:t>
            </w:r>
          </w:p>
        </w:tc>
        <w:tc>
          <w:tcPr>
            <w:tcW w:type="dxa" w:w="120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Sobrecumpl.</w:t>
            </w:r>
          </w:p>
        </w:tc>
      </w:tr>
      <w:tr>
        <w:trPr>
          <w:cantSplit/>
        </w:trPr>
        <w:tc>
          <w:tcPr>
            <w:tcW w:type="dxa" w:w="17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General</w:t>
            </w:r>
          </w:p>
        </w:tc>
        <w:tc>
          <w:tcPr>
            <w:tcW w:type="dxa" w:w="27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Indicadores regulares</w:t>
            </w:r>
          </w:p>
        </w:tc>
        <w:tc>
          <w:tcPr>
            <w:tcW w:type="dxa" w:w="10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&lt; 80 %</w:t>
            </w:r>
          </w:p>
        </w:tc>
        <w:tc>
          <w:tcPr>
            <w:tcW w:type="dxa" w:w="13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80 % a &lt; 100 %</w:t>
            </w:r>
          </w:p>
        </w:tc>
        <w:tc>
          <w:tcPr>
            <w:tcW w:type="dxa" w:w="14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100 % a &lt; 105 %</w:t>
            </w:r>
          </w:p>
        </w:tc>
        <w:tc>
          <w:tcPr>
            <w:tcW w:type="dxa" w:w="12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 105 %</w:t>
            </w:r>
          </w:p>
        </w:tc>
      </w:tr>
      <w:tr>
        <w:trPr>
          <w:cantSplit/>
        </w:trPr>
        <w:tc>
          <w:tcPr>
            <w:tcW w:type="dxa" w:w="17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Plan Anual</w:t>
            </w:r>
          </w:p>
        </w:tc>
        <w:tc>
          <w:tcPr>
            <w:tcW w:type="dxa" w:w="27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11 indicadores configurados; retos y proyectos</w:t>
            </w:r>
          </w:p>
        </w:tc>
        <w:tc>
          <w:tcPr>
            <w:tcW w:type="dxa" w:w="10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&lt; 80 %</w:t>
            </w:r>
          </w:p>
        </w:tc>
        <w:tc>
          <w:tcPr>
            <w:tcW w:type="dxa" w:w="13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80 % a &lt; 95 %</w:t>
            </w:r>
          </w:p>
        </w:tc>
        <w:tc>
          <w:tcPr>
            <w:tcW w:type="dxa" w:w="14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95 % a 100 %</w:t>
            </w:r>
          </w:p>
        </w:tc>
        <w:tc>
          <w:tcPr>
            <w:tcW w:type="dxa" w:w="12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&gt; 100 %</w:t>
            </w:r>
          </w:p>
        </w:tc>
      </w:tr>
      <w:tr>
        <w:trPr>
          <w:cantSplit/>
        </w:trPr>
        <w:tc>
          <w:tcPr>
            <w:tcW w:type="dxa" w:w="17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Negativo-porcentual</w:t>
            </w:r>
          </w:p>
        </w:tc>
        <w:tc>
          <w:tcPr>
            <w:tcW w:type="dxa" w:w="27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Indicadores de sentido negativo en escala 0-100 (4 indicadores curados)</w:t>
            </w:r>
          </w:p>
        </w:tc>
        <w:tc>
          <w:tcPr>
            <w:tcW w:type="dxa" w:w="10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&gt; 110 %</w:t>
            </w:r>
          </w:p>
        </w:tc>
        <w:tc>
          <w:tcPr>
            <w:tcW w:type="dxa" w:w="13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102 % a 110 %</w:t>
            </w:r>
          </w:p>
        </w:tc>
        <w:tc>
          <w:tcPr>
            <w:tcW w:type="dxa" w:w="14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&lt; 102 %</w:t>
            </w:r>
          </w:p>
        </w:tc>
        <w:tc>
          <w:tcPr>
            <w:tcW w:type="dxa" w:w="12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Categoría</w:t>
            </w:r>
          </w:p>
        </w:tc>
        <w:tc>
          <w:tcPr>
            <w:tcW w:type="dxa" w:w="636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Color institucional</w:t>
            </w:r>
          </w:p>
        </w:tc>
      </w:tr>
      <w:tr>
        <w:trPr>
          <w:cantSplit/>
        </w:trPr>
        <w:tc>
          <w:tcPr>
            <w:tcW w:type="dxa" w:w="30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Peligro</w:t>
            </w:r>
          </w:p>
        </w:tc>
        <w:tc>
          <w:tcPr>
            <w:tcW w:type="dxa" w:w="63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Rojo #D32F2F</w:t>
            </w:r>
          </w:p>
        </w:tc>
      </w:tr>
      <w:tr>
        <w:trPr>
          <w:cantSplit/>
        </w:trPr>
        <w:tc>
          <w:tcPr>
            <w:tcW w:type="dxa" w:w="30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Alerta</w:t>
            </w:r>
          </w:p>
        </w:tc>
        <w:tc>
          <w:tcPr>
            <w:tcW w:type="dxa" w:w="63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Ámbar #F59E0B</w:t>
            </w:r>
          </w:p>
        </w:tc>
      </w:tr>
      <w:tr>
        <w:trPr>
          <w:cantSplit/>
        </w:trPr>
        <w:tc>
          <w:tcPr>
            <w:tcW w:type="dxa" w:w="30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Cumplimiento</w:t>
            </w:r>
          </w:p>
        </w:tc>
        <w:tc>
          <w:tcPr>
            <w:tcW w:type="dxa" w:w="63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Verde #22C55E</w:t>
            </w:r>
          </w:p>
        </w:tc>
      </w:tr>
      <w:tr>
        <w:trPr>
          <w:cantSplit/>
        </w:trPr>
        <w:tc>
          <w:tcPr>
            <w:tcW w:type="dxa" w:w="30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Sobrecumplimiento</w:t>
            </w:r>
          </w:p>
        </w:tc>
        <w:tc>
          <w:tcPr>
            <w:tcW w:type="dxa" w:w="63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Azul #3B82F6</w:t>
            </w:r>
          </w:p>
        </w:tc>
      </w:tr>
      <w:tr>
        <w:trPr>
          <w:cantSplit/>
        </w:trPr>
        <w:tc>
          <w:tcPr>
            <w:tcW w:type="dxa" w:w="30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Sin dato</w:t>
            </w:r>
          </w:p>
        </w:tc>
        <w:tc>
          <w:tcPr>
            <w:tcW w:type="dxa" w:w="63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Gris #BDBDBD</w:t>
            </w:r>
          </w:p>
        </w:tc>
      </w:tr>
    </w:tbl>
    <w:p>
      <w:pPr>
        <w:pStyle w:val="Heading2"/>
        <w:keepNext/>
      </w:pPr>
      <w:r>
        <w:rPr>
          <w:rFonts w:ascii="Montserrat" w:cs="Montserrat" w:eastAsia="Montserrat" w:hAnsi="Montserrat"/>
        </w:rPr>
        <w:t xml:space="preserve">8.3 Parámetros configurables por año</w:t>
      </w:r>
    </w:p>
    <w:p>
      <w:pPr>
        <w:spacing w:after="120" w:line="300"/>
      </w:pPr>
      <w:r>
        <w:rPr>
          <w:rFonts w:ascii="Montserrat" w:cs="Montserrat" w:eastAsia="Montserrat" w:hAnsi="Montserrat"/>
        </w:rPr>
        <w:t xml:space="preserve">El archivo de configuración concentra las reglas que Planeación revisa cada año, de modo que el cambio de vigencia no requiere editar código:</w:t>
      </w:r>
    </w:p>
    <w:p>
      <w:pPr>
        <w:pStyle w:val="ListParagraph"/>
        <w:numPr>
          <w:ilvl w:val="0"/>
          <w:numId w:val="2"/>
        </w:numPr>
        <w:spacing w:after="70" w:line="285"/>
      </w:pPr>
      <w:r>
        <w:rPr>
          <w:rFonts w:ascii="Montserrat" w:cs="Montserrat" w:eastAsia="Montserrat" w:hAnsi="Montserrat"/>
        </w:rPr>
        <w:t xml:space="preserve">Año de cierre (2026).</w:t>
      </w:r>
    </w:p>
    <w:p>
      <w:pPr>
        <w:pStyle w:val="ListParagraph"/>
        <w:numPr>
          <w:ilvl w:val="0"/>
          <w:numId w:val="2"/>
        </w:numPr>
        <w:spacing w:after="70" w:line="285"/>
      </w:pPr>
      <w:r>
        <w:rPr>
          <w:rFonts w:ascii="Montserrat" w:cs="Montserrat" w:eastAsia="Montserrat" w:hAnsi="Montserrat"/>
        </w:rPr>
        <w:t xml:space="preserve">Lista de indicadores de Plan Anual (11) y de tope 100 % (11).</w:t>
      </w:r>
    </w:p>
    <w:p>
      <w:pPr>
        <w:pStyle w:val="ListParagraph"/>
        <w:numPr>
          <w:ilvl w:val="0"/>
          <w:numId w:val="2"/>
        </w:numPr>
        <w:spacing w:after="70" w:line="285"/>
      </w:pPr>
      <w:r>
        <w:rPr>
          <w:rFonts w:ascii="Montserrat" w:cs="Montserrat" w:eastAsia="Montserrat" w:hAnsi="Montserrat"/>
        </w:rPr>
        <w:t xml:space="preserve">Lista de indicadores que siempre deben considerarse válidos aunque no estén en el catálogo Kawak del año.</w:t>
      </w:r>
    </w:p>
    <w:p>
      <w:pPr>
        <w:pStyle w:val="ListParagraph"/>
        <w:numPr>
          <w:ilvl w:val="0"/>
          <w:numId w:val="2"/>
        </w:numPr>
        <w:spacing w:after="70" w:line="285"/>
      </w:pPr>
      <w:r>
        <w:rPr>
          <w:rFonts w:ascii="Montserrat" w:cs="Montserrat" w:eastAsia="Montserrat" w:hAnsi="Montserrat"/>
        </w:rPr>
        <w:t xml:space="preserve">Orden de ejecución del pipeline, hojas y archivos obligatorios, y cronograma de la ejecución automática.</w:t>
      </w:r>
    </w:p>
    <w:p>
      <w:pPr>
        <w:pStyle w:val="Heading2"/>
        <w:keepNext/>
      </w:pPr>
      <w:r>
        <w:rPr>
          <w:rFonts w:ascii="Montserrat" w:cs="Montserrat" w:eastAsia="Montserrat" w:hAnsi="Montserrat"/>
        </w:rPr>
        <w:t xml:space="preserve">8.4 Reglas por módulo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Módulo</w:t>
            </w:r>
          </w:p>
        </w:tc>
        <w:tc>
          <w:tcPr>
            <w:tcW w:type="dxa" w:w="696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Regla de negocio</w:t>
            </w:r>
          </w:p>
        </w:tc>
      </w:tr>
      <w:tr>
        <w:trPr>
          <w:cantSplit/>
        </w:trPr>
        <w:tc>
          <w:tcPr>
            <w:tcW w:type="dxa" w:w="24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Indicadores vs. métricas</w:t>
            </w:r>
          </w:p>
        </w:tc>
        <w:tc>
          <w:tcPr>
            <w:tcW w:type="dxa" w:w="69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Un indicador tiene meta y semáforo. Una métrica es un ítem de seguimiento sin meta que recibe una tendencia (creciente, decreciente, estable o sin suficiente historia) según su variación interanual.</w:t>
            </w:r>
          </w:p>
        </w:tc>
      </w:tr>
      <w:tr>
        <w:trPr>
          <w:cantSplit/>
        </w:trPr>
        <w:tc>
          <w:tcPr>
            <w:tcW w:type="dxa" w:w="24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Plan de Mejoramiento</w:t>
            </w:r>
          </w:p>
        </w:tc>
        <w:tc>
          <w:tcPr>
            <w:tcW w:type="dxa" w:w="69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Cada indicador del plan es Activo (aprobado, con tipo Indicador y con medición), Aprobado (sin medición aún) o Pendiente. Se excluyen subtotales duplicados en el desglose de métricas para evitar doble conteo.</w:t>
            </w:r>
          </w:p>
        </w:tc>
      </w:tr>
      <w:tr>
        <w:trPr>
          <w:cantSplit/>
        </w:trPr>
        <w:tc>
          <w:tcPr>
            <w:tcW w:type="dxa" w:w="24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Informe Ejecutivo</w:t>
            </w:r>
          </w:p>
        </w:tc>
        <w:tc>
          <w:tcPr>
            <w:tcW w:type="dxa" w:w="69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El consolidado de cada línea es el promedio de sus perspectivas (retos, proyectos e indicadores). Cada proyecto se limita a 100 % y cada indicador a 130 % antes de promediar, para que ninguno compense a otro; los proyectos en Stand by se excluyen. El dato global es el promedio simple de los consolidados de línea. El semáforo del informe usa Cumplido desde 100 % y En progreso desde 90 %.</w:t>
            </w:r>
          </w:p>
        </w:tc>
      </w:tr>
      <w:tr>
        <w:trPr>
          <w:cantSplit/>
        </w:trPr>
        <w:tc>
          <w:tcPr>
            <w:tcW w:type="dxa" w:w="24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Retos y proyectos</w:t>
            </w:r>
          </w:p>
        </w:tc>
        <w:tc>
          <w:tcPr>
            <w:tcW w:type="dxa" w:w="69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Usan siempre el régimen Plan Anual, por tipo de entidad y no por lista de identificadores.</w:t>
            </w:r>
          </w:p>
        </w:tc>
      </w:tr>
      <w:tr>
        <w:trPr>
          <w:cantSplit/>
        </w:trPr>
        <w:tc>
          <w:tcPr>
            <w:tcW w:type="dxa" w:w="24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Seguimiento Operativo</w:t>
            </w:r>
          </w:p>
        </w:tc>
        <w:tc>
          <w:tcPr>
            <w:tcW w:type="dxa" w:w="69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Un indicador es exigible si le corresponde reporte en el corte; se clasifica como reportado, pendiente o no aplica.</w:t>
            </w:r>
          </w:p>
        </w:tc>
      </w:tr>
      <w:tr>
        <w:trPr>
          <w:cantSplit/>
        </w:trPr>
        <w:tc>
          <w:tcPr>
            <w:tcW w:type="dxa" w:w="24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Gestión de OM</w:t>
            </w:r>
          </w:p>
        </w:tc>
        <w:tc>
          <w:tcPr>
            <w:tcW w:type="dxa" w:w="69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Solo los indicadores en peligro (opcionalmente también en alerta) requieren una OM. Cada OM es única por indicador, periodo y año; al registrarla de nuevo se actualiza y no se duplica.</w:t>
            </w:r>
          </w:p>
        </w:tc>
      </w:tr>
      <w:tr>
        <w:trPr>
          <w:cantSplit/>
        </w:trPr>
        <w:tc>
          <w:tcPr>
            <w:tcW w:type="dxa" w:w="24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Varios ciclos PDI</w:t>
            </w:r>
          </w:p>
        </w:tc>
        <w:tc>
          <w:tcPr>
            <w:tcW w:type="dxa" w:w="69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Los identificadores de indicador no cambian entre ciclos; cambia su asociación a línea, objetivo y meta. La asociación al PDI 2026-2030 aplica solo a indicadores activos y los datos de 2026 pertenecen solo al nuevo ciclo. Los proyectos no cerrados continúan con el mismo identificador.</w:t>
            </w:r>
          </w:p>
        </w:tc>
      </w:tr>
      <w:tr>
        <w:trPr>
          <w:cantSplit/>
        </w:trPr>
        <w:tc>
          <w:tcPr>
            <w:tcW w:type="dxa" w:w="24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POLISIGS</w:t>
            </w:r>
          </w:p>
        </w:tc>
        <w:tc>
          <w:tcPr>
            <w:tcW w:type="dxa" w:w="69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Un indicador puede aparecer en más de un objetivo, pero el consolidado de la política lo cuenta una sola vez.</w:t>
            </w:r>
          </w:p>
        </w:tc>
      </w:tr>
    </w:tbl>
    <w:p>
      <w:pPr>
        <w:pStyle w:val="Heading1"/>
        <w:pageBreakBefore/>
      </w:pPr>
      <w:r>
        <w:rPr>
          <w:rFonts w:ascii="Montserrat" w:cs="Montserrat" w:eastAsia="Montserrat" w:hAnsi="Montserrat"/>
        </w:rPr>
        <w:t xml:space="preserve">9. Auditoría y calidad de datos</w:t>
      </w:r>
    </w:p>
    <w:p>
      <w:pPr>
        <w:spacing w:after="120" w:line="300"/>
      </w:pPr>
      <w:r>
        <w:rPr>
          <w:rFonts w:ascii="Montserrat" w:cs="Montserrat" w:eastAsia="Montserrat" w:hAnsi="Montserrat"/>
        </w:rPr>
        <w:t xml:space="preserve">SGIND aplica controles en cada etapa: antes de procesar la fuente, durante la construcción de los registros, antes de escribir el resultado, al presentar los informes y al publicar contenido generado con IA. Cada control deja evidencia.</w:t>
      </w:r>
    </w:p>
    <w:p>
      <w:pPr>
        <w:pStyle w:val="Heading2"/>
        <w:keepNext/>
      </w:pPr>
      <w:r>
        <w:rPr>
          <w:rFonts w:ascii="Montserrat" w:cs="Montserrat" w:eastAsia="Montserrat" w:hAnsi="Montserrat"/>
        </w:rPr>
        <w:t xml:space="preserve">9.1 Controles en el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cantSplit/>
          <w:tblHeader/>
        </w:trPr>
        <w:tc>
          <w:tcPr>
            <w:tcW w:type="dxa" w:w="270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Control</w:t>
            </w:r>
          </w:p>
        </w:tc>
        <w:tc>
          <w:tcPr>
            <w:tcW w:type="dxa" w:w="666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Qué verifica</w:t>
            </w:r>
          </w:p>
        </w:tc>
      </w:tr>
      <w:tr>
        <w:trPr>
          <w:cantSplit/>
        </w:trPr>
        <w:tc>
          <w:tcPr>
            <w:tcW w:type="dxa" w:w="27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Contrato de entrada (Gate 1)</w:t>
            </w:r>
          </w:p>
        </w:tc>
        <w:tc>
          <w:tcPr>
            <w:tcW w:type="dxa" w:w="66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El consolidado de la API cumple la estructura esperada antes de procesarse; si hay errores críticos, el pipeline se detiene.</w:t>
            </w:r>
          </w:p>
        </w:tc>
      </w:tr>
      <w:tr>
        <w:trPr>
          <w:cantSplit/>
        </w:trPr>
        <w:tc>
          <w:tcPr>
            <w:tcW w:type="dxa" w:w="27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Validación intermedia</w:t>
            </w:r>
          </w:p>
        </w:tc>
        <w:tc>
          <w:tcPr>
            <w:tcW w:type="dxa" w:w="66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Revisión después de consolidar la API, después de construir los registros y antes de escribir en Excel.</w:t>
            </w:r>
          </w:p>
        </w:tc>
      </w:tr>
      <w:tr>
        <w:trPr>
          <w:cantSplit/>
        </w:trPr>
        <w:tc>
          <w:tcPr>
            <w:tcW w:type="dxa" w:w="27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Contrato de salida (Gate 2)</w:t>
            </w:r>
          </w:p>
        </w:tc>
        <w:tc>
          <w:tcPr>
            <w:tcW w:type="dxa" w:w="66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El libro resultante contiene las hojas y columnas requeridas con valores válidos.</w:t>
            </w:r>
          </w:p>
        </w:tc>
      </w:tr>
      <w:tr>
        <w:trPr>
          <w:cantSplit/>
        </w:trPr>
        <w:tc>
          <w:tcPr>
            <w:tcW w:type="dxa" w:w="27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Contratos de datos (YAML)</w:t>
            </w:r>
          </w:p>
        </w:tc>
        <w:tc>
          <w:tcPr>
            <w:tcW w:type="dxa" w:w="66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Estructura de cinco fuentes: Resultados Consolidados, Seguimiento de Reporte, Consolidado API Kawak, Ficha Técnica y Acciones de Mejora, con modo estricto.</w:t>
            </w:r>
          </w:p>
        </w:tc>
      </w:tr>
      <w:tr>
        <w:trPr>
          <w:cantSplit/>
        </w:trPr>
        <w:tc>
          <w:tcPr>
            <w:tcW w:type="dxa" w:w="27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Coherencia histórica</w:t>
            </w:r>
          </w:p>
        </w:tc>
        <w:tc>
          <w:tcPr>
            <w:tcW w:type="dxa" w:w="66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Detecta cambio retroactivo del sentido (positivo a negativo), caída brusca de la meta (más de 50 % frente al último valor) y caída brusca de la ejecución (más de 80 % frente al promedio reciente).</w:t>
            </w:r>
          </w:p>
        </w:tc>
      </w:tr>
      <w:tr>
        <w:trPr>
          <w:cantSplit/>
        </w:trPr>
        <w:tc>
          <w:tcPr>
            <w:tcW w:type="dxa" w:w="27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Correcciones y señalamientos</w:t>
            </w:r>
          </w:p>
        </w:tc>
        <w:tc>
          <w:tcPr>
            <w:tcW w:type="dxa" w:w="66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Marca metas vacías o en cero para revisión manual, respetando que la meta cero es válida en sentido negativo, y reconoce ejecuciones reales en su propia escala.</w:t>
            </w:r>
          </w:p>
        </w:tc>
      </w:tr>
      <w:tr>
        <w:trPr>
          <w:cantSplit/>
        </w:trPr>
        <w:tc>
          <w:tcPr>
            <w:tcW w:type="dxa" w:w="27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Depuración</w:t>
            </w:r>
          </w:p>
        </w:tc>
        <w:tc>
          <w:tcPr>
            <w:tcW w:type="dxa" w:w="66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Purga filas inválidas y anteriores a la fecha de inicio, elimina duplicados de cierres y repara metas vacías o fijas, signos desde el catálogo, series múltiples, desglose de variables y agregados semestrales.</w:t>
            </w:r>
          </w:p>
        </w:tc>
      </w:tr>
      <w:tr>
        <w:trPr>
          <w:cantSplit/>
        </w:trPr>
        <w:tc>
          <w:tcPr>
            <w:tcW w:type="dxa" w:w="27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Fórmulas del libro</w:t>
            </w:r>
          </w:p>
        </w:tc>
        <w:tc>
          <w:tcPr>
            <w:tcW w:type="dxa" w:w="66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Las columnas de cumplimiento se escriben como fórmulas y se reescriben tras cualquier borrado para evitar referencias rotas.</w:t>
            </w:r>
          </w:p>
        </w:tc>
      </w:tr>
      <w:tr>
        <w:trPr>
          <w:cantSplit/>
        </w:trPr>
        <w:tc>
          <w:tcPr>
            <w:tcW w:type="dxa" w:w="27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Comprobación posterior</w:t>
            </w:r>
          </w:p>
        </w:tc>
        <w:tc>
          <w:tcPr>
            <w:tcW w:type="dxa" w:w="66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Verifica que existan los archivos y hojas obligatorios y las columnas requeridas de cada hoja.</w:t>
            </w:r>
          </w:p>
        </w:tc>
      </w:tr>
    </w:tbl>
    <w:p>
      <w:pPr>
        <w:pStyle w:val="Heading2"/>
        <w:keepNext/>
      </w:pPr>
      <w:r>
        <w:rPr>
          <w:rFonts w:ascii="Montserrat" w:cs="Montserrat" w:eastAsia="Montserrat" w:hAnsi="Montserrat"/>
        </w:rPr>
        <w:t xml:space="preserve">9.2 Trazabilidad y evidencia</w:t>
      </w:r>
    </w:p>
    <w:p>
      <w:pPr>
        <w:pStyle w:val="ListParagraph"/>
        <w:numPr>
          <w:ilvl w:val="0"/>
          <w:numId w:val="2"/>
        </w:numPr>
        <w:spacing w:after="70" w:line="285"/>
      </w:pPr>
      <w:r>
        <w:rPr>
          <w:rFonts w:ascii="Montserrat" w:cs="Montserrat" w:eastAsia="Montserrat" w:hAnsi="Montserrat"/>
          <w:b/>
          <w:bCs/>
        </w:rPr>
        <w:t xml:space="preserve">Auditoría de ejecuciones. </w:t>
      </w:r>
      <w:r>
        <w:rPr>
          <w:rFonts w:ascii="Montserrat" w:cs="Montserrat" w:eastAsia="Montserrat" w:hAnsi="Montserrat"/>
        </w:rPr>
        <w:t xml:space="preserve">Registro de cada ejecución: quién, cuándo y qué cambió, para auditar y reproducir los cambios.</w:t>
      </w:r>
    </w:p>
    <w:p>
      <w:pPr>
        <w:pStyle w:val="ListParagraph"/>
        <w:numPr>
          <w:ilvl w:val="0"/>
          <w:numId w:val="2"/>
        </w:numPr>
        <w:spacing w:after="70" w:line="285"/>
      </w:pPr>
      <w:r>
        <w:rPr>
          <w:rFonts w:ascii="Montserrat" w:cs="Montserrat" w:eastAsia="Montserrat" w:hAnsi="Montserrat"/>
          <w:b/>
          <w:bCs/>
        </w:rPr>
        <w:t xml:space="preserve">Informe de la corrida. </w:t>
      </w:r>
      <w:r>
        <w:rPr>
          <w:rFonts w:ascii="Montserrat" w:cs="Montserrat" w:eastAsia="Montserrat" w:hAnsi="Montserrat"/>
        </w:rPr>
        <w:t xml:space="preserve">Informe JSON y bitácora de cada corrida, con duración, resultado de cada paso, avisos y comprobaciones.</w:t>
      </w:r>
    </w:p>
    <w:p>
      <w:pPr>
        <w:pStyle w:val="ListParagraph"/>
        <w:numPr>
          <w:ilvl w:val="0"/>
          <w:numId w:val="2"/>
        </w:numPr>
        <w:spacing w:after="70" w:line="285"/>
      </w:pPr>
      <w:r>
        <w:rPr>
          <w:rFonts w:ascii="Montserrat" w:cs="Montserrat" w:eastAsia="Montserrat" w:hAnsi="Montserrat"/>
          <w:b/>
          <w:bCs/>
        </w:rPr>
        <w:t xml:space="preserve">Métricas del pipeline. </w:t>
      </w:r>
      <w:r>
        <w:rPr>
          <w:rFonts w:ascii="Montserrat" w:cs="Montserrat" w:eastAsia="Montserrat" w:hAnsi="Montserrat"/>
        </w:rPr>
        <w:t xml:space="preserve">Métricas de rendimiento y calidad (tiempos, memoria, filas, indicadores únicos, cumplimiento promedio y nulos).</w:t>
      </w:r>
    </w:p>
    <w:p>
      <w:pPr>
        <w:pStyle w:val="ListParagraph"/>
        <w:numPr>
          <w:ilvl w:val="0"/>
          <w:numId w:val="2"/>
        </w:numPr>
        <w:spacing w:after="70" w:line="285"/>
      </w:pPr>
      <w:r>
        <w:rPr>
          <w:rFonts w:ascii="Montserrat" w:cs="Montserrat" w:eastAsia="Montserrat" w:hAnsi="Montserrat"/>
          <w:b/>
          <w:bCs/>
        </w:rPr>
        <w:t xml:space="preserve">Versionado. </w:t>
      </w:r>
      <w:r>
        <w:rPr>
          <w:rFonts w:ascii="Montserrat" w:cs="Montserrat" w:eastAsia="Montserrat" w:hAnsi="Montserrat"/>
        </w:rPr>
        <w:t xml:space="preserve">Copias versionadas previas a cada consolidación, con reversión automática.</w:t>
      </w:r>
    </w:p>
    <w:p>
      <w:pPr>
        <w:pStyle w:val="ListParagraph"/>
        <w:numPr>
          <w:ilvl w:val="0"/>
          <w:numId w:val="2"/>
        </w:numPr>
        <w:spacing w:after="70" w:line="285"/>
      </w:pPr>
      <w:r>
        <w:rPr>
          <w:rFonts w:ascii="Montserrat" w:cs="Montserrat" w:eastAsia="Montserrat" w:hAnsi="Montserrat"/>
          <w:b/>
          <w:bCs/>
        </w:rPr>
        <w:t xml:space="preserve">Linaje. </w:t>
      </w:r>
      <w:r>
        <w:rPr>
          <w:rFonts w:ascii="Montserrat" w:cs="Montserrat" w:eastAsia="Montserrat" w:hAnsi="Montserrat"/>
        </w:rPr>
        <w:t xml:space="preserve">Cadena documentada fuente, consolidado y tablero, mediante el grafo de datos del proyecto.</w:t>
      </w:r>
    </w:p>
    <w:p>
      <w:pPr>
        <w:pStyle w:val="Heading2"/>
        <w:keepNext/>
      </w:pPr>
      <w:r>
        <w:rPr>
          <w:rFonts w:ascii="Montserrat" w:cs="Montserrat" w:eastAsia="Montserrat" w:hAnsi="Montserrat"/>
        </w:rPr>
        <w:t xml:space="preserve">9.3 Calidad de datos visible para el usuario</w:t>
      </w:r>
    </w:p>
    <w:p>
      <w:pPr>
        <w:spacing w:after="120" w:line="300"/>
      </w:pPr>
      <w:r>
        <w:rPr>
          <w:rFonts w:ascii="Montserrat" w:cs="Montserrat" w:eastAsia="Montserrat" w:hAnsi="Montserrat"/>
        </w:rPr>
        <w:t xml:space="preserve">La pestaña Calidad de Datos del Informe por Procesos mide, a partir de la lista de chequeo del monitoreo de información, cuatro dimensiones: oportunidad, completitud, consistencia y exactitud. Muestra un score global, el detalle por dimensión, alertas priorizadas y recomendaciones. Además, el Seguimiento Operativo mide la oportunidad del reporte en cada corte y cada pantalla indica la fecha de la última actualización de los datos.</w:t>
      </w:r>
    </w:p>
    <w:p>
      <w:pPr>
        <w:pStyle w:val="Heading2"/>
        <w:keepNext/>
      </w:pPr>
      <w:r>
        <w:rPr>
          <w:rFonts w:ascii="Montserrat" w:cs="Montserrat" w:eastAsia="Montserrat" w:hAnsi="Montserrat"/>
        </w:rPr>
        <w:t xml:space="preserve">9.4 Auditoría del Informe Ejecutivo</w:t>
      </w:r>
    </w:p>
    <w:p>
      <w:pPr>
        <w:spacing w:after="120" w:line="300"/>
      </w:pPr>
      <w:r>
        <w:rPr>
          <w:rFonts w:ascii="Montserrat" w:cs="Montserrat" w:eastAsia="Montserrat" w:hAnsi="Montserrat"/>
        </w:rPr>
        <w:t xml:space="preserve">Antes de emitir el Informe Ejecutivo, una capa de validación contrasta el contenido con las reglas de medición y genera un reporte de auditoría con hallazgos por severidad (error, advertencia e información), ubicación, valores comparados y sugerencia. Verifica, entre otros puntos, que:</w:t>
      </w:r>
    </w:p>
    <w:p>
      <w:pPr>
        <w:pStyle w:val="ListParagraph"/>
        <w:numPr>
          <w:ilvl w:val="0"/>
          <w:numId w:val="2"/>
        </w:numPr>
        <w:spacing w:after="70" w:line="285"/>
      </w:pPr>
      <w:r>
        <w:rPr>
          <w:rFonts w:ascii="Montserrat" w:cs="Montserrat" w:eastAsia="Montserrat" w:hAnsi="Montserrat"/>
        </w:rPr>
        <w:t xml:space="preserve">El consolidado de cada línea coincida con el promedio de sus perspectivas válidas.</w:t>
      </w:r>
    </w:p>
    <w:p>
      <w:pPr>
        <w:pStyle w:val="ListParagraph"/>
        <w:numPr>
          <w:ilvl w:val="0"/>
          <w:numId w:val="2"/>
        </w:numPr>
        <w:spacing w:after="70" w:line="285"/>
      </w:pPr>
      <w:r>
        <w:rPr>
          <w:rFonts w:ascii="Montserrat" w:cs="Montserrat" w:eastAsia="Montserrat" w:hAnsi="Montserrat"/>
        </w:rPr>
        <w:t xml:space="preserve">El dato principal de portada coincida con la fórmula configurada.</w:t>
      </w:r>
    </w:p>
    <w:p>
      <w:pPr>
        <w:pStyle w:val="ListParagraph"/>
        <w:numPr>
          <w:ilvl w:val="0"/>
          <w:numId w:val="2"/>
        </w:numPr>
        <w:spacing w:after="70" w:line="285"/>
      </w:pPr>
      <w:r>
        <w:rPr>
          <w:rFonts w:ascii="Montserrat" w:cs="Montserrat" w:eastAsia="Montserrat" w:hAnsi="Montserrat"/>
        </w:rPr>
        <w:t xml:space="preserve">Cumplidos, en progreso y atención sumen el total.</w:t>
      </w:r>
    </w:p>
    <w:p>
      <w:pPr>
        <w:pStyle w:val="ListParagraph"/>
        <w:numPr>
          <w:ilvl w:val="0"/>
          <w:numId w:val="2"/>
        </w:numPr>
        <w:spacing w:after="70" w:line="285"/>
      </w:pPr>
      <w:r>
        <w:rPr>
          <w:rFonts w:ascii="Montserrat" w:cs="Montserrat" w:eastAsia="Montserrat" w:hAnsi="Montserrat"/>
        </w:rPr>
        <w:t xml:space="preserve">Ningún proyecto en Stand by figure como incluido.</w:t>
      </w:r>
    </w:p>
    <w:p>
      <w:pPr>
        <w:pStyle w:val="ListParagraph"/>
        <w:numPr>
          <w:ilvl w:val="0"/>
          <w:numId w:val="2"/>
        </w:numPr>
        <w:spacing w:after="70" w:line="285"/>
      </w:pPr>
      <w:r>
        <w:rPr>
          <w:rFonts w:ascii="Montserrat" w:cs="Montserrat" w:eastAsia="Montserrat" w:hAnsi="Montserrat"/>
        </w:rPr>
        <w:t xml:space="preserve">Ningún indicador o proyecto supere su tope sin que se indique que fue aplicado.</w:t>
      </w:r>
    </w:p>
    <w:p>
      <w:pPr>
        <w:pStyle w:val="ListParagraph"/>
        <w:numPr>
          <w:ilvl w:val="0"/>
          <w:numId w:val="2"/>
        </w:numPr>
        <w:spacing w:after="70" w:line="285"/>
      </w:pPr>
      <w:r>
        <w:rPr>
          <w:rFonts w:ascii="Montserrat" w:cs="Montserrat" w:eastAsia="Montserrat" w:hAnsi="Montserrat"/>
        </w:rPr>
        <w:t xml:space="preserve">El estado de cada proyecto sea coherente con su avance.</w:t>
      </w:r>
    </w:p>
    <w:p>
      <w:pPr>
        <w:pStyle w:val="ListParagraph"/>
        <w:numPr>
          <w:ilvl w:val="0"/>
          <w:numId w:val="2"/>
        </w:numPr>
        <w:spacing w:after="70" w:line="285"/>
      </w:pPr>
      <w:r>
        <w:rPr>
          <w:rFonts w:ascii="Montserrat" w:cs="Montserrat" w:eastAsia="Montserrat" w:hAnsi="Montserrat"/>
        </w:rPr>
        <w:t xml:space="preserve">Los topes impresos en la nota metodológica sean los mismos que se usaron en el cálculo.</w:t>
      </w:r>
    </w:p>
    <w:p>
      <w:pPr>
        <w:pStyle w:val="Heading2"/>
        <w:keepNext/>
      </w:pPr>
      <w:r>
        <w:rPr>
          <w:rFonts w:ascii="Montserrat" w:cs="Montserrat" w:eastAsia="Montserrat" w:hAnsi="Montserrat"/>
        </w:rPr>
        <w:t xml:space="preserve">9.5 Auditoría de la narrativa con IA</w:t>
      </w:r>
    </w:p>
    <w:p>
      <w:pPr>
        <w:spacing w:after="120" w:line="300"/>
      </w:pPr>
      <w:r>
        <w:rPr>
          <w:rFonts w:ascii="Montserrat" w:cs="Montserrat" w:eastAsia="Montserrat" w:hAnsi="Montserrat"/>
        </w:rPr>
        <w:t xml:space="preserve">El diagnóstico por proceso se genera con IA generativa (Gemini) a partir únicamente de los datos agregados, con un motor heurístico de respaldo si el servicio no está disponible. La narrativa pasa por un flujo de control antes de llegar a los lectores: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cantSplit/>
          <w:tblHeader/>
        </w:trPr>
        <w:tc>
          <w:tcPr>
            <w:tcW w:type="dxa" w:w="270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Paso</w:t>
            </w:r>
          </w:p>
        </w:tc>
        <w:tc>
          <w:tcPr>
            <w:tcW w:type="dxa" w:w="666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Descripción</w:t>
            </w:r>
          </w:p>
        </w:tc>
      </w:tr>
      <w:tr>
        <w:trPr>
          <w:cantSplit/>
        </w:trPr>
        <w:tc>
          <w:tcPr>
            <w:tcW w:type="dxa" w:w="27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1. Detección de cambios</w:t>
            </w:r>
          </w:p>
        </w:tc>
        <w:tc>
          <w:tcPr>
            <w:tcW w:type="dxa" w:w="66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Al abrir el informe se compara una instantánea de los resultados del proceso con la anterior; si cambió, se genera un nuevo borrador.</w:t>
            </w:r>
          </w:p>
        </w:tc>
      </w:tr>
      <w:tr>
        <w:trPr>
          <w:cantSplit/>
        </w:trPr>
        <w:tc>
          <w:tcPr>
            <w:tcW w:type="dxa" w:w="27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2. Borrador restringido</w:t>
            </w:r>
          </w:p>
        </w:tc>
        <w:tc>
          <w:tcPr>
            <w:tcW w:type="dxa" w:w="66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El borrador no se expone a los lectores: solo lo ve un usuario con rol Auditor IA o Administrador.</w:t>
            </w:r>
          </w:p>
        </w:tc>
      </w:tr>
      <w:tr>
        <w:trPr>
          <w:cantSplit/>
        </w:trPr>
        <w:tc>
          <w:tcPr>
            <w:tcW w:type="dxa" w:w="27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3. Publicación</w:t>
            </w:r>
          </w:p>
        </w:tc>
        <w:tc>
          <w:tcPr>
            <w:tcW w:type="dxa" w:w="66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El auditor revisa y publica; la narrativa queda visible para todos.</w:t>
            </w:r>
          </w:p>
        </w:tc>
      </w:tr>
      <w:tr>
        <w:trPr>
          <w:cantSplit/>
        </w:trPr>
        <w:tc>
          <w:tcPr>
            <w:tcW w:type="dxa" w:w="27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4. Historial</w:t>
            </w:r>
          </w:p>
        </w:tc>
        <w:tc>
          <w:tcPr>
            <w:tcW w:type="dxa" w:w="66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La versión publicada anterior se archiva con quién y cuándo la aprobó.</w:t>
            </w:r>
          </w:p>
        </w:tc>
      </w:tr>
    </w:tbl>
    <w:p>
      <w:pPr>
        <w:pStyle w:val="Heading2"/>
        <w:keepNext/>
      </w:pPr>
      <w:r>
        <w:rPr>
          <w:rFonts w:ascii="Montserrat" w:cs="Montserrat" w:eastAsia="Montserrat" w:hAnsi="Montserrat"/>
        </w:rPr>
        <w:t xml:space="preserve">9.6 Auditoría de las acciones en el sistema</w:t>
      </w:r>
    </w:p>
    <w:p>
      <w:pPr>
        <w:pStyle w:val="ListParagraph"/>
        <w:numPr>
          <w:ilvl w:val="0"/>
          <w:numId w:val="2"/>
        </w:numPr>
        <w:spacing w:after="70" w:line="285"/>
      </w:pPr>
      <w:r>
        <w:rPr>
          <w:rFonts w:ascii="Montserrat" w:cs="Montserrat" w:eastAsia="Montserrat" w:hAnsi="Montserrat"/>
        </w:rPr>
        <w:t xml:space="preserve">Las oportunidades de mejora se guardan con restricción de unicidad y alimentan un registro de auditoría en la base de datos.</w:t>
      </w:r>
    </w:p>
    <w:p>
      <w:pPr>
        <w:pStyle w:val="ListParagraph"/>
        <w:numPr>
          <w:ilvl w:val="0"/>
          <w:numId w:val="2"/>
        </w:numPr>
        <w:spacing w:after="70" w:line="285"/>
      </w:pPr>
      <w:r>
        <w:rPr>
          <w:rFonts w:ascii="Montserrat" w:cs="Montserrat" w:eastAsia="Montserrat" w:hAnsi="Montserrat"/>
        </w:rPr>
        <w:t xml:space="preserve">Los permisos por rol se verifican en cada endpoint de la API.</w:t>
      </w:r>
    </w:p>
    <w:p>
      <w:pPr>
        <w:pStyle w:val="Heading2"/>
        <w:keepNext/>
      </w:pPr>
      <w:r>
        <w:rPr>
          <w:rFonts w:ascii="Montserrat" w:cs="Montserrat" w:eastAsia="Montserrat" w:hAnsi="Montserrat"/>
        </w:rPr>
        <w:t xml:space="preserve">9.7 Pruebas automatizadas</w:t>
      </w:r>
    </w:p>
    <w:p>
      <w:pPr>
        <w:spacing w:after="120" w:line="300"/>
      </w:pPr>
      <w:r>
        <w:rPr>
          <w:rFonts w:ascii="Montserrat" w:cs="Montserrat" w:eastAsia="Montserrat" w:hAnsi="Montserrat"/>
        </w:rPr>
        <w:t xml:space="preserve">Más de 230 pruebas automatizadas en 23 archivos cubren el dominio (cálculos, semáforo, taxonomía y asociaciones de PDI), los constructores de cada módulo, el pipeline ETL, el rendimiento de la caché, los contratos de la API, la autenticación y los roles, la generación de PDF y el despliegue. Se complementan con pruebas de extremo a extremo con Playwright y revisión de lint y formato en cada cambio.</w:t>
      </w:r>
    </w:p>
    <w:p>
      <w:pPr>
        <w:pStyle w:val="Heading1"/>
        <w:pageBreakBefore/>
      </w:pPr>
      <w:r>
        <w:rPr>
          <w:rFonts w:ascii="Montserrat" w:cs="Montserrat" w:eastAsia="Montserrat" w:hAnsi="Montserrat"/>
        </w:rPr>
        <w:t xml:space="preserve">10. Documentación y artefactos del proyecto</w:t>
      </w:r>
    </w:p>
    <w:p>
      <w:pPr>
        <w:spacing w:after="120" w:line="300"/>
      </w:pPr>
      <w:r>
        <w:rPr>
          <w:rFonts w:ascii="Montserrat" w:cs="Montserrat" w:eastAsia="Montserrat" w:hAnsi="Montserrat"/>
        </w:rPr>
        <w:t xml:space="preserve">El proyecto se entrega con un conjunto de documentos que describen qué hace el sistema, cómo está construido, cómo se valida y cómo se opera. Están en la carpeta docs del repositorio y se mantienen junto al código.</w:t>
      </w:r>
    </w:p>
    <w:p>
      <w:pPr>
        <w:pStyle w:val="Heading2"/>
        <w:keepNext/>
      </w:pPr>
      <w:r>
        <w:rPr>
          <w:rFonts w:ascii="Montserrat" w:cs="Montserrat" w:eastAsia="Montserrat" w:hAnsi="Montserrat"/>
        </w:rPr>
        <w:t xml:space="preserve">10.1 Documentación funcional</w:t>
      </w:r>
    </w:p>
    <w:p>
      <w:pPr>
        <w:spacing w:after="120" w:line="300"/>
      </w:pPr>
      <w:r>
        <w:rPr>
          <w:rFonts w:ascii="Montserrat" w:cs="Montserrat" w:eastAsia="Montserrat" w:hAnsi="Montserrat"/>
        </w:rPr>
        <w:t xml:space="preserve">Escrita para usuarios de negocio, sin lenguaje técnico: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Documento</w:t>
            </w:r>
          </w:p>
        </w:tc>
        <w:tc>
          <w:tcPr>
            <w:tcW w:type="dxa" w:w="636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Contenido</w:t>
            </w:r>
          </w:p>
        </w:tc>
      </w:tr>
      <w:tr>
        <w:trPr>
          <w:cantSplit/>
        </w:trPr>
        <w:tc>
          <w:tcPr>
            <w:tcW w:type="dxa" w:w="30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Qué es SGIND</w:t>
            </w:r>
          </w:p>
        </w:tc>
        <w:tc>
          <w:tcPr>
            <w:tcW w:type="dxa" w:w="63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Propósito del sistema, para quién es y qué hace.</w:t>
            </w:r>
          </w:p>
        </w:tc>
      </w:tr>
      <w:tr>
        <w:trPr>
          <w:cantSplit/>
        </w:trPr>
        <w:tc>
          <w:tcPr>
            <w:tcW w:type="dxa" w:w="30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Módulos</w:t>
            </w:r>
          </w:p>
        </w:tc>
        <w:tc>
          <w:tcPr>
            <w:tcW w:type="dxa" w:w="63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Qué muestra cada módulo y quién ve qué.</w:t>
            </w:r>
          </w:p>
        </w:tc>
      </w:tr>
      <w:tr>
        <w:trPr>
          <w:cantSplit/>
        </w:trPr>
        <w:tc>
          <w:tcPr>
            <w:tcW w:type="dxa" w:w="30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Cómo se calculan los indicadores</w:t>
            </w:r>
          </w:p>
        </w:tc>
        <w:tc>
          <w:tcPr>
            <w:tcW w:type="dxa" w:w="63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Fórmula de cumplimiento, regímenes del semáforo y tendencia de las métricas.</w:t>
            </w:r>
          </w:p>
        </w:tc>
      </w:tr>
      <w:tr>
        <w:trPr>
          <w:cantSplit/>
        </w:trPr>
        <w:tc>
          <w:tcPr>
            <w:tcW w:type="dxa" w:w="30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Glosario</w:t>
            </w:r>
          </w:p>
        </w:tc>
        <w:tc>
          <w:tcPr>
            <w:tcW w:type="dxa" w:w="63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Definiciones oficiales: indicador, métrica, cumplimiento, tendencia y demás términos.</w:t>
            </w:r>
          </w:p>
        </w:tc>
      </w:tr>
      <w:tr>
        <w:trPr>
          <w:cantSplit/>
        </w:trPr>
        <w:tc>
          <w:tcPr>
            <w:tcW w:type="dxa" w:w="30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Preguntas frecuentes</w:t>
            </w:r>
          </w:p>
        </w:tc>
        <w:tc>
          <w:tcPr>
            <w:tcW w:type="dxa" w:w="63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Respuestas a las dudas más comunes de los usuarios.</w:t>
            </w:r>
          </w:p>
        </w:tc>
      </w:tr>
    </w:tbl>
    <w:p>
      <w:pPr>
        <w:pStyle w:val="Heading2"/>
        <w:keepNext/>
      </w:pPr>
      <w:r>
        <w:rPr>
          <w:rFonts w:ascii="Montserrat" w:cs="Montserrat" w:eastAsia="Montserrat" w:hAnsi="Montserrat"/>
        </w:rPr>
        <w:t xml:space="preserve">10.2 Documentación técnica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Documento</w:t>
            </w:r>
          </w:p>
        </w:tc>
        <w:tc>
          <w:tcPr>
            <w:tcW w:type="dxa" w:w="636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Contenido</w:t>
            </w:r>
          </w:p>
        </w:tc>
      </w:tr>
      <w:tr>
        <w:trPr>
          <w:cantSplit/>
        </w:trPr>
        <w:tc>
          <w:tcPr>
            <w:tcW w:type="dxa" w:w="30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Arquitectura</w:t>
            </w:r>
          </w:p>
        </w:tc>
        <w:tc>
          <w:tcPr>
            <w:tcW w:type="dxa" w:w="63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Capas, tecnologías y flujo entre frontend, API, datos y despliegue.</w:t>
            </w:r>
          </w:p>
        </w:tc>
      </w:tr>
      <w:tr>
        <w:trPr>
          <w:cantSplit/>
        </w:trPr>
        <w:tc>
          <w:tcPr>
            <w:tcW w:type="dxa" w:w="30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Core del sistema</w:t>
            </w:r>
          </w:p>
        </w:tc>
        <w:tc>
          <w:tcPr>
            <w:tcW w:type="dxa" w:w="63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Lógica de dominio: cálculo, categorización y constructores de cada módulo.</w:t>
            </w:r>
          </w:p>
        </w:tc>
      </w:tr>
      <w:tr>
        <w:trPr>
          <w:cantSplit/>
        </w:trPr>
        <w:tc>
          <w:tcPr>
            <w:tcW w:type="dxa" w:w="30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Modelo de datos</w:t>
            </w:r>
          </w:p>
        </w:tc>
        <w:tc>
          <w:tcPr>
            <w:tcW w:type="dxa" w:w="63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Esquema de PostgreSQL y estructura de los libros de Excel.</w:t>
            </w:r>
          </w:p>
        </w:tc>
      </w:tr>
      <w:tr>
        <w:trPr>
          <w:cantSplit/>
        </w:trPr>
        <w:tc>
          <w:tcPr>
            <w:tcW w:type="dxa" w:w="30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API</w:t>
            </w:r>
          </w:p>
        </w:tc>
        <w:tc>
          <w:tcPr>
            <w:tcW w:type="dxa" w:w="63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Endpoints disponibles, parámetros y respuestas.</w:t>
            </w:r>
          </w:p>
        </w:tc>
      </w:tr>
      <w:tr>
        <w:trPr>
          <w:cantSplit/>
        </w:trPr>
        <w:tc>
          <w:tcPr>
            <w:tcW w:type="dxa" w:w="30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Reglas de negocio</w:t>
            </w:r>
          </w:p>
        </w:tc>
        <w:tc>
          <w:tcPr>
            <w:tcW w:type="dxa" w:w="63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Inventario de reglas, su ubicación en el código, entradas y salidas.</w:t>
            </w:r>
          </w:p>
        </w:tc>
      </w:tr>
      <w:tr>
        <w:trPr>
          <w:cantSplit/>
        </w:trPr>
        <w:tc>
          <w:tcPr>
            <w:tcW w:type="dxa" w:w="30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Flujos de extremo a extremo</w:t>
            </w:r>
          </w:p>
        </w:tc>
        <w:tc>
          <w:tcPr>
            <w:tcW w:type="dxa" w:w="63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Producción de datos, consulta de un indicador, registro de una OM y autenticación.</w:t>
            </w:r>
          </w:p>
        </w:tc>
      </w:tr>
      <w:tr>
        <w:trPr>
          <w:cantSplit/>
        </w:trPr>
        <w:tc>
          <w:tcPr>
            <w:tcW w:type="dxa" w:w="30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Seguridad</w:t>
            </w:r>
          </w:p>
        </w:tc>
        <w:tc>
          <w:tcPr>
            <w:tcW w:type="dxa" w:w="63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Autenticación, roles y control de acceso.</w:t>
            </w:r>
          </w:p>
        </w:tc>
      </w:tr>
      <w:tr>
        <w:trPr>
          <w:cantSplit/>
        </w:trPr>
        <w:tc>
          <w:tcPr>
            <w:tcW w:type="dxa" w:w="30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Pruebas</w:t>
            </w:r>
          </w:p>
        </w:tc>
        <w:tc>
          <w:tcPr>
            <w:tcW w:type="dxa" w:w="63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Estrategia y cobertura de las pruebas automatizadas.</w:t>
            </w:r>
          </w:p>
        </w:tc>
      </w:tr>
      <w:tr>
        <w:trPr>
          <w:cantSplit/>
        </w:trPr>
        <w:tc>
          <w:tcPr>
            <w:tcW w:type="dxa" w:w="30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Oportunidades de mejora y gobierno de datos</w:t>
            </w:r>
          </w:p>
        </w:tc>
        <w:tc>
          <w:tcPr>
            <w:tcW w:type="dxa" w:w="63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Priorización de mejoras y recomendaciones de gobierno de datos según DAMA-DMBOK.</w:t>
            </w:r>
          </w:p>
        </w:tc>
      </w:tr>
    </w:tbl>
    <w:p>
      <w:pPr>
        <w:pStyle w:val="Heading2"/>
        <w:keepNext/>
      </w:pPr>
      <w:r>
        <w:rPr>
          <w:rFonts w:ascii="Montserrat" w:cs="Montserrat" w:eastAsia="Montserrat" w:hAnsi="Montserrat"/>
        </w:rPr>
        <w:t xml:space="preserve">10.3 Levantamiento y diseño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Entregable</w:t>
            </w:r>
          </w:p>
        </w:tc>
        <w:tc>
          <w:tcPr>
            <w:tcW w:type="dxa" w:w="636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Contenido</w:t>
            </w:r>
          </w:p>
        </w:tc>
      </w:tr>
      <w:tr>
        <w:trPr>
          <w:cantSplit/>
        </w:trPr>
        <w:tc>
          <w:tcPr>
            <w:tcW w:type="dxa" w:w="30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Levantamiento (8 documentos)</w:t>
            </w:r>
          </w:p>
        </w:tc>
        <w:tc>
          <w:tcPr>
            <w:tcW w:type="dxa" w:w="63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Documento funcional y técnico, mapa de procesos, inventario de componentes, catálogo de fuentes de datos, catálogo de prompts de IA, matriz de pruebas y deuda técnica.</w:t>
            </w:r>
          </w:p>
        </w:tc>
      </w:tr>
      <w:tr>
        <w:trPr>
          <w:cantSplit/>
        </w:trPr>
        <w:tc>
          <w:tcPr>
            <w:tcW w:type="dxa" w:w="30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Diseño de datos</w:t>
            </w:r>
          </w:p>
        </w:tc>
        <w:tc>
          <w:tcPr>
            <w:tcW w:type="dxa" w:w="63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Diagrama entidad-relación, diccionario de datos y mapeo de migración.</w:t>
            </w:r>
          </w:p>
        </w:tc>
      </w:tr>
      <w:tr>
        <w:trPr>
          <w:cantSplit/>
        </w:trPr>
        <w:tc>
          <w:tcPr>
            <w:tcW w:type="dxa" w:w="30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Decisiones de arquitectura (9 ADR)</w:t>
            </w:r>
          </w:p>
        </w:tc>
        <w:tc>
          <w:tcPr>
            <w:tcW w:type="dxa" w:w="63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Persistencia, frontend, backend, autenticación, gráficos, caché, IA, despliegue y decisiones de la fase de validación.</w:t>
            </w:r>
          </w:p>
        </w:tc>
      </w:tr>
      <w:tr>
        <w:trPr>
          <w:cantSplit/>
        </w:trPr>
        <w:tc>
          <w:tcPr>
            <w:tcW w:type="dxa" w:w="30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Matriz de roles (RBAC)</w:t>
            </w:r>
          </w:p>
        </w:tc>
        <w:tc>
          <w:tcPr>
            <w:tcW w:type="dxa" w:w="63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Permisos por rol para cada pantalla y cada endpoint de la API.</w:t>
            </w:r>
          </w:p>
        </w:tc>
      </w:tr>
      <w:tr>
        <w:trPr>
          <w:cantSplit/>
        </w:trPr>
        <w:tc>
          <w:tcPr>
            <w:tcW w:type="dxa" w:w="30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Grafo del sistema</w:t>
            </w:r>
          </w:p>
        </w:tc>
        <w:tc>
          <w:tcPr>
            <w:tcW w:type="dxa" w:w="63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Nodos, relaciones, matriz de impacto y linaje de datos en formato JSON.</w:t>
            </w:r>
          </w:p>
        </w:tc>
      </w:tr>
    </w:tbl>
    <w:p>
      <w:pPr>
        <w:pStyle w:val="Heading2"/>
        <w:keepNext/>
      </w:pPr>
      <w:r>
        <w:rPr>
          <w:rFonts w:ascii="Montserrat" w:cs="Montserrat" w:eastAsia="Montserrat" w:hAnsi="Montserrat"/>
        </w:rPr>
        <w:t xml:space="preserve">10.4 Validación, migración y operación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Documento</w:t>
            </w:r>
          </w:p>
        </w:tc>
        <w:tc>
          <w:tcPr>
            <w:tcW w:type="dxa" w:w="636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Contenido</w:t>
            </w:r>
          </w:p>
        </w:tc>
      </w:tr>
      <w:tr>
        <w:trPr>
          <w:cantSplit/>
        </w:trPr>
        <w:tc>
          <w:tcPr>
            <w:tcW w:type="dxa" w:w="30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Lista de aceptación (UAT)</w:t>
            </w:r>
          </w:p>
        </w:tc>
        <w:tc>
          <w:tcPr>
            <w:tcW w:type="dxa" w:w="63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Más de 80 criterios organizados por módulo: acceso, Resumen General, CMI Estratégico, CMI por Procesos, Gestión de OM (lectura, creación, edición y cierre), Plan de Mejoramiento, Seguimiento Operativo e Informe por Procesos.</w:t>
            </w:r>
          </w:p>
        </w:tc>
      </w:tr>
      <w:tr>
        <w:trPr>
          <w:cantSplit/>
        </w:trPr>
        <w:tc>
          <w:tcPr>
            <w:tcW w:type="dxa" w:w="30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Registro de hallazgos</w:t>
            </w:r>
          </w:p>
        </w:tc>
        <w:tc>
          <w:tcPr>
            <w:tcW w:type="dxa" w:w="63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Plantilla de severidad (bloqueante, mayor y menor), historial de correcciones por ronda y métricas de la validación.</w:t>
            </w:r>
          </w:p>
        </w:tc>
      </w:tr>
      <w:tr>
        <w:trPr>
          <w:cantSplit/>
        </w:trPr>
        <w:tc>
          <w:tcPr>
            <w:tcW w:type="dxa" w:w="30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Acta de aceptación</w:t>
            </w:r>
          </w:p>
        </w:tc>
        <w:tc>
          <w:tcPr>
            <w:tcW w:type="dxa" w:w="63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Criterios de funcionalidad, exactitud de datos, usabilidad y calidad técnica, con rondas de validación y firmas.</w:t>
            </w:r>
          </w:p>
        </w:tc>
      </w:tr>
      <w:tr>
        <w:trPr>
          <w:cantSplit/>
        </w:trPr>
        <w:tc>
          <w:tcPr>
            <w:tcW w:type="dxa" w:w="30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Guía de puesta en producción</w:t>
            </w:r>
          </w:p>
        </w:tc>
        <w:tc>
          <w:tcPr>
            <w:tcW w:type="dxa" w:w="63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Plan por etapas, desde T-7 días hasta el cierre: comunicación, verificación de paridad numérica, ensayo, congelación, respaldo y reversión.</w:t>
            </w:r>
          </w:p>
        </w:tc>
      </w:tr>
      <w:tr>
        <w:trPr>
          <w:cantSplit/>
        </w:trPr>
        <w:tc>
          <w:tcPr>
            <w:tcW w:type="dxa" w:w="30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Guía del entorno de pruebas</w:t>
            </w:r>
          </w:p>
        </w:tc>
        <w:tc>
          <w:tcPr>
            <w:tcW w:type="dxa" w:w="63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Requisitos del servidor, variables de entorno, autenticación en el registro de imágenes, primer arranque y verificación.</w:t>
            </w:r>
          </w:p>
        </w:tc>
      </w:tr>
      <w:tr>
        <w:trPr>
          <w:cantSplit/>
        </w:trPr>
        <w:tc>
          <w:tcPr>
            <w:tcW w:type="dxa" w:w="30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Estrategia de sincronización de datos</w:t>
            </w:r>
          </w:p>
        </w:tc>
        <w:tc>
          <w:tcPr>
            <w:tcW w:type="dxa" w:w="63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Fuentes y propietarios de los datos, sincronización incremental idempotente, simulación previa y reversión.</w:t>
            </w:r>
          </w:p>
        </w:tc>
      </w:tr>
      <w:tr>
        <w:trPr>
          <w:cantSplit/>
        </w:trPr>
        <w:tc>
          <w:tcPr>
            <w:tcW w:type="dxa" w:w="30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Comunicación a usuarios</w:t>
            </w:r>
          </w:p>
        </w:tc>
        <w:tc>
          <w:tcPr>
            <w:tcW w:type="dxa" w:w="63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Cuatro plantillas: aviso previo, aviso de mantenimiento, anuncio de puesta en marcha y comunicación de reversión.</w:t>
            </w:r>
          </w:p>
        </w:tc>
      </w:tr>
      <w:tr>
        <w:trPr>
          <w:cantSplit/>
        </w:trPr>
        <w:tc>
          <w:tcPr>
            <w:tcW w:type="dxa" w:w="30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Plan de migración y estado del proyecto</w:t>
            </w:r>
          </w:p>
        </w:tc>
        <w:tc>
          <w:tcPr>
            <w:tcW w:type="dxa" w:w="63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Hoja de ruta por fases, plan de cierre de hallazgos y tablero de estado.</w:t>
            </w:r>
          </w:p>
        </w:tc>
      </w:tr>
    </w:tbl>
    <w:p>
      <w:pPr>
        <w:pStyle w:val="Heading2"/>
        <w:keepNext/>
      </w:pPr>
      <w:r>
        <w:rPr>
          <w:rFonts w:ascii="Montserrat" w:cs="Montserrat" w:eastAsia="Montserrat" w:hAnsi="Montserrat"/>
        </w:rPr>
        <w:t xml:space="preserve">10.5 Documentación de datos y marcos PDI</w:t>
      </w:r>
    </w:p>
    <w:p>
      <w:pPr>
        <w:pStyle w:val="ListParagraph"/>
        <w:numPr>
          <w:ilvl w:val="0"/>
          <w:numId w:val="2"/>
        </w:numPr>
        <w:spacing w:after="70" w:line="285"/>
      </w:pPr>
      <w:r>
        <w:rPr>
          <w:rFonts w:ascii="Montserrat" w:cs="Montserrat" w:eastAsia="Montserrat" w:hAnsi="Montserrat"/>
        </w:rPr>
        <w:t xml:space="preserve">Catálogo de fuentes de datos con consumidor, hojas clave y frecuencia de cada archivo.</w:t>
      </w:r>
    </w:p>
    <w:p>
      <w:pPr>
        <w:pStyle w:val="ListParagraph"/>
        <w:numPr>
          <w:ilvl w:val="0"/>
          <w:numId w:val="2"/>
        </w:numPr>
        <w:spacing w:after="70" w:line="285"/>
      </w:pPr>
      <w:r>
        <w:rPr>
          <w:rFonts w:ascii="Montserrat" w:cs="Montserrat" w:eastAsia="Montserrat" w:hAnsi="Montserrat"/>
        </w:rPr>
        <w:t xml:space="preserve">Contratos de datos en YAML que describen la estructura esperada de las fuentes principales.</w:t>
      </w:r>
    </w:p>
    <w:p>
      <w:pPr>
        <w:pStyle w:val="ListParagraph"/>
        <w:numPr>
          <w:ilvl w:val="0"/>
          <w:numId w:val="2"/>
        </w:numPr>
        <w:spacing w:after="70" w:line="285"/>
      </w:pPr>
      <w:r>
        <w:rPr>
          <w:rFonts w:ascii="Montserrat" w:cs="Montserrat" w:eastAsia="Montserrat" w:hAnsi="Montserrat"/>
        </w:rPr>
        <w:t xml:space="preserve">Informe de impacto del soporte de varios ciclos PDI, con las decisiones de negocio confirmadas.</w:t>
      </w:r>
    </w:p>
    <w:p>
      <w:pPr>
        <w:pStyle w:val="ListParagraph"/>
        <w:numPr>
          <w:ilvl w:val="0"/>
          <w:numId w:val="2"/>
        </w:numPr>
        <w:spacing w:after="70" w:line="285"/>
      </w:pPr>
      <w:r>
        <w:rPr>
          <w:rFonts w:ascii="Montserrat" w:cs="Montserrat" w:eastAsia="Montserrat" w:hAnsi="Montserrat"/>
        </w:rPr>
        <w:t xml:space="preserve">Informe de revisión de la narrativa del Informe Ejecutivo.</w:t>
      </w:r>
    </w:p>
    <w:p>
      <w:pPr>
        <w:pStyle w:val="Heading1"/>
        <w:pageBreakBefore/>
      </w:pPr>
      <w:r>
        <w:rPr>
          <w:rFonts w:ascii="Montserrat" w:cs="Montserrat" w:eastAsia="Montserrat" w:hAnsi="Montserrat"/>
        </w:rPr>
        <w:t xml:space="preserve">11. Roles y seguridad</w:t>
      </w:r>
    </w:p>
    <w:p>
      <w:pPr>
        <w:spacing w:after="120" w:line="300"/>
      </w:pPr>
      <w:r>
        <w:rPr>
          <w:rFonts w:ascii="Montserrat" w:cs="Montserrat" w:eastAsia="Montserrat" w:hAnsi="Montserrat"/>
        </w:rPr>
        <w:t xml:space="preserve">El acceso se realiza con el correo institucional mediante Azure AD. Cada usuario ve únicamente las pantallas que le corresponden y, si intenta entrar a otra por la dirección web, el sistema lo devuelve al menú.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3060"/>
      </w:tblGrid>
      <w:tr>
        <w:trPr>
          <w:cantSplit/>
          <w:tblHeader/>
        </w:trPr>
        <w:tc>
          <w:tcPr>
            <w:tcW w:type="dxa" w:w="200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Rol</w:t>
            </w:r>
          </w:p>
        </w:tc>
        <w:tc>
          <w:tcPr>
            <w:tcW w:type="dxa" w:w="430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Pantallas</w:t>
            </w:r>
          </w:p>
        </w:tc>
        <w:tc>
          <w:tcPr>
            <w:tcW w:type="dxa" w:w="306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Capacidades</w:t>
            </w:r>
          </w:p>
        </w:tc>
      </w:tr>
      <w:tr>
        <w:trPr>
          <w:cantSplit/>
        </w:trPr>
        <w:tc>
          <w:tcPr>
            <w:tcW w:type="dxa" w:w="20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Procesos (por defecto)</w:t>
            </w:r>
          </w:p>
        </w:tc>
        <w:tc>
          <w:tcPr>
            <w:tcW w:type="dxa" w:w="43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Resumen General, CMI Estratégico, CMI por Procesos, Informe por Procesos y Plan de Mejoramiento</w:t>
            </w:r>
          </w:p>
        </w:tc>
        <w:tc>
          <w:tcPr>
            <w:tcW w:type="dxa" w:w="30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Consulta y exportación</w:t>
            </w:r>
          </w:p>
        </w:tc>
      </w:tr>
      <w:tr>
        <w:trPr>
          <w:cantSplit/>
        </w:trPr>
        <w:tc>
          <w:tcPr>
            <w:tcW w:type="dxa" w:w="20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Administrador</w:t>
            </w:r>
          </w:p>
        </w:tc>
        <w:tc>
          <w:tcPr>
            <w:tcW w:type="dxa" w:w="43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Todas, incluida la Sección Operativa</w:t>
            </w:r>
          </w:p>
        </w:tc>
        <w:tc>
          <w:tcPr>
            <w:tcW w:type="dxa" w:w="30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Consulta total, gestión de OM, auditoría y publicación de narrativa</w:t>
            </w:r>
          </w:p>
        </w:tc>
      </w:tr>
      <w:tr>
        <w:trPr>
          <w:cantSplit/>
        </w:trPr>
        <w:tc>
          <w:tcPr>
            <w:tcW w:type="dxa" w:w="20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Calidad</w:t>
            </w:r>
          </w:p>
        </w:tc>
        <w:tc>
          <w:tcPr>
            <w:tcW w:type="dxa" w:w="43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Todas</w:t>
            </w:r>
          </w:p>
        </w:tc>
        <w:tc>
          <w:tcPr>
            <w:tcW w:type="dxa" w:w="30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Consulta total y gestión de OM</w:t>
            </w:r>
          </w:p>
        </w:tc>
      </w:tr>
      <w:tr>
        <w:trPr>
          <w:cantSplit/>
        </w:trPr>
        <w:tc>
          <w:tcPr>
            <w:tcW w:type="dxa" w:w="20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Desempeño</w:t>
            </w:r>
          </w:p>
        </w:tc>
        <w:tc>
          <w:tcPr>
            <w:tcW w:type="dxa" w:w="43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Todas</w:t>
            </w:r>
          </w:p>
        </w:tc>
        <w:tc>
          <w:tcPr>
            <w:tcW w:type="dxa" w:w="30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Consulta total y gestión de OM</w:t>
            </w:r>
          </w:p>
        </w:tc>
      </w:tr>
      <w:tr>
        <w:trPr>
          <w:cantSplit/>
        </w:trPr>
        <w:tc>
          <w:tcPr>
            <w:tcW w:type="dxa" w:w="20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Auditor IA</w:t>
            </w:r>
          </w:p>
        </w:tc>
        <w:tc>
          <w:tcPr>
            <w:tcW w:type="dxa" w:w="43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Las de Procesos</w:t>
            </w:r>
          </w:p>
        </w:tc>
        <w:tc>
          <w:tcPr>
            <w:tcW w:type="dxa" w:w="30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Consulta y revisión de la narrativa antes de publicarla</w:t>
            </w:r>
          </w:p>
        </w:tc>
      </w:tr>
    </w:tbl>
    <w:p>
      <w:pPr>
        <w:spacing w:after="100"/>
      </w:pPr>
    </w:p>
    <w:p>
      <w:pPr>
        <w:pStyle w:val="ListParagraph"/>
        <w:numPr>
          <w:ilvl w:val="0"/>
          <w:numId w:val="2"/>
        </w:numPr>
        <w:spacing w:after="70" w:line="285"/>
      </w:pPr>
      <w:r>
        <w:rPr>
          <w:rFonts w:ascii="Montserrat" w:cs="Montserrat" w:eastAsia="Montserrat" w:hAnsi="Montserrat"/>
        </w:rPr>
        <w:t xml:space="preserve">Registro de auditoría de las acciones sobre oportunidades de mejora.</w:t>
      </w:r>
    </w:p>
    <w:p>
      <w:pPr>
        <w:pStyle w:val="ListParagraph"/>
        <w:numPr>
          <w:ilvl w:val="0"/>
          <w:numId w:val="2"/>
        </w:numPr>
        <w:spacing w:after="70" w:line="285"/>
      </w:pPr>
      <w:r>
        <w:rPr>
          <w:rFonts w:ascii="Montserrat" w:cs="Montserrat" w:eastAsia="Montserrat" w:hAnsi="Montserrat"/>
        </w:rPr>
        <w:t xml:space="preserve">El acceso de desarrollo está desactivado por defecto para evitar la escalada de privilegios.</w:t>
      </w:r>
    </w:p>
    <w:p>
      <w:pPr>
        <w:pStyle w:val="ListParagraph"/>
        <w:numPr>
          <w:ilvl w:val="0"/>
          <w:numId w:val="2"/>
        </w:numPr>
        <w:spacing w:after="70" w:line="285"/>
      </w:pPr>
      <w:r>
        <w:rPr>
          <w:rFonts w:ascii="Montserrat" w:cs="Montserrat" w:eastAsia="Montserrat" w:hAnsi="Montserrat"/>
        </w:rPr>
        <w:t xml:space="preserve">Los permisos se aplican tanto en el menú como en cada endpoint de la API.</w:t>
      </w:r>
    </w:p>
    <w:p>
      <w:pPr>
        <w:pStyle w:val="Heading1"/>
        <w:pageBreakBefore/>
      </w:pPr>
      <w:r>
        <w:rPr>
          <w:rFonts w:ascii="Montserrat" w:cs="Montserrat" w:eastAsia="Montserrat" w:hAnsi="Montserrat"/>
        </w:rPr>
        <w:t xml:space="preserve">12. Gestión de varios ciclos PDI</w:t>
      </w:r>
    </w:p>
    <w:p>
      <w:pPr>
        <w:spacing w:after="120" w:line="300"/>
      </w:pPr>
      <w:r>
        <w:rPr>
          <w:rFonts w:ascii="Montserrat" w:cs="Montserrat" w:eastAsia="Montserrat" w:hAnsi="Montserrat"/>
        </w:rPr>
        <w:t xml:space="preserve">SGIND maneja el ciclo del PDI como un dato de primer nivel. Al entrar a un módulo se elige el ciclo y toda la información se filtra por él.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cantSplit/>
          <w:tblHeader/>
        </w:trPr>
        <w:tc>
          <w:tcPr>
            <w:tcW w:type="dxa" w:w="320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Característica</w:t>
            </w:r>
          </w:p>
        </w:tc>
        <w:tc>
          <w:tcPr>
            <w:tcW w:type="dxa" w:w="308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PDI 2022-2026</w:t>
            </w:r>
          </w:p>
        </w:tc>
        <w:tc>
          <w:tcPr>
            <w:tcW w:type="dxa" w:w="308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PDI 2026-2030</w:t>
            </w:r>
          </w:p>
        </w:tc>
      </w:tr>
      <w:tr>
        <w:trPr>
          <w:cantSplit/>
        </w:trPr>
        <w:tc>
          <w:tcPr>
            <w:tcW w:type="dxa" w:w="32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Estado</w:t>
            </w:r>
          </w:p>
        </w:tc>
        <w:tc>
          <w:tcPr>
            <w:tcW w:type="dxa" w:w="308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Ciclo cerrado</w:t>
            </w:r>
          </w:p>
        </w:tc>
        <w:tc>
          <w:tcPr>
            <w:tcW w:type="dxa" w:w="308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Ciclo vigente</w:t>
            </w:r>
          </w:p>
        </w:tc>
      </w:tr>
      <w:tr>
        <w:trPr>
          <w:cantSplit/>
        </w:trPr>
        <w:tc>
          <w:tcPr>
            <w:tcW w:type="dxa" w:w="32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Datos</w:t>
            </w:r>
          </w:p>
        </w:tc>
        <w:tc>
          <w:tcPr>
            <w:tcW w:type="dxa" w:w="308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2022 a 2025</w:t>
            </w:r>
          </w:p>
        </w:tc>
        <w:tc>
          <w:tcPr>
            <w:tcW w:type="dxa" w:w="308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2026 en adelante</w:t>
            </w:r>
          </w:p>
        </w:tc>
      </w:tr>
      <w:tr>
        <w:trPr>
          <w:cantSplit/>
        </w:trPr>
        <w:tc>
          <w:tcPr>
            <w:tcW w:type="dxa" w:w="32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Líneas estratégicas</w:t>
            </w:r>
          </w:p>
        </w:tc>
        <w:tc>
          <w:tcPr>
            <w:tcW w:type="dxa" w:w="308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6</w:t>
            </w:r>
          </w:p>
        </w:tc>
        <w:tc>
          <w:tcPr>
            <w:tcW w:type="dxa" w:w="308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4</w:t>
            </w:r>
          </w:p>
        </w:tc>
      </w:tr>
      <w:tr>
        <w:trPr>
          <w:cantSplit/>
        </w:trPr>
        <w:tc>
          <w:tcPr>
            <w:tcW w:type="dxa" w:w="32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Objetivos</w:t>
            </w:r>
          </w:p>
        </w:tc>
        <w:tc>
          <w:tcPr>
            <w:tcW w:type="dxa" w:w="308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11</w:t>
            </w:r>
          </w:p>
        </w:tc>
        <w:tc>
          <w:tcPr>
            <w:tcW w:type="dxa" w:w="308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10</w:t>
            </w:r>
          </w:p>
        </w:tc>
      </w:tr>
      <w:tr>
        <w:trPr>
          <w:cantSplit/>
        </w:trPr>
        <w:tc>
          <w:tcPr>
            <w:tcW w:type="dxa" w:w="32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Metas</w:t>
            </w:r>
          </w:p>
        </w:tc>
        <w:tc>
          <w:tcPr>
            <w:tcW w:type="dxa" w:w="308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33</w:t>
            </w:r>
          </w:p>
        </w:tc>
        <w:tc>
          <w:tcPr>
            <w:tcW w:type="dxa" w:w="308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22</w:t>
            </w:r>
          </w:p>
        </w:tc>
      </w:tr>
      <w:tr>
        <w:trPr>
          <w:cantSplit/>
        </w:trPr>
        <w:tc>
          <w:tcPr>
            <w:tcW w:type="dxa" w:w="32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Módulos disponibles</w:t>
            </w:r>
          </w:p>
        </w:tc>
        <w:tc>
          <w:tcPr>
            <w:tcW w:type="dxa" w:w="308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Todos los módulos</w:t>
            </w:r>
          </w:p>
        </w:tc>
        <w:tc>
          <w:tcPr>
            <w:tcW w:type="dxa" w:w="308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CMI Estratégico y CMI por Procesos</w:t>
            </w:r>
          </w:p>
        </w:tc>
      </w:tr>
    </w:tbl>
    <w:p>
      <w:pPr>
        <w:spacing w:after="100"/>
      </w:pPr>
    </w:p>
    <w:p>
      <w:pPr>
        <w:pStyle w:val="ListParagraph"/>
        <w:numPr>
          <w:ilvl w:val="0"/>
          <w:numId w:val="2"/>
        </w:numPr>
        <w:spacing w:after="70" w:line="285"/>
      </w:pPr>
      <w:r>
        <w:rPr>
          <w:rFonts w:ascii="Montserrat" w:cs="Montserrat" w:eastAsia="Montserrat" w:hAnsi="Montserrat"/>
        </w:rPr>
        <w:t xml:space="preserve">Selector de ciclo al entrar y chip de cambio dentro de cada módulo; el ciclo viaja en la dirección web, lo que permite compartir un enlace al ciclo exacto.</w:t>
      </w:r>
    </w:p>
    <w:p>
      <w:pPr>
        <w:pStyle w:val="ListParagraph"/>
        <w:numPr>
          <w:ilvl w:val="0"/>
          <w:numId w:val="2"/>
        </w:numPr>
        <w:spacing w:after="70" w:line="285"/>
      </w:pPr>
      <w:r>
        <w:rPr>
          <w:rFonts w:ascii="Montserrat" w:cs="Montserrat" w:eastAsia="Montserrat" w:hAnsi="Montserrat"/>
        </w:rPr>
        <w:t xml:space="preserve">Aislamiento de datos: la API valida el ciclo solicitado y nunca devuelve información de otro.</w:t>
      </w:r>
    </w:p>
    <w:p>
      <w:pPr>
        <w:pStyle w:val="ListParagraph"/>
        <w:numPr>
          <w:ilvl w:val="0"/>
          <w:numId w:val="2"/>
        </w:numPr>
        <w:spacing w:after="70" w:line="285"/>
      </w:pPr>
      <w:r>
        <w:rPr>
          <w:rFonts w:ascii="Montserrat" w:cs="Montserrat" w:eastAsia="Montserrat" w:hAnsi="Montserrat"/>
        </w:rPr>
        <w:t xml:space="preserve">Los identificadores de indicador se conservan entre ciclos; lo que cambia es su asociación a línea, objetivo y meta.</w:t>
      </w:r>
    </w:p>
    <w:p>
      <w:pPr>
        <w:pStyle w:val="ListParagraph"/>
        <w:numPr>
          <w:ilvl w:val="0"/>
          <w:numId w:val="2"/>
        </w:numPr>
        <w:spacing w:after="70" w:line="285"/>
      </w:pPr>
      <w:r>
        <w:rPr>
          <w:rFonts w:ascii="Montserrat" w:cs="Montserrat" w:eastAsia="Montserrat" w:hAnsi="Montserrat"/>
        </w:rPr>
        <w:t xml:space="preserve">Los proyectos que no han cerrado continúan en el nuevo ciclo con el mismo identificador.</w:t>
      </w:r>
    </w:p>
    <w:p>
      <w:pPr>
        <w:pStyle w:val="Heading1"/>
        <w:pageBreakBefore/>
      </w:pPr>
      <w:r>
        <w:rPr>
          <w:rFonts w:ascii="Montserrat" w:cs="Montserrat" w:eastAsia="Montserrat" w:hAnsi="Montserrat"/>
        </w:rPr>
        <w:t xml:space="preserve">13. Matriz de funcionalidades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1500"/>
        <w:gridCol w:w="1000"/>
        <w:gridCol w:w="1360"/>
        <w:gridCol w:w="1500"/>
      </w:tblGrid>
      <w:tr>
        <w:trPr>
          <w:cantSplit/>
          <w:tblHeader/>
        </w:trPr>
        <w:tc>
          <w:tcPr>
            <w:tcW w:type="dxa" w:w="170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Módulo</w:t>
            </w:r>
          </w:p>
        </w:tc>
        <w:tc>
          <w:tcPr>
            <w:tcW w:type="dxa" w:w="230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Filtros</w:t>
            </w:r>
          </w:p>
        </w:tc>
        <w:tc>
          <w:tcPr>
            <w:tcW w:type="dxa" w:w="150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Gráficos</w:t>
            </w:r>
          </w:p>
        </w:tc>
        <w:tc>
          <w:tcPr>
            <w:tcW w:type="dxa" w:w="100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Detalle por indicador</w:t>
            </w:r>
          </w:p>
        </w:tc>
        <w:tc>
          <w:tcPr>
            <w:tcW w:type="dxa" w:w="136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Exportación</w:t>
            </w:r>
          </w:p>
        </w:tc>
        <w:tc>
          <w:tcPr>
            <w:tcW w:type="dxa" w:w="150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Quién accede</w:t>
            </w:r>
          </w:p>
        </w:tc>
      </w:tr>
      <w:tr>
        <w:trPr>
          <w:cantSplit/>
        </w:trPr>
        <w:tc>
          <w:tcPr>
            <w:tcW w:type="dxa" w:w="17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Resumen General</w:t>
            </w:r>
          </w:p>
        </w:tc>
        <w:tc>
          <w:tcPr>
            <w:tcW w:type="dxa" w:w="23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PDI, vista, año</w:t>
            </w:r>
          </w:p>
        </w:tc>
        <w:tc>
          <w:tcPr>
            <w:tcW w:type="dxa" w:w="15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Mapa de alineación, tarjetas</w:t>
            </w:r>
          </w:p>
        </w:tc>
        <w:tc>
          <w:tcPr>
            <w:tcW w:type="dxa" w:w="10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Sí</w:t>
            </w:r>
          </w:p>
        </w:tc>
        <w:tc>
          <w:tcPr>
            <w:tcW w:type="dxa" w:w="13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PDF (Informe Ejecutivo)</w:t>
            </w:r>
          </w:p>
        </w:tc>
        <w:tc>
          <w:tcPr>
            <w:tcW w:type="dxa" w:w="15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Todos</w:t>
            </w:r>
          </w:p>
        </w:tc>
      </w:tr>
      <w:tr>
        <w:trPr>
          <w:cantSplit/>
        </w:trPr>
        <w:tc>
          <w:tcPr>
            <w:tcW w:type="dxa" w:w="17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CMI Estratégico</w:t>
            </w:r>
          </w:p>
        </w:tc>
        <w:tc>
          <w:tcPr>
            <w:tcW w:type="dxa" w:w="23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PDI, año, con reporte, línea, objetivo, estado</w:t>
            </w:r>
          </w:p>
        </w:tc>
        <w:tc>
          <w:tcPr>
            <w:tcW w:type="dxa" w:w="15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Barras, dona</w:t>
            </w:r>
          </w:p>
        </w:tc>
        <w:tc>
          <w:tcPr>
            <w:tcW w:type="dxa" w:w="10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Sí</w:t>
            </w:r>
          </w:p>
        </w:tc>
        <w:tc>
          <w:tcPr>
            <w:tcW w:type="dxa" w:w="13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CSV</w:t>
            </w:r>
          </w:p>
        </w:tc>
        <w:tc>
          <w:tcPr>
            <w:tcW w:type="dxa" w:w="15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Todos</w:t>
            </w:r>
          </w:p>
        </w:tc>
      </w:tr>
      <w:tr>
        <w:trPr>
          <w:cantSplit/>
        </w:trPr>
        <w:tc>
          <w:tcPr>
            <w:tcW w:type="dxa" w:w="17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CMI por Procesos</w:t>
            </w:r>
          </w:p>
        </w:tc>
        <w:tc>
          <w:tcPr>
            <w:tcW w:type="dxa" w:w="23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PDI, año, mes, unidad, proceso, subproceso, clasificación, frecuencia, línea</w:t>
            </w:r>
          </w:p>
        </w:tc>
        <w:tc>
          <w:tcPr>
            <w:tcW w:type="dxa" w:w="15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Resumen, variación</w:t>
            </w:r>
          </w:p>
        </w:tc>
        <w:tc>
          <w:tcPr>
            <w:tcW w:type="dxa" w:w="10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Sí</w:t>
            </w:r>
          </w:p>
        </w:tc>
        <w:tc>
          <w:tcPr>
            <w:tcW w:type="dxa" w:w="13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Excel</w:t>
            </w:r>
          </w:p>
        </w:tc>
        <w:tc>
          <w:tcPr>
            <w:tcW w:type="dxa" w:w="15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Todos</w:t>
            </w:r>
          </w:p>
        </w:tc>
      </w:tr>
      <w:tr>
        <w:trPr>
          <w:cantSplit/>
        </w:trPr>
        <w:tc>
          <w:tcPr>
            <w:tcW w:type="dxa" w:w="17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Informe por Procesos</w:t>
            </w:r>
          </w:p>
        </w:tc>
        <w:tc>
          <w:tcPr>
            <w:tcW w:type="dxa" w:w="23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Año, mes, unidad, proceso, subproceso, clasificación, frecuencia</w:t>
            </w:r>
          </w:p>
        </w:tc>
        <w:tc>
          <w:tcPr>
            <w:tcW w:type="dxa" w:w="15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Score, radar, comparativa</w:t>
            </w:r>
          </w:p>
        </w:tc>
        <w:tc>
          <w:tcPr>
            <w:tcW w:type="dxa" w:w="10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Sí</w:t>
            </w:r>
          </w:p>
        </w:tc>
        <w:tc>
          <w:tcPr>
            <w:tcW w:type="dxa" w:w="13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PDF</w:t>
            </w:r>
          </w:p>
        </w:tc>
        <w:tc>
          <w:tcPr>
            <w:tcW w:type="dxa" w:w="15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Todos</w:t>
            </w:r>
          </w:p>
        </w:tc>
      </w:tr>
      <w:tr>
        <w:trPr>
          <w:cantSplit/>
        </w:trPr>
        <w:tc>
          <w:tcPr>
            <w:tcW w:type="dxa" w:w="17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POLISIGS</w:t>
            </w:r>
          </w:p>
        </w:tc>
        <w:tc>
          <w:tcPr>
            <w:tcW w:type="dxa" w:w="23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Año, corte</w:t>
            </w:r>
          </w:p>
        </w:tc>
        <w:tc>
          <w:tcPr>
            <w:tcW w:type="dxa" w:w="15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Panel por objetivo</w:t>
            </w:r>
          </w:p>
        </w:tc>
        <w:tc>
          <w:tcPr>
            <w:tcW w:type="dxa" w:w="10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Sí</w:t>
            </w:r>
          </w:p>
        </w:tc>
        <w:tc>
          <w:tcPr>
            <w:tcW w:type="dxa" w:w="13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w:t>
            </w:r>
          </w:p>
        </w:tc>
        <w:tc>
          <w:tcPr>
            <w:tcW w:type="dxa" w:w="15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Todos</w:t>
            </w:r>
          </w:p>
        </w:tc>
      </w:tr>
      <w:tr>
        <w:trPr>
          <w:cantSplit/>
        </w:trPr>
        <w:tc>
          <w:tcPr>
            <w:tcW w:type="dxa" w:w="17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Plan de Mejoramiento</w:t>
            </w:r>
          </w:p>
        </w:tc>
        <w:tc>
          <w:tcPr>
            <w:tcW w:type="dxa" w:w="23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Factor, característica, tipo, texto</w:t>
            </w:r>
          </w:p>
        </w:tc>
        <w:tc>
          <w:tcPr>
            <w:tcW w:type="dxa" w:w="15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Barras de avance</w:t>
            </w:r>
          </w:p>
        </w:tc>
        <w:tc>
          <w:tcPr>
            <w:tcW w:type="dxa" w:w="10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Sí</w:t>
            </w:r>
          </w:p>
        </w:tc>
        <w:tc>
          <w:tcPr>
            <w:tcW w:type="dxa" w:w="13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Excel</w:t>
            </w:r>
          </w:p>
        </w:tc>
        <w:tc>
          <w:tcPr>
            <w:tcW w:type="dxa" w:w="15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Todos</w:t>
            </w:r>
          </w:p>
        </w:tc>
      </w:tr>
      <w:tr>
        <w:trPr>
          <w:cantSplit/>
        </w:trPr>
        <w:tc>
          <w:tcPr>
            <w:tcW w:type="dxa" w:w="17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Seguimiento Operativo</w:t>
            </w:r>
          </w:p>
        </w:tc>
        <w:tc>
          <w:tcPr>
            <w:tcW w:type="dxa" w:w="23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Año, mes, proceso, estado, texto</w:t>
            </w:r>
          </w:p>
        </w:tc>
        <w:tc>
          <w:tcPr>
            <w:tcW w:type="dxa" w:w="15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Dona, tendencia</w:t>
            </w:r>
          </w:p>
        </w:tc>
        <w:tc>
          <w:tcPr>
            <w:tcW w:type="dxa" w:w="10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Sí</w:t>
            </w:r>
          </w:p>
        </w:tc>
        <w:tc>
          <w:tcPr>
            <w:tcW w:type="dxa" w:w="13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Excel</w:t>
            </w:r>
          </w:p>
        </w:tc>
        <w:tc>
          <w:tcPr>
            <w:tcW w:type="dxa" w:w="15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Gestión</w:t>
            </w:r>
          </w:p>
        </w:tc>
      </w:tr>
      <w:tr>
        <w:trPr>
          <w:cantSplit/>
        </w:trPr>
        <w:tc>
          <w:tcPr>
            <w:tcW w:type="dxa" w:w="17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Gestión de OM</w:t>
            </w:r>
          </w:p>
        </w:tc>
        <w:tc>
          <w:tcPr>
            <w:tcW w:type="dxa" w:w="23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Año, mes, proceso, subproceso, texto, alerta</w:t>
            </w:r>
          </w:p>
        </w:tc>
        <w:tc>
          <w:tcPr>
            <w:tcW w:type="dxa" w:w="15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Barras por proceso</w:t>
            </w:r>
          </w:p>
        </w:tc>
        <w:tc>
          <w:tcPr>
            <w:tcW w:type="dxa" w:w="10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Sí</w:t>
            </w:r>
          </w:p>
        </w:tc>
        <w:tc>
          <w:tcPr>
            <w:tcW w:type="dxa" w:w="13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w:t>
            </w:r>
          </w:p>
        </w:tc>
        <w:tc>
          <w:tcPr>
            <w:tcW w:type="dxa" w:w="15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Gestión</w:t>
            </w:r>
          </w:p>
        </w:tc>
      </w:tr>
    </w:tbl>
    <w:p>
      <w:pPr>
        <w:pStyle w:val="Heading1"/>
        <w:pageBreakBefore/>
      </w:pPr>
      <w:r>
        <w:rPr>
          <w:rFonts w:ascii="Montserrat" w:cs="Montserrat" w:eastAsia="Montserrat" w:hAnsi="Montserrat"/>
        </w:rPr>
        <w:t xml:space="preserve">14. Beneficios para la institución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cantSplit/>
          <w:tblHeader/>
        </w:trPr>
        <w:tc>
          <w:tcPr>
            <w:tcW w:type="dxa" w:w="270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Beneficio</w:t>
            </w:r>
          </w:p>
        </w:tc>
        <w:tc>
          <w:tcPr>
            <w:tcW w:type="dxa" w:w="6660"/>
            <w:tcBorders>
              <w:top w:val="single" w:color="D0D7DE" w:sz="4"/>
              <w:left w:val="single" w:color="D0D7DE" w:sz="4"/>
              <w:bottom w:val="single" w:color="D0D7DE" w:sz="4"/>
              <w:right w:val="single" w:color="D0D7DE" w:sz="4"/>
            </w:tcBorders>
            <w:shd w:fill="263A58" w:color="auto" w:val="clear"/>
            <w:tcMar>
              <w:top w:type="dxa" w:w="70"/>
              <w:left w:type="dxa" w:w="110"/>
              <w:bottom w:type="dxa" w:w="70"/>
              <w:right w:type="dxa" w:w="110"/>
            </w:tcMar>
          </w:tcPr>
          <w:p>
            <w:r>
              <w:rPr>
                <w:rFonts w:ascii="Montserrat" w:cs="Montserrat" w:eastAsia="Montserrat" w:hAnsi="Montserrat"/>
                <w:b/>
                <w:bCs/>
                <w:color w:val="FFFFFF"/>
                <w:sz w:val="18"/>
                <w:szCs w:val="18"/>
              </w:rPr>
              <w:t xml:space="preserve">Qué cambia</w:t>
            </w:r>
          </w:p>
        </w:tc>
      </w:tr>
      <w:tr>
        <w:trPr>
          <w:cantSplit/>
        </w:trPr>
        <w:tc>
          <w:tcPr>
            <w:tcW w:type="dxa" w:w="27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Una sola fuente de verdad</w:t>
            </w:r>
          </w:p>
        </w:tc>
        <w:tc>
          <w:tcPr>
            <w:tcW w:type="dxa" w:w="66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El mismo cálculo y el mismo semáforo en todas las pantallas; se acaban las cifras distintas entre vistas y áreas.</w:t>
            </w:r>
          </w:p>
        </w:tc>
      </w:tr>
      <w:tr>
        <w:trPr>
          <w:cantSplit/>
        </w:trPr>
        <w:tc>
          <w:tcPr>
            <w:tcW w:type="dxa" w:w="27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Decisiones más rápidas</w:t>
            </w:r>
          </w:p>
        </w:tc>
        <w:tc>
          <w:tcPr>
            <w:tcW w:type="dxa" w:w="66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La dirección ve el estado del PDI, de los procesos y de la política POLISIGS sin solicitar reportes a Planeación.</w:t>
            </w:r>
          </w:p>
        </w:tc>
      </w:tr>
      <w:tr>
        <w:trPr>
          <w:cantSplit/>
        </w:trPr>
        <w:tc>
          <w:tcPr>
            <w:tcW w:type="dxa" w:w="27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Visión estratégica integrada</w:t>
            </w:r>
          </w:p>
        </w:tc>
        <w:tc>
          <w:tcPr>
            <w:tcW w:type="dxa" w:w="66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Del objetivo estratégico al indicador individual en pocos clics, con mapas de alineación y narrativa automática.</w:t>
            </w:r>
          </w:p>
        </w:tc>
      </w:tr>
      <w:tr>
        <w:trPr>
          <w:cantSplit/>
        </w:trPr>
        <w:tc>
          <w:tcPr>
            <w:tcW w:type="dxa" w:w="27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Informes en un clic</w:t>
            </w:r>
          </w:p>
        </w:tc>
        <w:tc>
          <w:tcPr>
            <w:tcW w:type="dxa" w:w="66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El Informe Ejecutivo y el Informe por Procesos se descargan en PDF con los filtros aplicados.</w:t>
            </w:r>
          </w:p>
        </w:tc>
      </w:tr>
      <w:tr>
        <w:trPr>
          <w:cantSplit/>
        </w:trPr>
        <w:tc>
          <w:tcPr>
            <w:tcW w:type="dxa" w:w="27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Calidad del dato medible</w:t>
            </w:r>
          </w:p>
        </w:tc>
        <w:tc>
          <w:tcPr>
            <w:tcW w:type="dxa" w:w="66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Score de calidad por cuatro dimensiones y seguimiento de quién reportó y quién no.</w:t>
            </w:r>
          </w:p>
        </w:tc>
      </w:tr>
      <w:tr>
        <w:trPr>
          <w:cantSplit/>
        </w:trPr>
        <w:tc>
          <w:tcPr>
            <w:tcW w:type="dxa" w:w="27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Mejora continua trazable</w:t>
            </w:r>
          </w:p>
        </w:tc>
        <w:tc>
          <w:tcPr>
            <w:tcW w:type="dxa" w:w="66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Cada indicador en riesgo se vincula con su oportunidad de mejora hasta el cierre, con auditoría.</w:t>
            </w:r>
          </w:p>
        </w:tc>
      </w:tr>
      <w:tr>
        <w:trPr>
          <w:cantSplit/>
        </w:trPr>
        <w:tc>
          <w:tcPr>
            <w:tcW w:type="dxa" w:w="27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Acreditación y mejoramiento</w:t>
            </w:r>
          </w:p>
        </w:tc>
        <w:tc>
          <w:tcPr>
            <w:tcW w:type="dxa" w:w="66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Plan de mejoramiento organizado por factores y características CNA, con metas a 2030 e histórico.</w:t>
            </w:r>
          </w:p>
        </w:tc>
      </w:tr>
      <w:tr>
        <w:trPr>
          <w:cantSplit/>
        </w:trPr>
        <w:tc>
          <w:tcPr>
            <w:tcW w:type="dxa" w:w="27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Gestión de varios ciclos PDI</w:t>
            </w:r>
          </w:p>
        </w:tc>
        <w:tc>
          <w:tcPr>
            <w:tcW w:type="dxa" w:w="66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Convivencia del PDI 2022-2026 y 2026-2030 sin mezclar datos y con enlaces directos a cada ciclo.</w:t>
            </w:r>
          </w:p>
        </w:tc>
      </w:tr>
      <w:tr>
        <w:trPr>
          <w:cantSplit/>
        </w:trPr>
        <w:tc>
          <w:tcPr>
            <w:tcW w:type="dxa" w:w="27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Datos actualizados sin intervención manual</w:t>
            </w:r>
          </w:p>
        </w:tc>
        <w:tc>
          <w:tcPr>
            <w:tcW w:type="dxa" w:w="66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El pipeline consolida los datos cada mes, deja evidencia de cada corrida y avisa si algo falla.</w:t>
            </w:r>
          </w:p>
        </w:tc>
      </w:tr>
      <w:tr>
        <w:trPr>
          <w:cantSplit/>
        </w:trPr>
        <w:tc>
          <w:tcPr>
            <w:tcW w:type="dxa" w:w="27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Reglas de negocio centralizadas</w:t>
            </w:r>
          </w:p>
        </w:tc>
        <w:tc>
          <w:tcPr>
            <w:tcW w:type="dxa" w:w="66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Un solo módulo de reglas y parámetros anuales configurables; el cambio de vigencia no requiere programar.</w:t>
            </w:r>
          </w:p>
        </w:tc>
      </w:tr>
      <w:tr>
        <w:trPr>
          <w:cantSplit/>
        </w:trPr>
        <w:tc>
          <w:tcPr>
            <w:tcW w:type="dxa" w:w="27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Auditoría de punta a punta</w:t>
            </w:r>
          </w:p>
        </w:tc>
        <w:tc>
          <w:tcPr>
            <w:tcW w:type="dxa" w:w="66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Contratos de datos, validación histórica, auditoría del Informe Ejecutivo y control de la narrativa con IA.</w:t>
            </w:r>
          </w:p>
        </w:tc>
      </w:tr>
      <w:tr>
        <w:trPr>
          <w:cantSplit/>
        </w:trPr>
        <w:tc>
          <w:tcPr>
            <w:tcW w:type="dxa" w:w="27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Catálogos gobernados</w:t>
            </w:r>
          </w:p>
        </w:tc>
        <w:tc>
          <w:tcPr>
            <w:tcW w:type="dxa" w:w="66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Catálogo maestro, ficha técnica y marcos PDI con listas de validación y reglas de asociación.</w:t>
            </w:r>
          </w:p>
        </w:tc>
      </w:tr>
      <w:tr>
        <w:trPr>
          <w:cantSplit/>
        </w:trPr>
        <w:tc>
          <w:tcPr>
            <w:tcW w:type="dxa" w:w="27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Seguridad y control</w:t>
            </w:r>
          </w:p>
        </w:tc>
        <w:tc>
          <w:tcPr>
            <w:tcW w:type="dxa" w:w="66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Inicio de sesión institucional, permisos por rol y registro de auditoría.</w:t>
            </w:r>
          </w:p>
        </w:tc>
      </w:tr>
      <w:tr>
        <w:trPr>
          <w:cantSplit/>
        </w:trPr>
        <w:tc>
          <w:tcPr>
            <w:tcW w:type="dxa" w:w="270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bCs/>
                <w:sz w:val="18"/>
                <w:szCs w:val="18"/>
              </w:rPr>
              <w:t xml:space="preserve">Disponibilidad</w:t>
            </w:r>
          </w:p>
        </w:tc>
        <w:tc>
          <w:tcPr>
            <w:tcW w:type="dxa" w:w="6660"/>
            <w:tcBorders>
              <w:top w:val="single" w:color="D0D7DE" w:sz="4"/>
              <w:left w:val="single" w:color="D0D7DE" w:sz="4"/>
              <w:bottom w:val="single" w:color="D0D7DE" w:sz="4"/>
              <w:right w:val="single" w:color="D0D7DE" w:sz="4"/>
            </w:tcBorders>
            <w:shd w:fill="EEF2F6" w:color="auto" w:val="clear"/>
            <w:tcMar>
              <w:top w:type="dxa" w:w="70"/>
              <w:left w:type="dxa" w:w="110"/>
              <w:bottom w:type="dxa" w:w="70"/>
              <w:right w:type="dxa" w:w="110"/>
            </w:tcMar>
          </w:tcPr>
          <w:p>
            <w:r>
              <w:rPr>
                <w:rFonts w:ascii="Montserrat" w:cs="Montserrat" w:eastAsia="Montserrat" w:hAnsi="Montserrat"/>
                <w:b w:val="false"/>
                <w:bCs w:val="false"/>
                <w:sz w:val="18"/>
                <w:szCs w:val="18"/>
              </w:rPr>
              <w:t xml:space="preserve">Aplicativo web en la nube, accesible desde cualquier dispositivo, con aviso de la fecha de actualización de los datos.</w:t>
            </w:r>
          </w:p>
        </w:tc>
      </w:tr>
      <w:tr>
        <w:trPr>
          <w:cantSplit/>
        </w:trPr>
        <w:tc>
          <w:tcPr>
            <w:tcW w:type="dxa" w:w="270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bCs/>
                <w:sz w:val="18"/>
                <w:szCs w:val="18"/>
              </w:rPr>
              <w:t xml:space="preserve">Base técnica sostenible</w:t>
            </w:r>
          </w:p>
        </w:tc>
        <w:tc>
          <w:tcPr>
            <w:tcW w:type="dxa" w:w="6660"/>
            <w:tcBorders>
              <w:top w:val="single" w:color="D0D7DE" w:sz="4"/>
              <w:left w:val="single" w:color="D0D7DE" w:sz="4"/>
              <w:bottom w:val="single" w:color="D0D7DE" w:sz="4"/>
              <w:right w:val="single" w:color="D0D7DE" w:sz="4"/>
            </w:tcBorders>
            <w:tcMar>
              <w:top w:type="dxa" w:w="70"/>
              <w:left w:type="dxa" w:w="110"/>
              <w:bottom w:type="dxa" w:w="70"/>
              <w:right w:type="dxa" w:w="110"/>
            </w:tcMar>
          </w:tcPr>
          <w:p>
            <w:r>
              <w:rPr>
                <w:rFonts w:ascii="Montserrat" w:cs="Montserrat" w:eastAsia="Montserrat" w:hAnsi="Montserrat"/>
                <w:b w:val="false"/>
                <w:bCs w:val="false"/>
                <w:sz w:val="18"/>
                <w:szCs w:val="18"/>
              </w:rPr>
              <w:t xml:space="preserve">Arquitectura modular, pruebas automatizadas, contenedores y documentación funcional, técnica y de operación completa.</w:t>
            </w:r>
          </w:p>
        </w:tc>
      </w:tr>
    </w:tbl>
    <w:p>
      <w:pPr>
        <w:spacing w:after="100"/>
      </w:pPr>
    </w:p>
    <w:p>
      <w:pPr>
        <w:spacing w:before="200"/>
      </w:pPr>
      <w:r>
        <w:rPr>
          <w:rFonts w:ascii="Montserrat" w:cs="Montserrat" w:eastAsia="Montserrat" w:hAnsi="Montserrat"/>
          <w:color w:val="777777"/>
          <w:sz w:val="16"/>
          <w:szCs w:val="16"/>
        </w:rPr>
        <w:t xml:space="preserve">Fuentes: aplicativo en producción (https://sgind.vercel.app), README y documentación del repositorio (docs/funcional, docs/tecnico, docs/migration, docs/architecture).</w:t>
      </w:r>
    </w:p>
    <w:sectPr>
      <w:footerReference w:type="default" r:id="rId6"/>
      <w:pgSz w:w="12240" w:h="15840"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color w:val="777777"/>
        <w:sz w:val="16"/>
        <w:szCs w:val="16"/>
      </w:rPr>
      <w:t xml:space="preserve">SGIND · Informe ejecutivo · Página </w:t>
    </w:r>
    <w:r>
      <w:rPr>
        <w:rFonts w:ascii="Montserrat" w:cs="Montserrat" w:eastAsia="Montserrat" w:hAnsi="Montserrat"/>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b/>
        <w:bCs/>
        <w:color w:val="22B2D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2B2DE" w:sz="8" w:space="4"/>
      </w:pBdr>
      <w:spacing w:after="160" w:before="120"/>
      <w:outlineLvl w:val="0"/>
    </w:pPr>
    <w:rPr>
      <w:rFonts w:ascii="Montserrat" w:cs="Montserrat" w:eastAsia="Montserrat" w:hAnsi="Montserrat"/>
      <w:b/>
      <w:bCs/>
      <w:color w:val="263A58"/>
      <w:sz w:val="32"/>
      <w:szCs w:val="32"/>
    </w:rPr>
  </w:style>
  <w:style w:type="paragraph" w:styleId="Heading2">
    <w:name w:val="Heading 2"/>
    <w:basedOn w:val="Normal"/>
    <w:next w:val="Normal"/>
    <w:qFormat/>
    <w:pPr>
      <w:spacing w:after="100" w:before="300"/>
      <w:outlineLvl w:val="1"/>
    </w:pPr>
    <w:rPr>
      <w:rFonts w:ascii="Montserrat" w:cs="Montserrat" w:eastAsia="Montserrat" w:hAnsi="Montserrat"/>
      <w:b/>
      <w:bCs/>
      <w:color w:val="22B2DE"/>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95c50fa6da22bf6d42866fcafb8c37c7567d998e.png"/><Relationship Id="rId9" Type="http://schemas.openxmlformats.org/officeDocument/2006/relationships/image" Target="media/b5f930ed9497b1477cabc2f2ce247f20b26beb73.jpg"/><Relationship Id="rId10" Type="http://schemas.openxmlformats.org/officeDocument/2006/relationships/image" Target="media/a63b9e082fae706108e07fdc05ddf2a51f512894.jpg"/><Relationship Id="rId11" Type="http://schemas.openxmlformats.org/officeDocument/2006/relationships/image" Target="media/5c5187ad46a2ee12c2e1491089de0146e7df1274.jpg"/><Relationship Id="rId12" Type="http://schemas.openxmlformats.org/officeDocument/2006/relationships/image" Target="media/da5dd6df39905aa70c4900108cfff6d4d31be96d.jpg"/><Relationship Id="rId13" Type="http://schemas.openxmlformats.org/officeDocument/2006/relationships/image" Target="media/576491dd39d4a4936b552a8aa909da36d44529fe.jpg"/><Relationship Id="rId14" Type="http://schemas.openxmlformats.org/officeDocument/2006/relationships/image" Target="media/0c4254ed632abb8e6312d22a0ecf23de730742cc.jpg"/><Relationship Id="rId15" Type="http://schemas.openxmlformats.org/officeDocument/2006/relationships/image" Target="media/32afd295a9ccc80da27c9861a8cadda8f78da6ab.jpg"/><Relationship Id="rId16" Type="http://schemas.openxmlformats.org/officeDocument/2006/relationships/image" Target="media/81979a0663bb3c57ad47ae3e9b4e468818be1554.jpg"/><Relationship Id="rId17" Type="http://schemas.openxmlformats.org/officeDocument/2006/relationships/image" Target="media/857c64e76ee716f98f9004b46f0b8d924fab0249.jpg"/><Relationship Id="rId18" Type="http://schemas.openxmlformats.org/officeDocument/2006/relationships/image" Target="media/3c232b0423c794ad8f54d832d04a725bcdd55bac.jpg"/><Relationship Id="rId19" Type="http://schemas.openxmlformats.org/officeDocument/2006/relationships/image" Target="media/527f96b4640c78328adce208abfdaef760241940.jpg"/><Relationship Id="rId20" Type="http://schemas.openxmlformats.org/officeDocument/2006/relationships/image" Target="media/c26a476fc344924fc650d9543bcce9e22f87e2d7.jpg"/><Relationship Id="rId21" Type="http://schemas.openxmlformats.org/officeDocument/2006/relationships/image" Target="media/7959f3d2b07874e4c78b8a40c835684997ad7db6.jpg"/><Relationship Id="rId22" Type="http://schemas.openxmlformats.org/officeDocument/2006/relationships/image" Target="media/1023d7c6f82ef1c43b85bcc85cf56c2946e5410a.jpg"/><Relationship Id="rId23" Type="http://schemas.openxmlformats.org/officeDocument/2006/relationships/image" Target="media/cf0e06aa0eea92b5c2d21c18fb5a6b5fe6d15eb1.jpg"/><Relationship Id="rId24" Type="http://schemas.openxmlformats.org/officeDocument/2006/relationships/image" Target="media/78920e065c37b0681ed9d6f54985d249a65c4fc6.jpg"/><Relationship Id="rId25" Type="http://schemas.openxmlformats.org/officeDocument/2006/relationships/image" Target="media/3242cd8b55407efdd6b034fe123ee78bb5050801.jpg"/><Relationship Id="rId26" Type="http://schemas.openxmlformats.org/officeDocument/2006/relationships/image" Target="media/f4ee85be5b9e05a31974f72ee9c4f29aa1b0c5c2.jpg"/><Relationship Id="rId27" Type="http://schemas.openxmlformats.org/officeDocument/2006/relationships/image" Target="media/c93957c35c81e154e6fbe68ff36edc47bfd5c4f5.jpg"/><Relationship Id="rId28" Type="http://schemas.openxmlformats.org/officeDocument/2006/relationships/image" Target="media/4cdfa2efdf7c867d63fc37c1c84218132726bef3.jpg"/><Relationship Id="rId29" Type="http://schemas.openxmlformats.org/officeDocument/2006/relationships/image" Target="media/04c1a36078284fa6b90f469b030f2e54042af631.jpg"/><Relationship Id="rId30" Type="http://schemas.openxmlformats.org/officeDocument/2006/relationships/image" Target="media/0333f01b2cea215312986ff286e7631358e0f0ee.jpg"/><Relationship Id="rId31" Type="http://schemas.openxmlformats.org/officeDocument/2006/relationships/image" Target="media/65bc7d63726843a7f94b0e324cc0924cd0439638.jpg"/><Relationship Id="rId32" Type="http://schemas.openxmlformats.org/officeDocument/2006/relationships/image" Target="media/62c6aec6bb6985188bdeb38bde1f381e8fc40d44.jpg"/><Relationship Id="rId33" Type="http://schemas.openxmlformats.org/officeDocument/2006/relationships/image" Target="media/c48bffc2d6c50844fe3dd22c0aabbb2b7193f09d.jp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2026-10-12T22:17:22.080Z</dcterms:created>
  <dcterms:modified xsi:type="dcterms:W3CDTF">2026-10-12T22:17:22.082Z</dcterms:modified>
</cp:coreProperties>
</file>

<file path=docProps/custom.xml><?xml version="1.0" encoding="utf-8"?>
<Properties xmlns="http://schemas.openxmlformats.org/officeDocument/2006/custom-properties" xmlns:vt="http://schemas.openxmlformats.org/officeDocument/2006/docPropsVTypes"/>
</file>