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0F2C59"/>
            <w:tcMar>
              <w:top w:w="240" w:type="dxa"/>
              <w:bottom w:w="240" w:type="dxa"/>
              <w:left w:w="240" w:type="dxa"/>
              <w:right w:w="240" w:type="dxa"/>
            </w:tcMar>
          </w:tcPr>
          <w:p>
            <w:pPr>
              <w:spacing w:after="40"/>
              <w:jc w:val="center"/>
            </w:pPr>
            <w:r>
              <w:rPr>
                <w:b/>
                <w:color w:val="C8DCFF"/>
                <w:sz w:val="19"/>
              </w:rPr>
              <w:t>POLITÉCNICO GRANCOLOMBIANO — INSTITUCIÓN UNIVERSITARIA</w:t>
              <w:br/>
            </w:r>
            <w:r>
              <w:rPr>
                <w:b/>
                <w:color w:val="FFFFFF"/>
                <w:sz w:val="40"/>
              </w:rPr>
              <w:t>PLAN DE DESARROLLO INSTITUCIONAL</w:t>
              <w:br/>
              <w:t>PDI 2022 – 2026</w:t>
            </w:r>
          </w:p>
          <w:p>
            <w:pPr>
              <w:spacing w:before="80" w:after="0"/>
              <w:jc w:val="center"/>
            </w:pPr>
            <w:r>
              <w:rPr>
                <w:i/>
                <w:color w:val="E6F0FF"/>
                <w:sz w:val="22"/>
              </w:rPr>
              <w:t>Documento Completo: 6 Líneas Estratégicas, 11 Objetivos Institucionales y Metas de Gestión</w:t>
            </w:r>
          </w:p>
        </w:tc>
      </w:tr>
    </w:tbl>
    <w:p/>
    <w:p>
      <w:pPr>
        <w:spacing w:after="240"/>
      </w:pPr>
      <w:r>
        <w:t>El Plan de Desarrollo Institucional (PDI 2022–2026) del Politécnico Grancolombiano marca la hoja de ruta estratégica para la consolidación del proyecto formativo e institucional. A continuación se detallan de forma integral las 6 líneas estratégicas, sus 11 objetivos institucionales y las metas trazadas hacia el 2026.</w:t>
      </w:r>
    </w:p>
    <w:p>
      <w:pPr>
        <w:spacing w:before="240" w:after="120"/>
      </w:pPr>
      <w:r>
        <w:rPr>
          <w:b/>
          <w:color w:val="0F2C59"/>
          <w:sz w:val="28"/>
        </w:rPr>
        <w:t>Resumen Estructural Completo del PDI 2022–2026</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F2C59"/>
            <w:tcMar>
              <w:top w:w="120" w:type="dxa"/>
              <w:bottom w:w="120" w:type="dxa"/>
              <w:left w:w="140" w:type="dxa"/>
              <w:right w:w="140" w:type="dxa"/>
            </w:tcMar>
          </w:tcPr>
          <w:p>
            <w:pPr>
              <w:jc w:val="left"/>
            </w:pPr>
            <w:r>
              <w:rPr>
                <w:b/>
                <w:color w:val="FFFFFF"/>
                <w:sz w:val="20"/>
              </w:rPr>
              <w:t>Línea Estratégica</w:t>
            </w:r>
          </w:p>
        </w:tc>
        <w:tc>
          <w:tcPr>
            <w:tcW w:type="dxa" w:w="3168"/>
            <w:shd w:fill="0F2C59"/>
            <w:tcMar>
              <w:top w:w="120" w:type="dxa"/>
              <w:bottom w:w="120" w:type="dxa"/>
              <w:left w:w="140" w:type="dxa"/>
              <w:right w:w="140" w:type="dxa"/>
            </w:tcMar>
          </w:tcPr>
          <w:p>
            <w:pPr>
              <w:jc w:val="left"/>
            </w:pPr>
            <w:r>
              <w:rPr>
                <w:b/>
                <w:color w:val="FFFFFF"/>
                <w:sz w:val="20"/>
              </w:rPr>
              <w:t>Objetivo Estratégico</w:t>
            </w:r>
          </w:p>
        </w:tc>
        <w:tc>
          <w:tcPr>
            <w:tcW w:type="dxa" w:w="3600"/>
            <w:shd w:fill="0F2C59"/>
            <w:tcMar>
              <w:top w:w="120" w:type="dxa"/>
              <w:bottom w:w="120" w:type="dxa"/>
              <w:left w:w="140" w:type="dxa"/>
              <w:right w:w="140" w:type="dxa"/>
            </w:tcMar>
          </w:tcPr>
          <w:p>
            <w:pPr>
              <w:jc w:val="left"/>
            </w:pPr>
            <w:r>
              <w:rPr>
                <w:b/>
                <w:color w:val="FFFFFF"/>
                <w:sz w:val="20"/>
              </w:rPr>
              <w:t>Meta Principal / Clave</w:t>
            </w:r>
          </w:p>
        </w:tc>
      </w:tr>
      <w:tr>
        <w:tc>
          <w:tcPr>
            <w:tcW w:type="dxa" w:w="2592"/>
            <w:shd w:fill="FDF2F8"/>
            <w:tcMar>
              <w:top w:w="90" w:type="dxa"/>
              <w:bottom w:w="90" w:type="dxa"/>
              <w:left w:w="120" w:type="dxa"/>
              <w:right w:w="120" w:type="dxa"/>
            </w:tcMar>
            <w:tcBorders>
              <w:top w:val="none"/>
              <w:bottom w:sz="4" w:val="single" w:color="D0D0D0" w:space="0"/>
              <w:left w:val="none"/>
              <w:right w:val="none"/>
            </w:tcBorders>
          </w:tcPr>
          <w:p>
            <w:r>
              <w:rPr>
                <w:b/>
                <w:sz w:val="19"/>
              </w:rPr>
              <w:t>1. Calidad</w:t>
            </w:r>
          </w:p>
        </w:tc>
        <w:tc>
          <w:tcPr>
            <w:tcW w:type="dxa" w:w="3168"/>
            <w:shd w:fill="FDF2F8"/>
            <w:tcMar>
              <w:top w:w="90" w:type="dxa"/>
              <w:bottom w:w="90" w:type="dxa"/>
              <w:left w:w="120" w:type="dxa"/>
              <w:right w:w="120" w:type="dxa"/>
            </w:tcMar>
            <w:tcBorders>
              <w:top w:val="none"/>
              <w:bottom w:sz="4" w:val="single" w:color="D0D0D0" w:space="0"/>
              <w:left w:val="none"/>
              <w:right w:val="none"/>
            </w:tcBorders>
          </w:tcPr>
          <w:p>
            <w:r>
              <w:rPr>
                <w:sz w:val="19"/>
              </w:rPr>
              <w:t>Objetivo 1:</w:t>
              <w:br/>
              <w:t>Asegurar la alta calidad a nivel institucional</w:t>
            </w:r>
          </w:p>
        </w:tc>
        <w:tc>
          <w:tcPr>
            <w:tcW w:type="dxa" w:w="3600"/>
            <w:shd w:fill="FDF2F8"/>
            <w:tcMar>
              <w:top w:w="90" w:type="dxa"/>
              <w:bottom w:w="90" w:type="dxa"/>
              <w:left w:w="120" w:type="dxa"/>
              <w:right w:w="120" w:type="dxa"/>
            </w:tcMar>
            <w:tcBorders>
              <w:top w:val="none"/>
              <w:bottom w:sz="4" w:val="single" w:color="D0D0D0" w:space="0"/>
              <w:left w:val="none"/>
              <w:right w:val="none"/>
            </w:tcBorders>
          </w:tcPr>
          <w:p>
            <w:r>
              <w:rPr>
                <w:sz w:val="19"/>
              </w:rPr>
              <w:t>Acreditación institucional en alta calidad Sede Bogotá al 2025.</w:t>
            </w:r>
          </w:p>
        </w:tc>
      </w:tr>
      <w:tr>
        <w:tc>
          <w:tcPr>
            <w:tcW w:type="dxa" w:w="2592"/>
            <w:shd w:fill="FDF2F8"/>
            <w:tcMar>
              <w:top w:w="90" w:type="dxa"/>
              <w:bottom w:w="90" w:type="dxa"/>
              <w:left w:w="120" w:type="dxa"/>
              <w:right w:w="120" w:type="dxa"/>
            </w:tcMar>
            <w:tcBorders>
              <w:top w:val="none"/>
              <w:bottom w:sz="4" w:val="single" w:color="D0D0D0" w:space="0"/>
              <w:left w:val="none"/>
              <w:right w:val="none"/>
            </w:tcBorders>
          </w:tcPr>
          <w:p>
            <w:r>
              <w:rPr>
                <w:b/>
                <w:sz w:val="19"/>
              </w:rPr>
              <w:t>1. Calidad</w:t>
            </w:r>
          </w:p>
        </w:tc>
        <w:tc>
          <w:tcPr>
            <w:tcW w:type="dxa" w:w="3168"/>
            <w:shd w:fill="FDF2F8"/>
            <w:tcMar>
              <w:top w:w="90" w:type="dxa"/>
              <w:bottom w:w="90" w:type="dxa"/>
              <w:left w:w="120" w:type="dxa"/>
              <w:right w:w="120" w:type="dxa"/>
            </w:tcMar>
            <w:tcBorders>
              <w:top w:val="none"/>
              <w:bottom w:sz="4" w:val="single" w:color="D0D0D0" w:space="0"/>
              <w:left w:val="none"/>
              <w:right w:val="none"/>
            </w:tcBorders>
          </w:tcPr>
          <w:p>
            <w:r>
              <w:rPr>
                <w:sz w:val="19"/>
              </w:rPr>
              <w:t>Objetivo 2:</w:t>
              <w:br/>
              <w:t>Fortalecer la oferta educativa e innovación curricular</w:t>
            </w:r>
          </w:p>
        </w:tc>
        <w:tc>
          <w:tcPr>
            <w:tcW w:type="dxa" w:w="3600"/>
            <w:shd w:fill="FDF2F8"/>
            <w:tcMar>
              <w:top w:w="90" w:type="dxa"/>
              <w:bottom w:w="90" w:type="dxa"/>
              <w:left w:w="120" w:type="dxa"/>
              <w:right w:w="120" w:type="dxa"/>
            </w:tcMar>
            <w:tcBorders>
              <w:top w:val="none"/>
              <w:bottom w:sz="4" w:val="single" w:color="D0D0D0" w:space="0"/>
              <w:left w:val="none"/>
              <w:right w:val="none"/>
            </w:tcBorders>
          </w:tcPr>
          <w:p>
            <w:r>
              <w:rPr>
                <w:sz w:val="19"/>
              </w:rPr>
              <w:t>Portafolio innovador, pertinente y excelencia pedagógica.</w:t>
            </w:r>
          </w:p>
        </w:tc>
      </w:tr>
      <w:tr>
        <w:tc>
          <w:tcPr>
            <w:tcW w:type="dxa" w:w="2592"/>
            <w:shd w:fill="FFF8E1"/>
            <w:tcMar>
              <w:top w:w="90" w:type="dxa"/>
              <w:bottom w:w="90" w:type="dxa"/>
              <w:left w:w="120" w:type="dxa"/>
              <w:right w:w="120" w:type="dxa"/>
            </w:tcMar>
            <w:tcBorders>
              <w:top w:val="none"/>
              <w:bottom w:sz="4" w:val="single" w:color="D0D0D0" w:space="0"/>
              <w:left w:val="none"/>
              <w:right w:val="none"/>
            </w:tcBorders>
          </w:tcPr>
          <w:p>
            <w:r>
              <w:rPr>
                <w:b/>
                <w:sz w:val="19"/>
              </w:rPr>
              <w:t>2. Expansión</w:t>
            </w:r>
          </w:p>
        </w:tc>
        <w:tc>
          <w:tcPr>
            <w:tcW w:type="dxa" w:w="3168"/>
            <w:shd w:fill="FFF8E1"/>
            <w:tcMar>
              <w:top w:w="90" w:type="dxa"/>
              <w:bottom w:w="90" w:type="dxa"/>
              <w:left w:w="120" w:type="dxa"/>
              <w:right w:w="120" w:type="dxa"/>
            </w:tcMar>
            <w:tcBorders>
              <w:top w:val="none"/>
              <w:bottom w:sz="4" w:val="single" w:color="D0D0D0" w:space="0"/>
              <w:left w:val="none"/>
              <w:right w:val="none"/>
            </w:tcBorders>
          </w:tcPr>
          <w:p>
            <w:r>
              <w:rPr>
                <w:sz w:val="19"/>
              </w:rPr>
              <w:t>Objetivo 3:</w:t>
              <w:br/>
              <w:t>Crecer con compromiso social</w:t>
            </w:r>
          </w:p>
        </w:tc>
        <w:tc>
          <w:tcPr>
            <w:tcW w:type="dxa" w:w="3600"/>
            <w:shd w:fill="FFF8E1"/>
            <w:tcMar>
              <w:top w:w="90" w:type="dxa"/>
              <w:bottom w:w="90" w:type="dxa"/>
              <w:left w:w="120" w:type="dxa"/>
              <w:right w:w="120" w:type="dxa"/>
            </w:tcMar>
            <w:tcBorders>
              <w:top w:val="none"/>
              <w:bottom w:sz="4" w:val="single" w:color="D0D0D0" w:space="0"/>
              <w:left w:val="none"/>
              <w:right w:val="none"/>
            </w:tcBorders>
          </w:tcPr>
          <w:p>
            <w:r>
              <w:rPr>
                <w:sz w:val="19"/>
              </w:rPr>
              <w:t>Superar 70.000 estudiantes al 2026 e integración Universidad-Empresa-Estado.</w:t>
            </w:r>
          </w:p>
        </w:tc>
      </w:tr>
      <w:tr>
        <w:tc>
          <w:tcPr>
            <w:tcW w:type="dxa" w:w="2592"/>
            <w:shd w:fill="EBF5FB"/>
            <w:tcMar>
              <w:top w:w="90" w:type="dxa"/>
              <w:bottom w:w="90" w:type="dxa"/>
              <w:left w:w="120" w:type="dxa"/>
              <w:right w:w="120" w:type="dxa"/>
            </w:tcMar>
            <w:tcBorders>
              <w:top w:val="none"/>
              <w:bottom w:sz="4" w:val="single" w:color="D0D0D0" w:space="0"/>
              <w:left w:val="none"/>
              <w:right w:val="none"/>
            </w:tcBorders>
          </w:tcPr>
          <w:p>
            <w:r>
              <w:rPr>
                <w:b/>
                <w:sz w:val="19"/>
              </w:rPr>
              <w:t>3. Educación para Toda la Vida</w:t>
            </w:r>
          </w:p>
        </w:tc>
        <w:tc>
          <w:tcPr>
            <w:tcW w:type="dxa" w:w="3168"/>
            <w:shd w:fill="EBF5FB"/>
            <w:tcMar>
              <w:top w:w="90" w:type="dxa"/>
              <w:bottom w:w="90" w:type="dxa"/>
              <w:left w:w="120" w:type="dxa"/>
              <w:right w:w="120" w:type="dxa"/>
            </w:tcMar>
            <w:tcBorders>
              <w:top w:val="none"/>
              <w:bottom w:sz="4" w:val="single" w:color="D0D0D0" w:space="0"/>
              <w:left w:val="none"/>
              <w:right w:val="none"/>
            </w:tcBorders>
          </w:tcPr>
          <w:p>
            <w:r>
              <w:rPr>
                <w:sz w:val="19"/>
              </w:rPr>
              <w:t>Objetivo 4:</w:t>
              <w:br/>
              <w:t>Incursionar en Educación Media y ETDH</w:t>
            </w:r>
          </w:p>
        </w:tc>
        <w:tc>
          <w:tcPr>
            <w:tcW w:type="dxa" w:w="3600"/>
            <w:shd w:fill="EBF5FB"/>
            <w:tcMar>
              <w:top w:w="90" w:type="dxa"/>
              <w:bottom w:w="90" w:type="dxa"/>
              <w:left w:w="120" w:type="dxa"/>
              <w:right w:w="120" w:type="dxa"/>
            </w:tcMar>
            <w:tcBorders>
              <w:top w:val="none"/>
              <w:bottom w:sz="4" w:val="single" w:color="D0D0D0" w:space="0"/>
              <w:left w:val="none"/>
              <w:right w:val="none"/>
            </w:tcBorders>
          </w:tcPr>
          <w:p>
            <w:r>
              <w:rPr>
                <w:sz w:val="19"/>
              </w:rPr>
              <w:t>Instituto ETDH (10 programas, 750 est/prog) y Colegio Virtual (grados 10º y 11º).</w:t>
            </w:r>
          </w:p>
        </w:tc>
      </w:tr>
      <w:tr>
        <w:tc>
          <w:tcPr>
            <w:tcW w:type="dxa" w:w="2592"/>
            <w:shd w:fill="EBF5FB"/>
            <w:tcMar>
              <w:top w:w="90" w:type="dxa"/>
              <w:bottom w:w="90" w:type="dxa"/>
              <w:left w:w="120" w:type="dxa"/>
              <w:right w:w="120" w:type="dxa"/>
            </w:tcMar>
            <w:tcBorders>
              <w:top w:val="none"/>
              <w:bottom w:sz="4" w:val="single" w:color="D0D0D0" w:space="0"/>
              <w:left w:val="none"/>
              <w:right w:val="none"/>
            </w:tcBorders>
          </w:tcPr>
          <w:p>
            <w:r>
              <w:rPr>
                <w:b/>
                <w:sz w:val="19"/>
              </w:rPr>
              <w:t>3. Educación para Toda la Vida</w:t>
            </w:r>
          </w:p>
        </w:tc>
        <w:tc>
          <w:tcPr>
            <w:tcW w:type="dxa" w:w="3168"/>
            <w:shd w:fill="EBF5FB"/>
            <w:tcMar>
              <w:top w:w="90" w:type="dxa"/>
              <w:bottom w:w="90" w:type="dxa"/>
              <w:left w:w="120" w:type="dxa"/>
              <w:right w:w="120" w:type="dxa"/>
            </w:tcMar>
            <w:tcBorders>
              <w:top w:val="none"/>
              <w:bottom w:sz="4" w:val="single" w:color="D0D0D0" w:space="0"/>
              <w:left w:val="none"/>
              <w:right w:val="none"/>
            </w:tcBorders>
          </w:tcPr>
          <w:p>
            <w:r>
              <w:rPr>
                <w:sz w:val="19"/>
              </w:rPr>
              <w:t>Objetivo 5:</w:t>
              <w:br/>
              <w:t>Impulsar y potenciar la Educación Continua</w:t>
            </w:r>
          </w:p>
        </w:tc>
        <w:tc>
          <w:tcPr>
            <w:tcW w:type="dxa" w:w="3600"/>
            <w:shd w:fill="EBF5FB"/>
            <w:tcMar>
              <w:top w:w="90" w:type="dxa"/>
              <w:bottom w:w="90" w:type="dxa"/>
              <w:left w:w="120" w:type="dxa"/>
              <w:right w:w="120" w:type="dxa"/>
            </w:tcMar>
            <w:tcBorders>
              <w:top w:val="none"/>
              <w:bottom w:sz="4" w:val="single" w:color="D0D0D0" w:space="0"/>
              <w:left w:val="none"/>
              <w:right w:val="none"/>
            </w:tcBorders>
          </w:tcPr>
          <w:p>
            <w:r>
              <w:rPr>
                <w:sz w:val="19"/>
              </w:rPr>
              <w:t>Ofrecer 250 Microcertificaciones y aumentar &gt;50% ingresos B2B/B2G.</w:t>
            </w:r>
          </w:p>
        </w:tc>
      </w:tr>
      <w:tr>
        <w:tc>
          <w:tcPr>
            <w:tcW w:type="dxa" w:w="2592"/>
            <w:shd w:fill="E0F7FA"/>
            <w:tcMar>
              <w:top w:w="90" w:type="dxa"/>
              <w:bottom w:w="90" w:type="dxa"/>
              <w:left w:w="120" w:type="dxa"/>
              <w:right w:w="120" w:type="dxa"/>
            </w:tcMar>
            <w:tcBorders>
              <w:top w:val="none"/>
              <w:bottom w:sz="4" w:val="single" w:color="D0D0D0" w:space="0"/>
              <w:left w:val="none"/>
              <w:right w:val="none"/>
            </w:tcBorders>
          </w:tcPr>
          <w:p>
            <w:r>
              <w:rPr>
                <w:b/>
                <w:sz w:val="19"/>
              </w:rPr>
              <w:t>4. Experiencia</w:t>
            </w:r>
          </w:p>
        </w:tc>
        <w:tc>
          <w:tcPr>
            <w:tcW w:type="dxa" w:w="3168"/>
            <w:shd w:fill="E0F7FA"/>
            <w:tcMar>
              <w:top w:w="90" w:type="dxa"/>
              <w:bottom w:w="90" w:type="dxa"/>
              <w:left w:w="120" w:type="dxa"/>
              <w:right w:w="120" w:type="dxa"/>
            </w:tcMar>
            <w:tcBorders>
              <w:top w:val="none"/>
              <w:bottom w:sz="4" w:val="single" w:color="D0D0D0" w:space="0"/>
              <w:left w:val="none"/>
              <w:right w:val="none"/>
            </w:tcBorders>
          </w:tcPr>
          <w:p>
            <w:r>
              <w:rPr>
                <w:sz w:val="19"/>
              </w:rPr>
              <w:t>Objetivo 6:</w:t>
              <w:br/>
              <w:t>Garantizar experiencia significativa y de valor agregado</w:t>
            </w:r>
          </w:p>
        </w:tc>
        <w:tc>
          <w:tcPr>
            <w:tcW w:type="dxa" w:w="3600"/>
            <w:shd w:fill="E0F7FA"/>
            <w:tcMar>
              <w:top w:w="90" w:type="dxa"/>
              <w:bottom w:w="90" w:type="dxa"/>
              <w:left w:w="120" w:type="dxa"/>
              <w:right w:w="120" w:type="dxa"/>
            </w:tcMar>
            <w:tcBorders>
              <w:top w:val="none"/>
              <w:bottom w:sz="4" w:val="single" w:color="D0D0D0" w:space="0"/>
              <w:left w:val="none"/>
              <w:right w:val="none"/>
            </w:tcBorders>
          </w:tcPr>
          <w:p>
            <w:r>
              <w:rPr>
                <w:sz w:val="19"/>
              </w:rPr>
              <w:t>Satisfacción &gt;85%, Permanencia &gt;90% e innovación en Bienestar.</w:t>
            </w:r>
          </w:p>
        </w:tc>
      </w:tr>
      <w:tr>
        <w:tc>
          <w:tcPr>
            <w:tcW w:type="dxa" w:w="2592"/>
            <w:shd w:fill="E6F7F5"/>
            <w:tcMar>
              <w:top w:w="90" w:type="dxa"/>
              <w:bottom w:w="90" w:type="dxa"/>
              <w:left w:w="120" w:type="dxa"/>
              <w:right w:w="120" w:type="dxa"/>
            </w:tcMar>
            <w:tcBorders>
              <w:top w:val="none"/>
              <w:bottom w:sz="4" w:val="single" w:color="D0D0D0" w:space="0"/>
              <w:left w:val="none"/>
              <w:right w:val="none"/>
            </w:tcBorders>
          </w:tcPr>
          <w:p>
            <w:r>
              <w:rPr>
                <w:b/>
                <w:sz w:val="19"/>
              </w:rPr>
              <w:t>5. Transformación Organizacional</w:t>
            </w:r>
          </w:p>
        </w:tc>
        <w:tc>
          <w:tcPr>
            <w:tcW w:type="dxa" w:w="3168"/>
            <w:shd w:fill="E6F7F5"/>
            <w:tcMar>
              <w:top w:w="90" w:type="dxa"/>
              <w:bottom w:w="90" w:type="dxa"/>
              <w:left w:w="120" w:type="dxa"/>
              <w:right w:w="120" w:type="dxa"/>
            </w:tcMar>
            <w:tcBorders>
              <w:top w:val="none"/>
              <w:bottom w:sz="4" w:val="single" w:color="D0D0D0" w:space="0"/>
              <w:left w:val="none"/>
              <w:right w:val="none"/>
            </w:tcBorders>
          </w:tcPr>
          <w:p>
            <w:r>
              <w:rPr>
                <w:sz w:val="19"/>
              </w:rPr>
              <w:t>Objetivo 7:</w:t>
              <w:br/>
              <w:t>Contar con un equipo humano feliz y apasionado</w:t>
            </w:r>
          </w:p>
        </w:tc>
        <w:tc>
          <w:tcPr>
            <w:tcW w:type="dxa" w:w="3600"/>
            <w:shd w:fill="E6F7F5"/>
            <w:tcMar>
              <w:top w:w="90" w:type="dxa"/>
              <w:bottom w:w="90" w:type="dxa"/>
              <w:left w:w="120" w:type="dxa"/>
              <w:right w:w="120" w:type="dxa"/>
            </w:tcMar>
            <w:tcBorders>
              <w:top w:val="none"/>
              <w:bottom w:sz="4" w:val="single" w:color="D0D0D0" w:space="0"/>
              <w:left w:val="none"/>
              <w:right w:val="none"/>
            </w:tcBorders>
          </w:tcPr>
          <w:p>
            <w:r>
              <w:rPr>
                <w:sz w:val="19"/>
              </w:rPr>
              <w:t>Estar en el ranking de las 100 mejores empresas para trabajar en Colombia.</w:t>
            </w:r>
          </w:p>
        </w:tc>
      </w:tr>
      <w:tr>
        <w:tc>
          <w:tcPr>
            <w:tcW w:type="dxa" w:w="2592"/>
            <w:shd w:fill="E6F7F5"/>
            <w:tcMar>
              <w:top w:w="90" w:type="dxa"/>
              <w:bottom w:w="90" w:type="dxa"/>
              <w:left w:w="120" w:type="dxa"/>
              <w:right w:w="120" w:type="dxa"/>
            </w:tcMar>
            <w:tcBorders>
              <w:top w:val="none"/>
              <w:bottom w:sz="4" w:val="single" w:color="D0D0D0" w:space="0"/>
              <w:left w:val="none"/>
              <w:right w:val="none"/>
            </w:tcBorders>
          </w:tcPr>
          <w:p>
            <w:r>
              <w:rPr>
                <w:b/>
                <w:sz w:val="19"/>
              </w:rPr>
              <w:t>5. Transformación Organizacional</w:t>
            </w:r>
          </w:p>
        </w:tc>
        <w:tc>
          <w:tcPr>
            <w:tcW w:type="dxa" w:w="3168"/>
            <w:shd w:fill="E6F7F5"/>
            <w:tcMar>
              <w:top w:w="90" w:type="dxa"/>
              <w:bottom w:w="90" w:type="dxa"/>
              <w:left w:w="120" w:type="dxa"/>
              <w:right w:w="120" w:type="dxa"/>
            </w:tcMar>
            <w:tcBorders>
              <w:top w:val="none"/>
              <w:bottom w:sz="4" w:val="single" w:color="D0D0D0" w:space="0"/>
              <w:left w:val="none"/>
              <w:right w:val="none"/>
            </w:tcBorders>
          </w:tcPr>
          <w:p>
            <w:r>
              <w:rPr>
                <w:sz w:val="19"/>
              </w:rPr>
              <w:t>Objetivo 8:</w:t>
              <w:br/>
              <w:t>Asegurar una arquitectura tecnológica centrada en la experiencia</w:t>
            </w:r>
          </w:p>
        </w:tc>
        <w:tc>
          <w:tcPr>
            <w:tcW w:type="dxa" w:w="3600"/>
            <w:shd w:fill="E6F7F5"/>
            <w:tcMar>
              <w:top w:w="90" w:type="dxa"/>
              <w:bottom w:w="90" w:type="dxa"/>
              <w:left w:w="120" w:type="dxa"/>
              <w:right w:w="120" w:type="dxa"/>
            </w:tcMar>
            <w:tcBorders>
              <w:top w:val="none"/>
              <w:bottom w:sz="4" w:val="single" w:color="D0D0D0" w:space="0"/>
              <w:left w:val="none"/>
              <w:right w:val="none"/>
            </w:tcBorders>
          </w:tcPr>
          <w:p>
            <w:r>
              <w:rPr>
                <w:sz w:val="19"/>
              </w:rPr>
              <w:t>Arquitectura IT 100% implementada (99,7% disponibilidad) y ecosistema digital.</w:t>
            </w:r>
          </w:p>
        </w:tc>
      </w:tr>
      <w:tr>
        <w:tc>
          <w:tcPr>
            <w:tcW w:type="dxa" w:w="2592"/>
            <w:shd w:fill="E6F7F5"/>
            <w:tcMar>
              <w:top w:w="90" w:type="dxa"/>
              <w:bottom w:w="90" w:type="dxa"/>
              <w:left w:w="120" w:type="dxa"/>
              <w:right w:w="120" w:type="dxa"/>
            </w:tcMar>
            <w:tcBorders>
              <w:top w:val="none"/>
              <w:bottom w:sz="4" w:val="single" w:color="D0D0D0" w:space="0"/>
              <w:left w:val="none"/>
              <w:right w:val="none"/>
            </w:tcBorders>
          </w:tcPr>
          <w:p>
            <w:r>
              <w:rPr>
                <w:b/>
                <w:sz w:val="19"/>
              </w:rPr>
              <w:t>5. Transformación Organizacional</w:t>
            </w:r>
          </w:p>
        </w:tc>
        <w:tc>
          <w:tcPr>
            <w:tcW w:type="dxa" w:w="3168"/>
            <w:shd w:fill="E6F7F5"/>
            <w:tcMar>
              <w:top w:w="90" w:type="dxa"/>
              <w:bottom w:w="90" w:type="dxa"/>
              <w:left w:w="120" w:type="dxa"/>
              <w:right w:w="120" w:type="dxa"/>
            </w:tcMar>
            <w:tcBorders>
              <w:top w:val="none"/>
              <w:bottom w:sz="4" w:val="single" w:color="D0D0D0" w:space="0"/>
              <w:left w:val="none"/>
              <w:right w:val="none"/>
            </w:tcBorders>
          </w:tcPr>
          <w:p>
            <w:r>
              <w:rPr>
                <w:sz w:val="19"/>
              </w:rPr>
              <w:t>Objetivo 9:</w:t>
              <w:br/>
              <w:t>Fortalecer gestión por procesos y toma de decisiones basada en datos</w:t>
            </w:r>
          </w:p>
        </w:tc>
        <w:tc>
          <w:tcPr>
            <w:tcW w:type="dxa" w:w="3600"/>
            <w:shd w:fill="E6F7F5"/>
            <w:tcMar>
              <w:top w:w="90" w:type="dxa"/>
              <w:bottom w:w="90" w:type="dxa"/>
              <w:left w:w="120" w:type="dxa"/>
              <w:right w:w="120" w:type="dxa"/>
            </w:tcMar>
            <w:tcBorders>
              <w:top w:val="none"/>
              <w:bottom w:sz="4" w:val="single" w:color="D0D0D0" w:space="0"/>
              <w:left w:val="none"/>
              <w:right w:val="none"/>
            </w:tcBorders>
          </w:tcPr>
          <w:p>
            <w:r>
              <w:rPr>
                <w:sz w:val="19"/>
              </w:rPr>
              <w:t>Ampliar POLISIGS, gobierno/calidad de datos e IA para toma de decisiones.</w:t>
            </w:r>
          </w:p>
        </w:tc>
      </w:tr>
      <w:tr>
        <w:tc>
          <w:tcPr>
            <w:tcW w:type="dxa" w:w="2592"/>
            <w:shd w:fill="F1F8E9"/>
            <w:tcMar>
              <w:top w:w="90" w:type="dxa"/>
              <w:bottom w:w="90" w:type="dxa"/>
              <w:left w:w="120" w:type="dxa"/>
              <w:right w:w="120" w:type="dxa"/>
            </w:tcMar>
            <w:tcBorders>
              <w:top w:val="none"/>
              <w:bottom w:sz="4" w:val="single" w:color="D0D0D0" w:space="0"/>
              <w:left w:val="none"/>
              <w:right w:val="none"/>
            </w:tcBorders>
          </w:tcPr>
          <w:p>
            <w:r>
              <w:rPr>
                <w:b/>
                <w:sz w:val="19"/>
              </w:rPr>
              <w:t>6. Sostenibilidad</w:t>
            </w:r>
          </w:p>
        </w:tc>
        <w:tc>
          <w:tcPr>
            <w:tcW w:type="dxa" w:w="3168"/>
            <w:shd w:fill="F1F8E9"/>
            <w:tcMar>
              <w:top w:w="90" w:type="dxa"/>
              <w:bottom w:w="90" w:type="dxa"/>
              <w:left w:w="120" w:type="dxa"/>
              <w:right w:w="120" w:type="dxa"/>
            </w:tcMar>
            <w:tcBorders>
              <w:top w:val="none"/>
              <w:bottom w:sz="4" w:val="single" w:color="D0D0D0" w:space="0"/>
              <w:left w:val="none"/>
              <w:right w:val="none"/>
            </w:tcBorders>
          </w:tcPr>
          <w:p>
            <w:r>
              <w:rPr>
                <w:sz w:val="19"/>
              </w:rPr>
              <w:t>Objetivo 10:</w:t>
              <w:br/>
              <w:t>Promover cultura de optimización de recursos financieros</w:t>
            </w:r>
          </w:p>
        </w:tc>
        <w:tc>
          <w:tcPr>
            <w:tcW w:type="dxa" w:w="3600"/>
            <w:shd w:fill="F1F8E9"/>
            <w:tcMar>
              <w:top w:w="90" w:type="dxa"/>
              <w:bottom w:w="90" w:type="dxa"/>
              <w:left w:w="120" w:type="dxa"/>
              <w:right w:w="120" w:type="dxa"/>
            </w:tcMar>
            <w:tcBorders>
              <w:top w:val="none"/>
              <w:bottom w:sz="4" w:val="single" w:color="D0D0D0" w:space="0"/>
              <w:left w:val="none"/>
              <w:right w:val="none"/>
            </w:tcBorders>
          </w:tcPr>
          <w:p>
            <w:r>
              <w:rPr>
                <w:sz w:val="19"/>
              </w:rPr>
              <w:t>Incrementar ingresos y presupuesto de inversión en proyectos institucionales.</w:t>
            </w:r>
          </w:p>
        </w:tc>
      </w:tr>
      <w:tr>
        <w:tc>
          <w:tcPr>
            <w:tcW w:type="dxa" w:w="2592"/>
            <w:shd w:fill="F1F8E9"/>
            <w:tcMar>
              <w:top w:w="90" w:type="dxa"/>
              <w:bottom w:w="90" w:type="dxa"/>
              <w:left w:w="120" w:type="dxa"/>
              <w:right w:w="120" w:type="dxa"/>
            </w:tcMar>
            <w:tcBorders>
              <w:top w:val="none"/>
              <w:bottom w:sz="4" w:val="single" w:color="D0D0D0" w:space="0"/>
              <w:left w:val="none"/>
              <w:right w:val="none"/>
            </w:tcBorders>
          </w:tcPr>
          <w:p>
            <w:r>
              <w:rPr>
                <w:b/>
                <w:sz w:val="19"/>
              </w:rPr>
              <w:t>6. Sostenibilidad</w:t>
            </w:r>
          </w:p>
        </w:tc>
        <w:tc>
          <w:tcPr>
            <w:tcW w:type="dxa" w:w="3168"/>
            <w:shd w:fill="F1F8E9"/>
            <w:tcMar>
              <w:top w:w="90" w:type="dxa"/>
              <w:bottom w:w="90" w:type="dxa"/>
              <w:left w:w="120" w:type="dxa"/>
              <w:right w:w="120" w:type="dxa"/>
            </w:tcMar>
            <w:tcBorders>
              <w:top w:val="none"/>
              <w:bottom w:sz="4" w:val="single" w:color="D0D0D0" w:space="0"/>
              <w:left w:val="none"/>
              <w:right w:val="none"/>
            </w:tcBorders>
          </w:tcPr>
          <w:p>
            <w:r>
              <w:rPr>
                <w:sz w:val="19"/>
              </w:rPr>
              <w:t>Objetivo 11:</w:t>
              <w:br/>
              <w:t>Contribuir a la inclusión, proyección social y cuidado ambiental</w:t>
            </w:r>
          </w:p>
        </w:tc>
        <w:tc>
          <w:tcPr>
            <w:tcW w:type="dxa" w:w="3600"/>
            <w:shd w:fill="F1F8E9"/>
            <w:tcMar>
              <w:top w:w="90" w:type="dxa"/>
              <w:bottom w:w="90" w:type="dxa"/>
              <w:left w:w="120" w:type="dxa"/>
              <w:right w:w="120" w:type="dxa"/>
            </w:tcMar>
            <w:tcBorders>
              <w:top w:val="none"/>
              <w:bottom w:sz="4" w:val="single" w:color="D0D0D0" w:space="0"/>
              <w:left w:val="none"/>
              <w:right w:val="none"/>
            </w:tcBorders>
          </w:tcPr>
          <w:p>
            <w:r>
              <w:rPr>
                <w:sz w:val="19"/>
              </w:rPr>
              <w:t>Mejorar empleabilidad, graduados, inclusión, hasta 5% becados y cultura ambiental.</w:t>
            </w:r>
          </w:p>
        </w:tc>
      </w:tr>
    </w:tbl>
    <w:p/>
    <w:p>
      <w:pPr>
        <w:spacing w:before="360" w:after="160"/>
      </w:pPr>
      <w:r>
        <w:rPr>
          <w:b/>
          <w:color w:val="D81B60"/>
          <w:sz w:val="32"/>
        </w:rPr>
        <w:t>1. Línea Estratégica: CALIDAD</w:t>
      </w:r>
    </w:p>
    <w:tbl>
      <w:tblPr>
        <w:tblW w:type="auto" w:w="0"/>
        <w:jc w:val="center"/>
        <w:tblLayout w:type="fixed"/>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top w:val="none"/>
              <w:bottom w:val="none"/>
              <w:left w:sz="24" w:val="single" w:color="D81B60" w:space="0"/>
              <w:right w:val="none"/>
            </w:tcBorders>
          </w:tcPr>
          <w:p>
            <w:pPr>
              <w:spacing w:before="40" w:after="80"/>
            </w:pPr>
            <w:r>
              <w:rPr>
                <w:b/>
                <w:color w:val="D81B60"/>
                <w:sz w:val="21"/>
              </w:rPr>
              <w:t>¿QUÉ SIGNIFICA CALIDAD PARA EL POLI?</w:t>
              <w:br/>
            </w:r>
            <w:r>
              <w:rPr>
                <w:i/>
                <w:color w:val="3C3C3C"/>
                <w:sz w:val="21"/>
              </w:rPr>
              <w:t>“Calidad para el POLI, significa el profundo compromiso con la Acreditación Institucional, a partir del mejoramiento de las funciones sustantivas de docencia, investigación, proyección social e internacionalización y el fortalecimiento de una oferta educativa innovadora y acorde con las necesidades de las empresas y la sociedad”</w:t>
            </w:r>
          </w:p>
        </w:tc>
      </w:tr>
    </w:tbl>
    <w:p/>
    <w:p>
      <w:pPr>
        <w:spacing w:before="240" w:after="80"/>
      </w:pPr>
      <w:r>
        <w:rPr>
          <w:b/>
          <w:color w:val="787878"/>
          <w:sz w:val="20"/>
        </w:rPr>
        <w:t xml:space="preserve">5.3.1.  </w:t>
      </w:r>
      <w:r>
        <w:rPr>
          <w:b/>
          <w:color w:val="D81B60"/>
          <w:sz w:val="26"/>
        </w:rPr>
        <w:t>OBJETIVO 1. ASEGURAR LA ALTA CALIDAD A NIVEL INSTITUCIONAL</w:t>
      </w:r>
    </w:p>
    <w:p>
      <w:r>
        <w:rPr>
          <w:b/>
        </w:rPr>
        <w:t>Descripción del Objetivo:</w:t>
        <w:br/>
      </w:r>
      <w:r>
        <w:t>El aseguramiento de la calidad a nivel institucional, apalancado en el Sistema Integrado de Aseguramiento y Gestión para la Sostenibilidad (POLISIGS), contempla el fortalecimiento de programas académicos y procesos institucionales que permitan obtener la acreditación institucional para la Sede de Bogotá en 2025. Asimismo, aspira que para el cierre del ciclo de planeación 2022-2026, mejore su ubicación entre las Instituciones Universitarias en el desempeño en las competencias genéricas de las pruebas Saber.</w:t>
      </w:r>
    </w:p>
    <w:p>
      <w:pPr>
        <w:spacing w:after="80"/>
      </w:pPr>
      <w:r>
        <w:rPr>
          <w:b/>
        </w:rPr>
        <w:t>Metas Estratégicas:</w:t>
      </w:r>
    </w:p>
    <w:p>
      <w:pPr>
        <w:pStyle w:val="ListBullet"/>
        <w:spacing w:after="60"/>
      </w:pPr>
      <w:r>
        <w:t>Al 2025 contar con la acreditación institucional en alta calidad de la Sede de Bogotá.</w:t>
      </w:r>
    </w:p>
    <w:p>
      <w:pPr>
        <w:spacing w:before="240" w:after="80"/>
      </w:pPr>
      <w:r>
        <w:rPr>
          <w:b/>
          <w:color w:val="787878"/>
          <w:sz w:val="20"/>
        </w:rPr>
        <w:t xml:space="preserve">5.3.2.  </w:t>
      </w:r>
      <w:r>
        <w:rPr>
          <w:b/>
          <w:color w:val="D81B60"/>
          <w:sz w:val="26"/>
        </w:rPr>
        <w:t>OBJETIVO 2. FORTALECER LA OFERTA EDUCATIVA Y LA INNOVACIÓN CURRICULAR</w:t>
      </w:r>
    </w:p>
    <w:p>
      <w:r>
        <w:rPr>
          <w:b/>
        </w:rPr>
        <w:t>Descripción del Objetivo:</w:t>
        <w:br/>
      </w:r>
      <w:r>
        <w:t>El POLI ha sido líder en educación virtual en el país. Para este ciclo de planeación, la Institución se ha propuesto promover el diseño y desarrollo de programas en nuevas modalidades y así mismo dar fiel cumplimiento a los compromisos establecidos en el Proyecto Educativo Institucional.</w:t>
      </w:r>
    </w:p>
    <w:p>
      <w:pPr>
        <w:spacing w:after="80"/>
      </w:pPr>
      <w:r>
        <w:rPr>
          <w:b/>
        </w:rPr>
        <w:t>Metas Estratégicas:</w:t>
      </w:r>
    </w:p>
    <w:p>
      <w:pPr>
        <w:pStyle w:val="ListBullet"/>
        <w:spacing w:after="60"/>
      </w:pPr>
      <w:r>
        <w:t>Contar con un portafolio de programas académicos innovador, de calidad, pertinente y flexible, que responda a las necesidades del estudiante y del entorno.</w:t>
      </w:r>
    </w:p>
    <w:p>
      <w:pPr>
        <w:pStyle w:val="ListBullet"/>
        <w:spacing w:after="60"/>
      </w:pPr>
      <w:r>
        <w:t>Avanzar en la construcción de una cultura de buena docencia centrada en el estudiante, su aprendizaje y en la excelencia pedagógica del equipo de profesores.</w:t>
      </w:r>
    </w:p>
    <w:p>
      <w:pPr>
        <w:pStyle w:val="ListBullet"/>
        <w:spacing w:after="60"/>
      </w:pPr>
      <w:r>
        <w:t>Innovar en el currículo.</w:t>
      </w:r>
    </w:p>
    <w:p/>
    <w:p>
      <w:pPr>
        <w:spacing w:before="360" w:after="160"/>
      </w:pPr>
      <w:r>
        <w:rPr>
          <w:b/>
          <w:color w:val="E65100"/>
          <w:sz w:val="32"/>
        </w:rPr>
        <w:t>2. Línea Estratégica: EXPANSIÓN</w:t>
      </w:r>
    </w:p>
    <w:tbl>
      <w:tblPr>
        <w:tblW w:type="auto" w:w="0"/>
        <w:jc w:val="center"/>
        <w:tblLayout w:type="fixed"/>
        <w:tblLook w:firstColumn="1" w:firstRow="1" w:lastColumn="0" w:lastRow="0" w:noHBand="0" w:noVBand="1" w:val="04A0"/>
      </w:tblPr>
      <w:tblGrid>
        <w:gridCol w:w="9360"/>
      </w:tblGrid>
      <w:tr>
        <w:tc>
          <w:tcPr>
            <w:tcW w:type="dxa" w:w="9360"/>
            <w:shd w:fill="FFF8E1"/>
            <w:tcMar>
              <w:top w:w="140" w:type="dxa"/>
              <w:bottom w:w="140" w:type="dxa"/>
              <w:left w:w="200" w:type="dxa"/>
              <w:right w:w="200" w:type="dxa"/>
            </w:tcMar>
            <w:tcBorders>
              <w:top w:val="none"/>
              <w:bottom w:val="none"/>
              <w:left w:sz="24" w:val="single" w:color="E65100" w:space="0"/>
              <w:right w:val="none"/>
            </w:tcBorders>
          </w:tcPr>
          <w:p>
            <w:pPr>
              <w:spacing w:before="40" w:after="80"/>
            </w:pPr>
            <w:r>
              <w:rPr>
                <w:b/>
                <w:color w:val="E65100"/>
                <w:sz w:val="21"/>
              </w:rPr>
              <w:t>¿QUÉ SIGNIFICA EXPANSIÓN PARA EL POLI?</w:t>
              <w:br/>
            </w:r>
            <w:r>
              <w:rPr>
                <w:i/>
                <w:color w:val="3C3C3C"/>
                <w:sz w:val="21"/>
              </w:rPr>
              <w:t>“Expansión para el POLI es crecer con compromiso social, siendo ejemplo de dedicación y empeño por brindar más y mejores oportunidades de acceso a una educación pertinente y de calidad”</w:t>
            </w:r>
          </w:p>
        </w:tc>
      </w:tr>
    </w:tbl>
    <w:p/>
    <w:p>
      <w:pPr>
        <w:spacing w:before="240" w:after="80"/>
      </w:pPr>
      <w:r>
        <w:rPr>
          <w:b/>
          <w:color w:val="787878"/>
          <w:sz w:val="20"/>
        </w:rPr>
        <w:t xml:space="preserve">6.3.1.  </w:t>
      </w:r>
      <w:r>
        <w:rPr>
          <w:b/>
          <w:color w:val="E65100"/>
          <w:sz w:val="26"/>
        </w:rPr>
        <w:t>OBJETIVO 3. CRECER CON COMPROMISO SOCIAL</w:t>
      </w:r>
    </w:p>
    <w:p>
      <w:r>
        <w:rPr>
          <w:b/>
        </w:rPr>
        <w:t>Descripción del Objetivo:</w:t>
        <w:br/>
      </w:r>
      <w:r>
        <w:t>La expansión institucional supone considerar variables integrales del sistema educativo, tales como ampliar la cobertura, que se constituye en un desafío ético, en la medida en que brinda oportunidades de acceso y mejoramiento de proyectos de vida a través de la educación.</w:t>
        <w:br/>
        <w:br/>
        <w:t>Por otra parte, la oferta de programas académicos de calidad y pertinentes, impacta significativamente el desarrollo de proyectos sociales colectivos de alcance local, regional y nacional. Así, el crecimiento y consolidación institucional se constituye en aportes concretos a las políticas de acceso, de inclusión, de generación de oportunidades, de cualificación del talento humano y de desarrollo social.</w:t>
      </w:r>
    </w:p>
    <w:p>
      <w:pPr>
        <w:spacing w:after="80"/>
      </w:pPr>
      <w:r>
        <w:rPr>
          <w:b/>
        </w:rPr>
        <w:t>Metas Estratégicas:</w:t>
      </w:r>
    </w:p>
    <w:p>
      <w:pPr>
        <w:pStyle w:val="ListBullet"/>
        <w:spacing w:after="60"/>
      </w:pPr>
      <w:r>
        <w:t>En el 2026, alcanzar una población estudiantil superior a 70.000 estudiantes.</w:t>
      </w:r>
    </w:p>
    <w:p>
      <w:pPr>
        <w:pStyle w:val="ListBullet"/>
        <w:spacing w:after="60"/>
      </w:pPr>
      <w:r>
        <w:t>Diseñar e implementar el esquema de relacionamiento con la empresa y el Estado.</w:t>
      </w:r>
    </w:p>
    <w:p>
      <w:pPr>
        <w:pStyle w:val="ListBullet"/>
        <w:spacing w:after="60"/>
      </w:pPr>
      <w:r>
        <w:t>Posicionar al POLI como una de las opciones más atractivas para iniciar los estudios de educación superior.</w:t>
      </w:r>
    </w:p>
    <w:p>
      <w:pPr>
        <w:pStyle w:val="ListBullet"/>
        <w:spacing w:after="60"/>
      </w:pPr>
      <w:r>
        <w:t>Lanzamiento efectivo de nuevos programas.</w:t>
      </w:r>
    </w:p>
    <w:p/>
    <w:p>
      <w:pPr>
        <w:spacing w:before="360" w:after="160"/>
      </w:pPr>
      <w:r>
        <w:rPr>
          <w:b/>
          <w:color w:val="1565C0"/>
          <w:sz w:val="32"/>
        </w:rPr>
        <w:t>3. Línea Estratégica: EDUCACIÓN PARA TODA LA VIDA</w:t>
      </w:r>
    </w:p>
    <w:tbl>
      <w:tblPr>
        <w:tblW w:type="auto" w:w="0"/>
        <w:jc w:val="center"/>
        <w:tblLayout w:type="fixed"/>
        <w:tblLook w:firstColumn="1" w:firstRow="1" w:lastColumn="0" w:lastRow="0" w:noHBand="0" w:noVBand="1" w:val="04A0"/>
      </w:tblPr>
      <w:tblGrid>
        <w:gridCol w:w="9360"/>
      </w:tblGrid>
      <w:tr>
        <w:tc>
          <w:tcPr>
            <w:tcW w:type="dxa" w:w="9360"/>
            <w:shd w:fill="EBF5FB"/>
            <w:tcMar>
              <w:top w:w="140" w:type="dxa"/>
              <w:bottom w:w="140" w:type="dxa"/>
              <w:left w:w="200" w:type="dxa"/>
              <w:right w:w="200" w:type="dxa"/>
            </w:tcMar>
            <w:tcBorders>
              <w:top w:val="none"/>
              <w:bottom w:val="none"/>
              <w:left w:sz="24" w:val="single" w:color="1565C0" w:space="0"/>
              <w:right w:val="none"/>
            </w:tcBorders>
          </w:tcPr>
          <w:p>
            <w:pPr>
              <w:spacing w:before="40" w:after="80"/>
            </w:pPr>
            <w:r>
              <w:rPr>
                <w:b/>
                <w:color w:val="1565C0"/>
                <w:sz w:val="21"/>
              </w:rPr>
              <w:t>¿QUÉ SIGNIFICA EDUCACIÓN PARA TODA LA VIDA PARA EL POLI?</w:t>
              <w:br/>
            </w:r>
            <w:r>
              <w:rPr>
                <w:i/>
                <w:color w:val="3C3C3C"/>
                <w:sz w:val="21"/>
              </w:rPr>
              <w:t>“Educación para toda la vida en el POLI, es impulsar permanentemente soluciones integrales para la formación y el desarrollo humano, personal y profesional”</w:t>
            </w:r>
          </w:p>
        </w:tc>
      </w:tr>
    </w:tbl>
    <w:p/>
    <w:p>
      <w:pPr>
        <w:spacing w:before="240" w:after="80"/>
      </w:pPr>
      <w:r>
        <w:rPr>
          <w:b/>
          <w:color w:val="787878"/>
          <w:sz w:val="20"/>
        </w:rPr>
        <w:t xml:space="preserve">7.3.1.  </w:t>
      </w:r>
      <w:r>
        <w:rPr>
          <w:b/>
          <w:color w:val="1565C0"/>
          <w:sz w:val="26"/>
        </w:rPr>
        <w:t>OBJETIVO 4. INCURSIONAR EN LOS NIVELES DE EDUCACIÓN MEDIA Y DE EDUCACIÓN PARA EL TRABAJO Y EL DESARROLLO HUMANO</w:t>
      </w:r>
    </w:p>
    <w:p>
      <w:r>
        <w:rPr>
          <w:b/>
        </w:rPr>
        <w:t>Descripción del Objetivo:</w:t>
        <w:br/>
      </w:r>
      <w:r>
        <w:t>Este objetivo busca ampliar el alcance del POLI y pasar de ser una Institución enfocada en Educación Superior a contar con una nueva oferta de educación para el trabajo y el desarrollo humano y de educación media con la creación de un colegio para grados décimo y once. Este objetivo, apoyará tanto los propósitos de expansión, como los de impacto social del POLI.</w:t>
      </w:r>
    </w:p>
    <w:p>
      <w:pPr>
        <w:spacing w:after="80"/>
      </w:pPr>
      <w:r>
        <w:rPr>
          <w:b/>
        </w:rPr>
        <w:t>Metas Estratégicas:</w:t>
      </w:r>
    </w:p>
    <w:p>
      <w:pPr>
        <w:pStyle w:val="ListBullet"/>
        <w:spacing w:after="60"/>
      </w:pPr>
      <w:r>
        <w:t>Creación del Instituto para la Educación para el Trabajo y el Desarrollo Humano a través del cual se propone ofrecer 10 programas de ETDH con 750 estudiantes por programa al año 2026.</w:t>
      </w:r>
    </w:p>
    <w:p>
      <w:pPr>
        <w:pStyle w:val="ListBullet"/>
        <w:spacing w:after="60"/>
      </w:pPr>
      <w:r>
        <w:t>Creación del colegio virtual para tener una matrícula de 100 estudiantes en los niveles décimo y once de educación media al año 2026.</w:t>
      </w:r>
    </w:p>
    <w:p>
      <w:pPr>
        <w:spacing w:before="240" w:after="80"/>
      </w:pPr>
      <w:r>
        <w:rPr>
          <w:b/>
          <w:color w:val="787878"/>
          <w:sz w:val="20"/>
        </w:rPr>
        <w:t xml:space="preserve">7.3.2.  </w:t>
      </w:r>
      <w:r>
        <w:rPr>
          <w:b/>
          <w:color w:val="1565C0"/>
          <w:sz w:val="26"/>
        </w:rPr>
        <w:t>OBJETIVO 5. IMPULSAR Y POTENCIAR LA EDUCACIÓN CONTINUA</w:t>
      </w:r>
    </w:p>
    <w:p>
      <w:r>
        <w:rPr>
          <w:b/>
        </w:rPr>
        <w:t>Descripción del Objetivo:</w:t>
        <w:br/>
      </w:r>
      <w:r>
        <w:t>Con este objetivo, se espera que el POLI como Institución Universitaria al servicio de la sociedad, sea vanguardista en satisfacer las necesidades del sector empresarial, así como en adoptar las microcertificaciones como una manera de acercar la Institución al mundo laboral, y a los sectores productivos con el acelerado cambio que se da hoy fuera de sus campus.</w:t>
      </w:r>
    </w:p>
    <w:p>
      <w:pPr>
        <w:spacing w:after="80"/>
      </w:pPr>
      <w:r>
        <w:rPr>
          <w:b/>
        </w:rPr>
        <w:t>Metas Estratégicas:</w:t>
      </w:r>
    </w:p>
    <w:p>
      <w:pPr>
        <w:pStyle w:val="ListBullet"/>
        <w:spacing w:after="60"/>
      </w:pPr>
      <w:r>
        <w:t>Incrementar en más del 50% los ingresos de B2B y B2G para el año 2026.</w:t>
      </w:r>
    </w:p>
    <w:p>
      <w:pPr>
        <w:pStyle w:val="ListBullet"/>
        <w:spacing w:after="60"/>
      </w:pPr>
      <w:r>
        <w:t>Ofrecer 250 Microcertificaciones con 1.000 estudiantes al año 2026.</w:t>
      </w:r>
    </w:p>
    <w:p/>
    <w:p>
      <w:pPr>
        <w:spacing w:before="360" w:after="160"/>
      </w:pPr>
      <w:r>
        <w:rPr>
          <w:b/>
          <w:color w:val="00838F"/>
          <w:sz w:val="32"/>
        </w:rPr>
        <w:t>4. Línea Estratégica: EXPERIENCIA</w:t>
      </w:r>
    </w:p>
    <w:tbl>
      <w:tblPr>
        <w:tblW w:type="auto" w:w="0"/>
        <w:jc w:val="center"/>
        <w:tblLayout w:type="fixed"/>
        <w:tblLook w:firstColumn="1" w:firstRow="1" w:lastColumn="0" w:lastRow="0" w:noHBand="0" w:noVBand="1" w:val="04A0"/>
      </w:tblPr>
      <w:tblGrid>
        <w:gridCol w:w="9360"/>
      </w:tblGrid>
      <w:tr>
        <w:tc>
          <w:tcPr>
            <w:tcW w:type="dxa" w:w="9360"/>
            <w:shd w:fill="E0F7FA"/>
            <w:tcMar>
              <w:top w:w="140" w:type="dxa"/>
              <w:bottom w:w="140" w:type="dxa"/>
              <w:left w:w="200" w:type="dxa"/>
              <w:right w:w="200" w:type="dxa"/>
            </w:tcMar>
            <w:tcBorders>
              <w:top w:val="none"/>
              <w:bottom w:val="none"/>
              <w:left w:sz="24" w:val="single" w:color="00838F" w:space="0"/>
              <w:right w:val="none"/>
            </w:tcBorders>
          </w:tcPr>
          <w:p>
            <w:pPr>
              <w:spacing w:before="40" w:after="80"/>
            </w:pPr>
            <w:r>
              <w:rPr>
                <w:b/>
                <w:color w:val="00838F"/>
                <w:sz w:val="21"/>
              </w:rPr>
              <w:t>¿QUÉ SIGNIFICA EXPERIENCIA PARA EL POLI?</w:t>
              <w:br/>
            </w:r>
            <w:r>
              <w:rPr>
                <w:i/>
                <w:color w:val="3C3C3C"/>
                <w:sz w:val="21"/>
              </w:rPr>
              <w:t>“EXPERIENCIA en el POLI es dar lo mejor de nosotros cada día, basados en principios de excelencia, solidaridad, empatía y sencillez, para brindar momentos significativos a toda la comunidad”</w:t>
            </w:r>
          </w:p>
        </w:tc>
      </w:tr>
    </w:tbl>
    <w:p/>
    <w:p>
      <w:pPr>
        <w:spacing w:before="240" w:after="80"/>
      </w:pPr>
      <w:r>
        <w:rPr>
          <w:b/>
          <w:color w:val="787878"/>
          <w:sz w:val="20"/>
        </w:rPr>
        <w:t xml:space="preserve">8.3.1.  </w:t>
      </w:r>
      <w:r>
        <w:rPr>
          <w:b/>
          <w:color w:val="00838F"/>
          <w:sz w:val="26"/>
        </w:rPr>
        <w:t>OBJETIVO 6. GARANTIZAR UNA EXPERIENCIA SIGNIFICATIVA Y DE VALOR AGREGADO A LA COMUNIDAD POLI</w:t>
      </w:r>
    </w:p>
    <w:p>
      <w:pPr>
        <w:spacing w:after="120"/>
      </w:pPr>
      <w:r>
        <w:rPr>
          <w:i/>
        </w:rPr>
        <w:t>El POLI confía en el potencial de las nuevas tecnologías para crear experiencias educativas muy potentes y 'personalizar' las ofertas y rutas de formación, de manera que se acomoden a sus expectativas iniciales y a los cambios que experimenten a lo largo de sus carreras y trayectorias laborales.</w:t>
      </w:r>
    </w:p>
    <w:p>
      <w:r>
        <w:rPr>
          <w:b/>
        </w:rPr>
        <w:t>Ejes de Desarrollo del Objetivo:</w:t>
      </w:r>
    </w:p>
    <w:p>
      <w:pPr>
        <w:spacing w:after="120"/>
        <w:ind w:left="288"/>
      </w:pPr>
      <w:r>
        <w:rPr>
          <w:b/>
          <w:color w:val="00838F"/>
        </w:rPr>
        <w:t>• Diseño e implementación del modelo de experiencia institucional:</w:t>
      </w:r>
      <w:r>
        <w:t xml:space="preserve"> Hace referencia a la conceptualización del significado de experiencia institucional y sus características más importantes que permitan el diseño de rutas de experiencia POLI en cada uno de los actores (aspirantes, estudiantes, docentes, egresados, colaboradores, proveedores) para identificar las oportunidades de mejora que garanticen una experiencia excepcional enmarcada en los principios, valores, cualidades y pensamiento organizacional del POLI.</w:t>
      </w:r>
    </w:p>
    <w:p>
      <w:pPr>
        <w:spacing w:after="120"/>
        <w:ind w:left="288"/>
      </w:pPr>
      <w:r>
        <w:rPr>
          <w:b/>
          <w:color w:val="00838F"/>
        </w:rPr>
        <w:t>• Satisfacción en el servicio y la permanencia de la comunidad POLI:</w:t>
      </w:r>
      <w:r>
        <w:t xml:space="preserve"> Es necesario identificar los momentos en que se debe tener especial atención para que la experiencia que se genere sea positiva (momentos de verdad); y, en segundo lugar, cómo conseguir, que en momentos transaccionales absolutamente normales, la comunidad educativa experimente una emoción positiva a través de la superación de sus expectativas.</w:t>
        <w:br/>
        <w:t>Es necesario ir más allá de la satisfacción y la retención del usuario para llegar a la vinculación emocional que se produce cuando se disfruta de la experiencia. Al tratarse de una experiencia personal, implica la participación del individuo, quien será el que realice la evaluación de su experiencia comparando sus percepciones frente a sus expectativas con la Institución.</w:t>
      </w:r>
    </w:p>
    <w:p>
      <w:pPr>
        <w:spacing w:after="120"/>
        <w:ind w:left="288"/>
      </w:pPr>
      <w:r>
        <w:rPr>
          <w:b/>
          <w:color w:val="00838F"/>
        </w:rPr>
        <w:t>• Innovación en el modelo de Bienestar Universitario para velar por la calidad de vida de todos los actores POLI:</w:t>
      </w:r>
      <w:r>
        <w:t xml:space="preserve"> La experiencia memorable que busca ofrecer el POLI a cada uno de los miembros de la comunidad académica busca ir más allá de solo responder a sus necesidades, por ello, pretende a través de la innovación en modelos de bienestar universitario, ofrecer diferentes alternativas de formación, desarrollo, bienestar, estar-bien, entre otras, que propendan por la calidad de vida y satisfacción de la comunidad universitaria.</w:t>
      </w:r>
    </w:p>
    <w:p>
      <w:pPr>
        <w:spacing w:before="120" w:after="80"/>
      </w:pPr>
      <w:r>
        <w:rPr>
          <w:b/>
        </w:rPr>
        <w:t>Metas Estratégicas:</w:t>
      </w:r>
    </w:p>
    <w:p>
      <w:pPr>
        <w:pStyle w:val="ListBullet"/>
        <w:spacing w:after="60"/>
      </w:pPr>
      <w:r>
        <w:t>Diseñar e implementar el Modelo de Experiencia Institucional que defina los principios, valores, cualidades, indicadores y variables.</w:t>
      </w:r>
    </w:p>
    <w:p>
      <w:pPr>
        <w:pStyle w:val="ListBullet"/>
        <w:spacing w:after="60"/>
      </w:pPr>
      <w:r>
        <w:t>Alcanzar una satisfacción del servicio superior al 85%.</w:t>
      </w:r>
    </w:p>
    <w:p>
      <w:pPr>
        <w:pStyle w:val="ListBullet"/>
        <w:spacing w:after="60"/>
      </w:pPr>
      <w:r>
        <w:t>Alcanzar una tasa de permanencia intersemestral superior al 90%.</w:t>
      </w:r>
    </w:p>
    <w:p>
      <w:pPr>
        <w:pStyle w:val="ListBullet"/>
        <w:spacing w:after="60"/>
      </w:pPr>
      <w:r>
        <w:t>Innovar en el modelo de bienestar universitario para velar por la calidad de vida de todos los actores del POLI.</w:t>
      </w:r>
    </w:p>
    <w:p/>
    <w:p>
      <w:pPr>
        <w:spacing w:before="360" w:after="160"/>
      </w:pPr>
      <w:r>
        <w:rPr>
          <w:b/>
          <w:color w:val="00A896"/>
          <w:sz w:val="32"/>
        </w:rPr>
        <w:t>5. Línea Estratégica: TRANSFORMACIÓN ORGANIZACIONAL</w:t>
      </w:r>
    </w:p>
    <w:tbl>
      <w:tblPr>
        <w:tblW w:type="auto" w:w="0"/>
        <w:jc w:val="center"/>
        <w:tblLayout w:type="fixed"/>
        <w:tblLook w:firstColumn="1" w:firstRow="1" w:lastColumn="0" w:lastRow="0" w:noHBand="0" w:noVBand="1" w:val="04A0"/>
      </w:tblPr>
      <w:tblGrid>
        <w:gridCol w:w="9360"/>
      </w:tblGrid>
      <w:tr>
        <w:tc>
          <w:tcPr>
            <w:tcW w:type="dxa" w:w="9360"/>
            <w:shd w:fill="E6F7F5"/>
            <w:tcMar>
              <w:top w:w="140" w:type="dxa"/>
              <w:bottom w:w="140" w:type="dxa"/>
              <w:left w:w="200" w:type="dxa"/>
              <w:right w:w="200" w:type="dxa"/>
            </w:tcMar>
            <w:tcBorders>
              <w:top w:val="none"/>
              <w:bottom w:val="none"/>
              <w:left w:sz="24" w:val="single" w:color="00A896" w:space="0"/>
              <w:right w:val="none"/>
            </w:tcBorders>
          </w:tcPr>
          <w:p>
            <w:pPr>
              <w:spacing w:before="40" w:after="80"/>
            </w:pPr>
            <w:r>
              <w:rPr>
                <w:b/>
                <w:color w:val="00A896"/>
                <w:sz w:val="21"/>
              </w:rPr>
              <w:t>¿QUÉ SIGNIFICA TRANSFORMACIÓN ORGANIZACIONAL PARA EL POLI?</w:t>
              <w:br/>
            </w:r>
            <w:r>
              <w:rPr>
                <w:i/>
                <w:color w:val="3C3C3C"/>
                <w:sz w:val="21"/>
              </w:rPr>
              <w:t>“TRANSFORMACIÓN ORGANIZACIONAL para el POLI representa el compromiso por lograr cambios profundos en la cultura POLI y así, alcanzar proyectos de vida felices y productivos”</w:t>
            </w:r>
          </w:p>
        </w:tc>
      </w:tr>
    </w:tbl>
    <w:p/>
    <w:p>
      <w:pPr>
        <w:spacing w:before="240" w:after="80"/>
      </w:pPr>
      <w:r>
        <w:rPr>
          <w:b/>
          <w:color w:val="787878"/>
          <w:sz w:val="20"/>
        </w:rPr>
        <w:t xml:space="preserve">9.3.1.  </w:t>
      </w:r>
      <w:r>
        <w:rPr>
          <w:b/>
          <w:color w:val="00A896"/>
          <w:sz w:val="26"/>
        </w:rPr>
        <w:t>OBJETIVO 7. CONTAR CON UN EQUIPO HUMANO FELIZ Y APASIONADO, QUE TRABAJA DE FORMA COLABORATIVA PARA ALCANZAR LAS METAS INSTITUCIONALES</w:t>
      </w:r>
    </w:p>
    <w:p>
      <w:r>
        <w:rPr>
          <w:b/>
        </w:rPr>
        <w:t>Descripción del Objetivo:</w:t>
        <w:br/>
      </w:r>
      <w:r>
        <w:t>Por encima de las herramientas necesarias para llevar a cabo día a día la misión y alcanzar la visión a 5 años, el recurso principal y lo que ofrece el POLI son servicios que brindan seres humanos. Servicios de educación que le permitirán a miles de estudiantes cambiar sus vidas, aumentar sus ingresos, alcanzar un sueño y reposicionar su lugar en la sociedad.</w:t>
        <w:br/>
        <w:br/>
        <w:t>Por lo anterior, la pasión, la actitud consecuente y el logro de los objetivos enmarcados en un ambiente de cordialidad, realización personal y crecimiento que conducen a la felicidad, son elementos necesarios en el quehacer del talento humano. En el plan de desarrollo la relación estudiante-profesor está en el centro y se convierte en el fin último. Lograr que cada uno de los colaboradores: profesores y administrativos encuentren un fin de vida y un sentido profundo a sus acciones de trabajo, resultará en una relación más profunda, diáfana y de calidad entre profesores y estudiantes.</w:t>
      </w:r>
    </w:p>
    <w:p>
      <w:pPr>
        <w:spacing w:after="80"/>
      </w:pPr>
      <w:r>
        <w:rPr>
          <w:b/>
        </w:rPr>
        <w:t>Metas Estratégicas:</w:t>
      </w:r>
    </w:p>
    <w:p>
      <w:pPr>
        <w:pStyle w:val="ListBullet"/>
        <w:spacing w:after="60"/>
      </w:pPr>
      <w:r>
        <w:t>Estar en el ranking de las 100 mejores empresas para trabajar en Colombia.</w:t>
      </w:r>
    </w:p>
    <w:p>
      <w:pPr>
        <w:pStyle w:val="ListBullet"/>
        <w:spacing w:after="60"/>
      </w:pPr>
      <w:r>
        <w:t>Implementar el Plan Talento para colaboradores alineado con la estrategia.</w:t>
      </w:r>
    </w:p>
    <w:p>
      <w:pPr>
        <w:pStyle w:val="ListBullet"/>
        <w:spacing w:after="60"/>
      </w:pPr>
      <w:r>
        <w:t>Contar con una estrategia de comunicaciones integrada que apalanque la cultura y el posicionamiento institucional.</w:t>
      </w:r>
    </w:p>
    <w:p>
      <w:pPr>
        <w:pStyle w:val="ListBullet"/>
        <w:spacing w:after="60"/>
      </w:pPr>
      <w:r>
        <w:t>Contribuir a la formación permanente del equipo humano.</w:t>
      </w:r>
    </w:p>
    <w:p>
      <w:pPr>
        <w:spacing w:before="240" w:after="80"/>
      </w:pPr>
      <w:r>
        <w:rPr>
          <w:b/>
          <w:color w:val="787878"/>
          <w:sz w:val="20"/>
        </w:rPr>
        <w:t xml:space="preserve">9.3.2.  </w:t>
      </w:r>
      <w:r>
        <w:rPr>
          <w:b/>
          <w:color w:val="00A896"/>
          <w:sz w:val="26"/>
        </w:rPr>
        <w:t>OBJETIVO 8. ASEGURAR UNA ARQUITECTURA TECNOLÓGICA INSTITUCIONAL CENTRADA EN LA EXPERIENCIA DE LA COMUNIDAD EDUCATIVA</w:t>
      </w:r>
    </w:p>
    <w:p>
      <w:r>
        <w:rPr>
          <w:b/>
        </w:rPr>
        <w:t>Descripción del Objetivo:</w:t>
        <w:br/>
      </w:r>
      <w:r>
        <w:t>Desarrollar y desplegar la arquitectura tecnológica que asegure que la Institución ofrezca la experiencia requerida para satisfacer las necesidades, que permita el crecimiento institucional y ofrezca educación para toda la vida, que apalanque el logro de la acreditación de calidad y que permita que el POLI llegue a ser una universidad "digital".</w:t>
        <w:br/>
        <w:br/>
        <w:t>Para lo anterior se requiere el diseño e implementación del ecosistema de experiencia digital con sistemas integrados, ofreciendo servicios de autogestión, autodidácticos y sencillos que permitan a los usuarios solucionar sus necesidades y apoyen las estrategias de transformación organizacional de la Institución.</w:t>
        <w:br/>
        <w:br/>
        <w:t>El POLI apuesta por satisfacer las necesidades y expectativas de su comunidad con el propósito de mejorar la experiencia con la institución, ofreciendo servicios digitales sencillos, intuitivos y que den respuesta a las necesidades presentes y futuras.</w:t>
        <w:br/>
        <w:br/>
        <w:t>La experiencia de usuario será el elemento principal que potencia la prestación de servicios a diferentes unidades, colaborar con ellas para trazar acciones de mejora de la experiencia y acompañar el proceso de adaptación empezando por aquellos servicios y trámites que se entiendan más prioritarios con base al cumplimiento de las expectativas del usuario final.</w:t>
        <w:br/>
        <w:br/>
        <w:t>La optimización de los procesos de forma iterativa, implicando a los usuarios del mismo, facilita el cambio cultural de forma progresiva y el desarrollo de prototipos operativos incrementales que promueven la robustez, impulsa la posibilidad de participación y mejora, y aporta agilidad a través de la liberación de soluciones intermedias en plazos más cortos, genera compromiso y sentido de pertenencia, permite una mayor adaptación a cambios reduce el coste del error y ayuda a alcanzar consensos logrando los resultados esperados, para ello es necesario formar a las unidades en materia de innovación por ejemplo Design Thinking. Crear grupos ágiles de trabajo con la participación de usuarios, de tal forma que puedan analizar y diseñar mejoras a los procesos actuales.</w:t>
      </w:r>
    </w:p>
    <w:p>
      <w:pPr>
        <w:spacing w:after="80"/>
      </w:pPr>
      <w:r>
        <w:rPr>
          <w:b/>
        </w:rPr>
        <w:t>Metas Estratégicas:</w:t>
      </w:r>
    </w:p>
    <w:p>
      <w:pPr>
        <w:pStyle w:val="ListBullet"/>
        <w:spacing w:after="60"/>
      </w:pPr>
      <w:r>
        <w:t>Contar con una arquitectura IT implementada al 100%, con un 99,7% de disponibilidad.</w:t>
      </w:r>
    </w:p>
    <w:p>
      <w:pPr>
        <w:pStyle w:val="ListBullet"/>
        <w:spacing w:after="60"/>
      </w:pPr>
      <w:r>
        <w:t>Contar con un ecosistema digital centrado en la experiencia institucional.</w:t>
      </w:r>
    </w:p>
    <w:p>
      <w:pPr>
        <w:spacing w:before="240" w:after="80"/>
      </w:pPr>
      <w:r>
        <w:rPr>
          <w:b/>
          <w:color w:val="787878"/>
          <w:sz w:val="20"/>
        </w:rPr>
        <w:t xml:space="preserve">9.3.3.  </w:t>
      </w:r>
      <w:r>
        <w:rPr>
          <w:b/>
          <w:color w:val="00A896"/>
          <w:sz w:val="26"/>
        </w:rPr>
        <w:t>OBJETIVO 9. FORTALECER LA GESTIÓN POR PROCESOS Y LA TOMA DE DECISIONES BASADA EN EL ANÁLISIS DE LOS DATOS</w:t>
      </w:r>
    </w:p>
    <w:p>
      <w:r>
        <w:rPr>
          <w:b/>
        </w:rPr>
        <w:t>Descripción del Objetivo:</w:t>
        <w:br/>
      </w:r>
      <w:r>
        <w:t>En este objetivo se contempla la ampliación del alcance del Sistema Integrado de Aseguramiento y Gestión para la Sostenibilidad POLISIGS que conlleva a rediseñar el modelo de procesos institucionales, de tal manera que permita ser un habilitador de la estrategia; así como fortalecer la cultura de mejora continua, su articulación con el Sistema Interno de Aseguramiento de la Calidad y con alcance a procesos académicos, administrativos y programas nacionales, todo esto, orientado al estudiante y al docente como actores centrales del Plan de Desarrollo.</w:t>
        <w:br/>
        <w:br/>
        <w:t>Desde el punto de vista de analítica de datos, la estrategia además de brindar información veraz, concisa, oportuna, confiable, única y segura, que implica que tanto la información estructurada como no estructurada sea de calidad y depurada, es el poder avanzar en modelos de análisis consistentes y construir una estrategia para implementar la inteligencia artificial como apalancador clave de las decisiones futuras.</w:t>
      </w:r>
    </w:p>
    <w:p>
      <w:pPr>
        <w:spacing w:after="80"/>
      </w:pPr>
      <w:r>
        <w:rPr>
          <w:b/>
        </w:rPr>
        <w:t>Metas Estratégicas:</w:t>
      </w:r>
    </w:p>
    <w:p>
      <w:pPr>
        <w:pStyle w:val="ListBullet"/>
        <w:spacing w:after="60"/>
      </w:pPr>
      <w:r>
        <w:t>Ampliar el alcance del sistema integrado POLISIGS y su apropiación en la comunidad.</w:t>
      </w:r>
    </w:p>
    <w:p>
      <w:pPr>
        <w:pStyle w:val="ListBullet"/>
        <w:spacing w:after="60"/>
      </w:pPr>
      <w:r>
        <w:t>Impulsar la mejora y optimización de procesos.</w:t>
      </w:r>
    </w:p>
    <w:p>
      <w:pPr>
        <w:pStyle w:val="ListBullet"/>
        <w:spacing w:after="60"/>
      </w:pPr>
      <w:r>
        <w:t>Asegurar un esquema de gobierno y calidad de datos institucional.</w:t>
      </w:r>
    </w:p>
    <w:p>
      <w:pPr>
        <w:pStyle w:val="ListBullet"/>
        <w:spacing w:after="60"/>
      </w:pPr>
      <w:r>
        <w:t>Promover el uso de los datos, a partir del diseño e implementación de soluciones analíticas.</w:t>
      </w:r>
    </w:p>
    <w:p/>
    <w:p>
      <w:pPr>
        <w:spacing w:before="360" w:after="160"/>
      </w:pPr>
      <w:r>
        <w:rPr>
          <w:b/>
          <w:color w:val="7CB342"/>
          <w:sz w:val="32"/>
        </w:rPr>
        <w:t>6. Línea Estratégica: SOSTENIBILIDAD</w:t>
      </w:r>
    </w:p>
    <w:tbl>
      <w:tblPr>
        <w:tblW w:type="auto" w:w="0"/>
        <w:jc w:val="center"/>
        <w:tblLayout w:type="fixed"/>
        <w:tblLook w:firstColumn="1" w:firstRow="1" w:lastColumn="0" w:lastRow="0" w:noHBand="0" w:noVBand="1" w:val="04A0"/>
      </w:tblPr>
      <w:tblGrid>
        <w:gridCol w:w="9360"/>
      </w:tblGrid>
      <w:tr>
        <w:tc>
          <w:tcPr>
            <w:tcW w:type="dxa" w:w="9360"/>
            <w:shd w:fill="F1F8E9"/>
            <w:tcMar>
              <w:top w:w="140" w:type="dxa"/>
              <w:bottom w:w="140" w:type="dxa"/>
              <w:left w:w="200" w:type="dxa"/>
              <w:right w:w="200" w:type="dxa"/>
            </w:tcMar>
            <w:tcBorders>
              <w:top w:val="none"/>
              <w:bottom w:val="none"/>
              <w:left w:sz="24" w:val="single" w:color="7CB342" w:space="0"/>
              <w:right w:val="none"/>
            </w:tcBorders>
          </w:tcPr>
          <w:p>
            <w:pPr>
              <w:spacing w:before="40" w:after="80"/>
            </w:pPr>
            <w:r>
              <w:rPr>
                <w:b/>
                <w:color w:val="7CB342"/>
                <w:sz w:val="21"/>
              </w:rPr>
              <w:t>¿QUÉ SIGNIFICA SOSTENIBILIDAD PARA EL POLI?</w:t>
              <w:br/>
            </w:r>
            <w:r>
              <w:rPr>
                <w:i/>
                <w:color w:val="3C3C3C"/>
                <w:sz w:val="21"/>
              </w:rPr>
              <w:t>“Significa que contribuimos a la inclusión, al medio ambiente y al impacto positivo de nuestros graduados y de la sociedad, optimizando nuestros recursos”</w:t>
            </w:r>
          </w:p>
        </w:tc>
      </w:tr>
    </w:tbl>
    <w:p/>
    <w:p>
      <w:pPr>
        <w:spacing w:before="240" w:after="80"/>
      </w:pPr>
      <w:r>
        <w:rPr>
          <w:b/>
          <w:color w:val="787878"/>
          <w:sz w:val="20"/>
        </w:rPr>
        <w:t xml:space="preserve">10.3.1.  </w:t>
      </w:r>
      <w:r>
        <w:rPr>
          <w:b/>
          <w:color w:val="7CB342"/>
          <w:sz w:val="26"/>
        </w:rPr>
        <w:t>OBJETIVO 10. PROMOVER UNA CULTURA DE OPTIMIZACIÓN DE RECURSOS FINANCIEROS COMO APALANCADOR DE LA ESTRATEGIA</w:t>
      </w:r>
    </w:p>
    <w:p>
      <w:r>
        <w:rPr>
          <w:b/>
        </w:rPr>
        <w:t>Descripción del Objetivo:</w:t>
        <w:br/>
      </w:r>
      <w:r>
        <w:t>Desde el punto de vista de sostenibilidad financiera, hace referencia a la consecución de recursos de diferentes fuentes y al uso racional de los mismos, de tal manera que permita contar con presupuesto para inversión en pro del cumplimiento de las metas establecidas por línea estratégica, y al desarrollo misional de la Institución.</w:t>
      </w:r>
    </w:p>
    <w:p>
      <w:pPr>
        <w:spacing w:after="80"/>
      </w:pPr>
      <w:r>
        <w:rPr>
          <w:b/>
        </w:rPr>
        <w:t>Metas Estratégicas:</w:t>
      </w:r>
    </w:p>
    <w:p>
      <w:pPr>
        <w:pStyle w:val="ListBullet"/>
        <w:spacing w:after="60"/>
      </w:pPr>
      <w:r>
        <w:t>Incrementar los ingresos y el presupuesto de inversión en proyectos institucionales.</w:t>
      </w:r>
    </w:p>
    <w:p>
      <w:pPr>
        <w:spacing w:before="240" w:after="80"/>
      </w:pPr>
      <w:r>
        <w:rPr>
          <w:b/>
          <w:color w:val="787878"/>
          <w:sz w:val="20"/>
        </w:rPr>
        <w:t xml:space="preserve">10.3.2.  </w:t>
      </w:r>
      <w:r>
        <w:rPr>
          <w:b/>
          <w:color w:val="7CB342"/>
          <w:sz w:val="26"/>
        </w:rPr>
        <w:t>OBJETIVO 11. CONTRIBUIR A LA INCLUSIÓN, LA PROYECCIÓN SOCIAL Y EL CUIDADO DEL MEDIO AMBIENTE</w:t>
      </w:r>
    </w:p>
    <w:p>
      <w:r>
        <w:rPr>
          <w:b/>
        </w:rPr>
        <w:t>Descripción del Objetivo:</w:t>
        <w:br/>
      </w:r>
      <w:r>
        <w:t>Velar para que las actividades que desarrolle la Institución tengan como fin principal la promoción del bienestar social de la comunidad y protección de los recursos naturales, aportando a la solución de los problemas sociales y ambientales por medio de procesos permanentes de interacción e integración con agentes y sectores sociales e institucionales, implementando alternativas respetuosas con el medio ambiente que permitan demostrar el desempeño ambiental y la contribución a los Objetivos de Desarrollo Sostenible.</w:t>
      </w:r>
    </w:p>
    <w:p>
      <w:pPr>
        <w:spacing w:after="80"/>
      </w:pPr>
      <w:r>
        <w:rPr>
          <w:b/>
        </w:rPr>
        <w:t>Metas Estratégicas:</w:t>
      </w:r>
    </w:p>
    <w:p>
      <w:pPr>
        <w:pStyle w:val="ListBullet"/>
        <w:spacing w:after="60"/>
      </w:pPr>
      <w:r>
        <w:t>Mejorar la empleabilidad de nuestros graduados.</w:t>
      </w:r>
    </w:p>
    <w:p>
      <w:pPr>
        <w:pStyle w:val="ListBullet"/>
        <w:spacing w:after="60"/>
      </w:pPr>
      <w:r>
        <w:t>Creación de la asociación de graduados.</w:t>
      </w:r>
    </w:p>
    <w:p>
      <w:pPr>
        <w:pStyle w:val="ListBullet"/>
        <w:spacing w:after="60"/>
      </w:pPr>
      <w:r>
        <w:t>Incrementar el índice de inclusión institucional.</w:t>
      </w:r>
    </w:p>
    <w:p>
      <w:pPr>
        <w:pStyle w:val="ListBullet"/>
        <w:spacing w:after="60"/>
      </w:pPr>
      <w:r>
        <w:t>Propiciar espacios de interacción con la comunidad del entorno.</w:t>
      </w:r>
    </w:p>
    <w:p>
      <w:pPr>
        <w:pStyle w:val="ListBullet"/>
        <w:spacing w:after="60"/>
      </w:pPr>
      <w:r>
        <w:t>Mantener hasta el 5% de estudiantes becados, sobre el total de estudiantes.</w:t>
      </w:r>
    </w:p>
    <w:p>
      <w:pPr>
        <w:pStyle w:val="ListBullet"/>
        <w:spacing w:after="60"/>
      </w:pPr>
      <w:r>
        <w:t>Promover una cultura de protección y cuidado del medio ambiente, apalancados en estándares internacionales.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