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C5193" w14:textId="77777777" w:rsidR="00A34DAB" w:rsidRDefault="00000000">
      <w:pPr>
        <w:pBdr>
          <w:top w:val="nil"/>
          <w:left w:val="nil"/>
          <w:bottom w:val="nil"/>
          <w:right w:val="nil"/>
          <w:between w:val="nil"/>
        </w:pBdr>
        <w:spacing w:line="600" w:lineRule="auto"/>
        <w:rPr>
          <w:rFonts w:ascii="Calibri" w:eastAsia="Calibri" w:hAnsi="Calibri" w:cs="Calibri"/>
          <w:color w:val="000000"/>
          <w:sz w:val="56"/>
          <w:szCs w:val="56"/>
        </w:rPr>
      </w:pPr>
      <w:bookmarkStart w:id="0" w:name="_pdk8l6eqng8u" w:colFirst="0" w:colLast="0"/>
      <w:bookmarkEnd w:id="0"/>
      <w:r>
        <w:br w:type="page"/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2B55F824" wp14:editId="1C1D57D2">
            <wp:simplePos x="0" y="0"/>
            <wp:positionH relativeFrom="column">
              <wp:posOffset>-457199</wp:posOffset>
            </wp:positionH>
            <wp:positionV relativeFrom="paragraph">
              <wp:posOffset>-929438</wp:posOffset>
            </wp:positionV>
            <wp:extent cx="10704134" cy="10780313"/>
            <wp:effectExtent l="0" t="0" r="0" b="0"/>
            <wp:wrapNone/>
            <wp:docPr id="6" name="image1.png" descr="A blue and black gradi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ue and black gradient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04134" cy="10780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CBEC57E" wp14:editId="2DAB4113">
                <wp:simplePos x="0" y="0"/>
                <wp:positionH relativeFrom="column">
                  <wp:posOffset>203200</wp:posOffset>
                </wp:positionH>
                <wp:positionV relativeFrom="paragraph">
                  <wp:posOffset>1092200</wp:posOffset>
                </wp:positionV>
                <wp:extent cx="6711408" cy="7815379"/>
                <wp:effectExtent l="0" t="0" r="0" b="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95059" y="0"/>
                          <a:ext cx="6701883" cy="756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txbx>
                        <w:txbxContent>
                          <w:p w14:paraId="52282CCC" w14:textId="77777777" w:rsidR="00A34DAB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color w:val="FFFFFF"/>
                                <w:sz w:val="56"/>
                              </w:rPr>
                              <w:t>Project Nightingale</w:t>
                            </w:r>
                          </w:p>
                          <w:p w14:paraId="6A4B5F2E" w14:textId="77777777" w:rsidR="00A34DAB" w:rsidRDefault="00A34DAB">
                            <w:pPr>
                              <w:jc w:val="center"/>
                              <w:textDirection w:val="btLr"/>
                            </w:pPr>
                          </w:p>
                          <w:p w14:paraId="688F5614" w14:textId="77777777" w:rsidR="00A34DAB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FFFFFF"/>
                                <w:sz w:val="52"/>
                              </w:rPr>
                              <w:t xml:space="preserve"> ‘State of the Industry Briefing”</w:t>
                            </w:r>
                          </w:p>
                          <w:p w14:paraId="5DE62C75" w14:textId="77777777" w:rsidR="00A34DAB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FFFFFF"/>
                                <w:sz w:val="44"/>
                              </w:rPr>
                              <w:t>June 2025</w:t>
                            </w:r>
                          </w:p>
                          <w:p w14:paraId="6244739F" w14:textId="77777777" w:rsidR="00A34DAB" w:rsidRDefault="00A34DAB">
                            <w:pPr>
                              <w:spacing w:before="360" w:after="0" w:line="275" w:lineRule="auto"/>
                              <w:jc w:val="left"/>
                              <w:textDirection w:val="btLr"/>
                            </w:pPr>
                          </w:p>
                          <w:p w14:paraId="771482E9" w14:textId="77777777" w:rsidR="00A34DAB" w:rsidRDefault="00000000">
                            <w:pPr>
                              <w:spacing w:before="360" w:after="0"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52"/>
                              </w:rPr>
                              <w:t>Energy &amp; Utilities</w:t>
                            </w:r>
                          </w:p>
                          <w:p w14:paraId="68EF10EA" w14:textId="77777777" w:rsidR="00A34DAB" w:rsidRDefault="00A34DAB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</w:p>
                          <w:p w14:paraId="3668CCFB" w14:textId="77777777" w:rsidR="00A34DAB" w:rsidRDefault="00A34DAB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</w:p>
                          <w:p w14:paraId="6D8C8934" w14:textId="77777777" w:rsidR="00A34DAB" w:rsidRDefault="00A34DAB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</w:p>
                          <w:p w14:paraId="43788FCB" w14:textId="77777777" w:rsidR="00A34DAB" w:rsidRDefault="00A34DAB">
                            <w:pPr>
                              <w:textDirection w:val="btLr"/>
                            </w:pPr>
                          </w:p>
                          <w:p w14:paraId="03313AFD" w14:textId="77777777" w:rsidR="00A34DAB" w:rsidRDefault="00A34DAB">
                            <w:pPr>
                              <w:textDirection w:val="btLr"/>
                            </w:pPr>
                          </w:p>
                          <w:p w14:paraId="12B0A007" w14:textId="77777777" w:rsidR="00A34DAB" w:rsidRDefault="00A34DAB">
                            <w:pPr>
                              <w:textDirection w:val="btLr"/>
                            </w:pPr>
                          </w:p>
                          <w:p w14:paraId="1CF7F527" w14:textId="77777777" w:rsidR="00A34DAB" w:rsidRDefault="00A34DAB">
                            <w:pPr>
                              <w:textDirection w:val="btLr"/>
                            </w:pPr>
                          </w:p>
                          <w:p w14:paraId="6F84A405" w14:textId="77777777" w:rsidR="00A34DAB" w:rsidRDefault="00A34DAB">
                            <w:pPr>
                              <w:jc w:val="center"/>
                              <w:textDirection w:val="btLr"/>
                            </w:pPr>
                          </w:p>
                          <w:p w14:paraId="4E953F43" w14:textId="77777777" w:rsidR="00A34DAB" w:rsidRDefault="00A34DAB">
                            <w:pPr>
                              <w:jc w:val="center"/>
                              <w:textDirection w:val="btLr"/>
                            </w:pPr>
                          </w:p>
                          <w:p w14:paraId="4EA8D976" w14:textId="77777777" w:rsidR="00A34DAB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NCC Group Americas</w:t>
                            </w:r>
                          </w:p>
                          <w:p w14:paraId="3EAB61D4" w14:textId="77777777" w:rsidR="00A34DAB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Operational Technology Cyber Engineering (OTCE)</w:t>
                            </w:r>
                          </w:p>
                          <w:p w14:paraId="4FD4D350" w14:textId="77777777" w:rsidR="00A34DAB" w:rsidRDefault="00A34DAB">
                            <w:pPr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1092200</wp:posOffset>
                </wp:positionV>
                <wp:extent cx="6711408" cy="7815379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11408" cy="78153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1DEC48A0" wp14:editId="0CAAE9FC">
            <wp:simplePos x="0" y="0"/>
            <wp:positionH relativeFrom="column">
              <wp:posOffset>-395604</wp:posOffset>
            </wp:positionH>
            <wp:positionV relativeFrom="paragraph">
              <wp:posOffset>-389889</wp:posOffset>
            </wp:positionV>
            <wp:extent cx="952500" cy="1038225"/>
            <wp:effectExtent l="0" t="0" r="0" b="0"/>
            <wp:wrapNone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13DF2372" wp14:editId="725F770C">
            <wp:simplePos x="0" y="0"/>
            <wp:positionH relativeFrom="column">
              <wp:posOffset>4917719</wp:posOffset>
            </wp:positionH>
            <wp:positionV relativeFrom="paragraph">
              <wp:posOffset>0</wp:posOffset>
            </wp:positionV>
            <wp:extent cx="1940281" cy="654299"/>
            <wp:effectExtent l="0" t="0" r="0" b="0"/>
            <wp:wrapSquare wrapText="bothSides" distT="0" distB="0" distL="114300" distR="114300"/>
            <wp:docPr id="4" name="image2.png" descr="A black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ack and white logo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0281" cy="6542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A923597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b/>
          <w:sz w:val="22"/>
          <w:szCs w:val="22"/>
        </w:rPr>
      </w:pPr>
      <w:bookmarkStart w:id="1" w:name="_msmyyrrcwj1n" w:colFirst="0" w:colLast="0"/>
      <w:bookmarkEnd w:id="1"/>
    </w:p>
    <w:p w14:paraId="361EBCBF" w14:textId="77777777" w:rsidR="00A34DAB" w:rsidRDefault="00000000">
      <w:pPr>
        <w:keepNext/>
        <w:keepLines/>
        <w:widowControl/>
        <w:spacing w:before="400" w:after="0" w:line="276" w:lineRule="auto"/>
        <w:jc w:val="left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sz w:val="44"/>
          <w:szCs w:val="44"/>
        </w:rPr>
        <w:t>NCC Group</w:t>
      </w:r>
      <w:r>
        <w:rPr>
          <w:rFonts w:ascii="Calibri" w:eastAsia="Calibri" w:hAnsi="Calibri" w:cs="Calibri"/>
          <w:sz w:val="40"/>
          <w:szCs w:val="40"/>
        </w:rPr>
        <w:br/>
        <w:t>State of the Industry 2025-006</w:t>
      </w:r>
    </w:p>
    <w:p w14:paraId="543BAB86" w14:textId="77777777" w:rsidR="00A34DAB" w:rsidRDefault="00000000">
      <w:pPr>
        <w:keepNext/>
        <w:keepLines/>
        <w:widowControl/>
        <w:spacing w:before="360" w:after="0" w:line="276" w:lineRule="auto"/>
        <w:jc w:val="left"/>
        <w:rPr>
          <w:rFonts w:ascii="Calibri" w:eastAsia="Calibri" w:hAnsi="Calibri" w:cs="Calibri"/>
          <w:sz w:val="32"/>
          <w:szCs w:val="32"/>
        </w:rPr>
      </w:pPr>
      <w:bookmarkStart w:id="2" w:name="_b3fpcssvp4k1" w:colFirst="0" w:colLast="0"/>
      <w:bookmarkEnd w:id="2"/>
      <w:r>
        <w:rPr>
          <w:rFonts w:ascii="Calibri" w:eastAsia="Calibri" w:hAnsi="Calibri" w:cs="Calibri"/>
          <w:b/>
          <w:sz w:val="36"/>
          <w:szCs w:val="36"/>
        </w:rPr>
        <w:t xml:space="preserve">Energy &amp; Utilities </w:t>
      </w:r>
      <w:r>
        <w:rPr>
          <w:rFonts w:ascii="Calibri" w:eastAsia="Calibri" w:hAnsi="Calibri" w:cs="Calibri"/>
          <w:b/>
          <w:sz w:val="36"/>
          <w:szCs w:val="36"/>
        </w:rPr>
        <w:br/>
      </w:r>
      <w:r>
        <w:rPr>
          <w:rFonts w:ascii="Calibri" w:eastAsia="Calibri" w:hAnsi="Calibri" w:cs="Calibri"/>
          <w:b/>
          <w:sz w:val="32"/>
          <w:szCs w:val="32"/>
        </w:rPr>
        <w:br/>
      </w:r>
    </w:p>
    <w:p w14:paraId="1030201B" w14:textId="77777777" w:rsidR="00A34DAB" w:rsidRDefault="00A34DAB">
      <w:pPr>
        <w:keepNext/>
        <w:keepLines/>
        <w:widowControl/>
        <w:spacing w:before="360" w:after="0" w:line="276" w:lineRule="auto"/>
        <w:jc w:val="left"/>
        <w:rPr>
          <w:rFonts w:ascii="Calibri" w:eastAsia="Calibri" w:hAnsi="Calibri" w:cs="Calibri"/>
          <w:sz w:val="32"/>
          <w:szCs w:val="32"/>
        </w:rPr>
      </w:pPr>
    </w:p>
    <w:p w14:paraId="214C58EB" w14:textId="77777777" w:rsidR="00A34DAB" w:rsidRDefault="00A34DAB">
      <w:pPr>
        <w:keepNext/>
        <w:keepLines/>
        <w:widowControl/>
        <w:spacing w:before="360" w:after="0" w:line="276" w:lineRule="auto"/>
        <w:jc w:val="left"/>
        <w:rPr>
          <w:rFonts w:ascii="Calibri" w:eastAsia="Calibri" w:hAnsi="Calibri" w:cs="Calibri"/>
          <w:sz w:val="28"/>
          <w:szCs w:val="28"/>
        </w:rPr>
      </w:pPr>
    </w:p>
    <w:p w14:paraId="08FBF030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443A197C" w14:textId="77777777" w:rsidR="00A34DAB" w:rsidRDefault="00A34DAB">
      <w:pPr>
        <w:keepNext/>
        <w:keepLines/>
        <w:widowControl/>
        <w:spacing w:before="360" w:after="0" w:line="276" w:lineRule="auto"/>
        <w:jc w:val="left"/>
        <w:rPr>
          <w:rFonts w:ascii="Calibri" w:eastAsia="Calibri" w:hAnsi="Calibri" w:cs="Calibri"/>
          <w:sz w:val="32"/>
          <w:szCs w:val="32"/>
        </w:rPr>
      </w:pPr>
    </w:p>
    <w:p w14:paraId="03F07ECB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b/>
          <w:sz w:val="22"/>
          <w:szCs w:val="22"/>
        </w:rPr>
      </w:pPr>
    </w:p>
    <w:p w14:paraId="3C3CF5EE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b/>
          <w:sz w:val="22"/>
          <w:szCs w:val="22"/>
        </w:rPr>
      </w:pPr>
    </w:p>
    <w:p w14:paraId="09B3908B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b/>
          <w:sz w:val="22"/>
          <w:szCs w:val="22"/>
        </w:rPr>
      </w:pPr>
    </w:p>
    <w:p w14:paraId="48BCD93F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b/>
          <w:sz w:val="22"/>
          <w:szCs w:val="22"/>
        </w:rPr>
      </w:pPr>
    </w:p>
    <w:p w14:paraId="0FE71AEF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b/>
          <w:sz w:val="22"/>
          <w:szCs w:val="22"/>
        </w:rPr>
      </w:pPr>
    </w:p>
    <w:p w14:paraId="3000FC85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b/>
          <w:sz w:val="22"/>
          <w:szCs w:val="22"/>
        </w:rPr>
      </w:pPr>
    </w:p>
    <w:p w14:paraId="30E44EE9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b/>
          <w:sz w:val="22"/>
          <w:szCs w:val="22"/>
        </w:rPr>
      </w:pPr>
    </w:p>
    <w:p w14:paraId="41B41D42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b/>
          <w:sz w:val="22"/>
          <w:szCs w:val="22"/>
        </w:rPr>
      </w:pPr>
    </w:p>
    <w:p w14:paraId="35D333EF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b/>
          <w:sz w:val="22"/>
          <w:szCs w:val="22"/>
        </w:rPr>
      </w:pPr>
    </w:p>
    <w:p w14:paraId="027C3231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b/>
          <w:sz w:val="22"/>
          <w:szCs w:val="22"/>
        </w:rPr>
      </w:pPr>
    </w:p>
    <w:p w14:paraId="719E3786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b/>
          <w:sz w:val="22"/>
          <w:szCs w:val="22"/>
        </w:rPr>
      </w:pPr>
    </w:p>
    <w:p w14:paraId="5DC4F296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b/>
          <w:sz w:val="22"/>
          <w:szCs w:val="22"/>
        </w:rPr>
      </w:pPr>
    </w:p>
    <w:p w14:paraId="679B4C6A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b/>
          <w:sz w:val="22"/>
          <w:szCs w:val="22"/>
        </w:rPr>
      </w:pPr>
    </w:p>
    <w:p w14:paraId="4BCF7C3D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b/>
          <w:sz w:val="22"/>
          <w:szCs w:val="22"/>
        </w:rPr>
      </w:pPr>
    </w:p>
    <w:p w14:paraId="71DE020E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b/>
          <w:sz w:val="22"/>
          <w:szCs w:val="22"/>
        </w:rPr>
      </w:pPr>
    </w:p>
    <w:p w14:paraId="6D01C161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b/>
          <w:sz w:val="22"/>
          <w:szCs w:val="22"/>
        </w:rPr>
      </w:pPr>
    </w:p>
    <w:p w14:paraId="77648E76" w14:textId="77777777" w:rsidR="00A34DAB" w:rsidRDefault="00000000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Classification:</w:t>
      </w:r>
      <w:r>
        <w:rPr>
          <w:rFonts w:ascii="Calibri" w:eastAsia="Calibri" w:hAnsi="Calibri" w:cs="Calibri"/>
          <w:sz w:val="22"/>
          <w:szCs w:val="22"/>
        </w:rPr>
        <w:t xml:space="preserve"> Project Nightingale Intelligence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b/>
          <w:sz w:val="22"/>
          <w:szCs w:val="22"/>
        </w:rPr>
        <w:t>Publisher:</w:t>
      </w:r>
      <w:r>
        <w:rPr>
          <w:rFonts w:ascii="Calibri" w:eastAsia="Calibri" w:hAnsi="Calibri" w:cs="Calibri"/>
          <w:sz w:val="22"/>
          <w:szCs w:val="22"/>
        </w:rPr>
        <w:t xml:space="preserve"> NCC Group OTCE 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b/>
          <w:sz w:val="22"/>
          <w:szCs w:val="22"/>
        </w:rPr>
        <w:t>Prepared for:</w:t>
      </w:r>
      <w:r>
        <w:rPr>
          <w:rFonts w:ascii="Calibri" w:eastAsia="Calibri" w:hAnsi="Calibri" w:cs="Calibri"/>
          <w:sz w:val="22"/>
          <w:szCs w:val="22"/>
        </w:rPr>
        <w:t xml:space="preserve"> Energy &amp; Utilities Sector Leadership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b/>
          <w:sz w:val="22"/>
          <w:szCs w:val="22"/>
        </w:rPr>
        <w:t>Release:</w:t>
      </w:r>
      <w:r>
        <w:rPr>
          <w:rFonts w:ascii="Calibri" w:eastAsia="Calibri" w:hAnsi="Calibri" w:cs="Calibri"/>
          <w:sz w:val="22"/>
          <w:szCs w:val="22"/>
        </w:rPr>
        <w:t xml:space="preserve">  June, 2025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b/>
          <w:sz w:val="22"/>
          <w:szCs w:val="22"/>
        </w:rPr>
        <w:t>Sector Relevance:</w:t>
      </w:r>
      <w:r>
        <w:rPr>
          <w:rFonts w:ascii="Calibri" w:eastAsia="Calibri" w:hAnsi="Calibri" w:cs="Calibri"/>
          <w:sz w:val="22"/>
          <w:szCs w:val="22"/>
        </w:rPr>
        <w:t xml:space="preserve"> Energy Generation, Transmission, Distribution, Oil &amp; Gas, Water &amp; Wastewater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b/>
          <w:sz w:val="22"/>
          <w:szCs w:val="22"/>
        </w:rPr>
        <w:t>Geographic Relevance:</w:t>
      </w:r>
      <w:r>
        <w:rPr>
          <w:rFonts w:ascii="Calibri" w:eastAsia="Calibri" w:hAnsi="Calibri" w:cs="Calibri"/>
          <w:sz w:val="22"/>
          <w:szCs w:val="22"/>
        </w:rPr>
        <w:t xml:space="preserve"> Global with U.S. Critical Infrastructure Focus</w:t>
      </w:r>
    </w:p>
    <w:p w14:paraId="67BA382E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6E0A2B87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1734CCB0" w14:textId="77777777" w:rsidR="00A34DAB" w:rsidRDefault="00000000">
      <w:pPr>
        <w:widowControl/>
        <w:spacing w:after="0" w:line="276" w:lineRule="auto"/>
        <w:jc w:val="left"/>
        <w:rPr>
          <w:rFonts w:ascii="Calibri" w:eastAsia="Calibri" w:hAnsi="Calibri" w:cs="Calibri"/>
          <w:b/>
          <w:sz w:val="32"/>
          <w:szCs w:val="32"/>
        </w:rPr>
      </w:pPr>
      <w:bookmarkStart w:id="3" w:name="_wgm5timsx4jg" w:colFirst="0" w:colLast="0"/>
      <w:bookmarkEnd w:id="3"/>
      <w:r>
        <w:rPr>
          <w:rFonts w:ascii="Calibri" w:eastAsia="Calibri" w:hAnsi="Calibri" w:cs="Calibri"/>
          <w:b/>
          <w:sz w:val="32"/>
          <w:szCs w:val="32"/>
        </w:rPr>
        <w:lastRenderedPageBreak/>
        <w:t>Energy &amp; Utilities</w:t>
      </w:r>
    </w:p>
    <w:p w14:paraId="5F9D2C1D" w14:textId="77777777" w:rsidR="00A34DAB" w:rsidRDefault="00000000">
      <w:pPr>
        <w:widowControl/>
        <w:spacing w:after="0" w:line="276" w:lineRule="auto"/>
        <w:jc w:val="left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State of the Industry Report, June 2025</w:t>
      </w:r>
    </w:p>
    <w:p w14:paraId="2BB24CDF" w14:textId="77777777" w:rsidR="00A34DAB" w:rsidRDefault="00000000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Author:</w:t>
      </w:r>
      <w:r>
        <w:rPr>
          <w:rFonts w:ascii="Calibri" w:eastAsia="Calibri" w:hAnsi="Calibri" w:cs="Calibri"/>
          <w:sz w:val="22"/>
          <w:szCs w:val="22"/>
        </w:rPr>
        <w:t xml:space="preserve"> Jim McKenney, Director OTCE Americas, NCC Group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b/>
          <w:sz w:val="22"/>
          <w:szCs w:val="22"/>
        </w:rPr>
        <w:t>Date:</w:t>
      </w:r>
      <w:r>
        <w:rPr>
          <w:rFonts w:ascii="Calibri" w:eastAsia="Calibri" w:hAnsi="Calibri" w:cs="Calibri"/>
          <w:sz w:val="22"/>
          <w:szCs w:val="22"/>
        </w:rPr>
        <w:t xml:space="preserve"> June 2025</w:t>
      </w:r>
    </w:p>
    <w:p w14:paraId="723BD5E9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7C8A2FBF" w14:textId="77777777" w:rsidR="00A34DAB" w:rsidRDefault="00000000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  <w:r>
        <w:pict w14:anchorId="5366EEC2">
          <v:rect id="_x0000_i1025" style="width:0;height:1.5pt" o:hralign="center" o:hrstd="t" o:hr="t" fillcolor="#a0a0a0" stroked="f"/>
        </w:pict>
      </w:r>
    </w:p>
    <w:p w14:paraId="5C56A600" w14:textId="77777777" w:rsidR="00A34DAB" w:rsidRDefault="00000000">
      <w:pPr>
        <w:pStyle w:val="Heading1"/>
      </w:pPr>
      <w:r>
        <w:t>Executive Summary</w:t>
      </w:r>
    </w:p>
    <w:p w14:paraId="032B3255" w14:textId="77777777" w:rsidR="00A34DAB" w:rsidRDefault="00000000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  <w:bookmarkStart w:id="4" w:name="_wb58ebz89fen" w:colFirst="0" w:colLast="0"/>
      <w:bookmarkEnd w:id="4"/>
      <w:r>
        <w:rPr>
          <w:rFonts w:ascii="Calibri" w:eastAsia="Calibri" w:hAnsi="Calibri" w:cs="Calibri"/>
          <w:sz w:val="22"/>
          <w:szCs w:val="22"/>
        </w:rPr>
        <w:t>The 2025 threat landscape for energy and utilities represents an unprecedented convergence of sophisticated nation-state capabilities, purpose-built industrial malware, and geopolitical tensions driving operational disruption campaigns. With the energy sector ranking #2 in critical infrastructure targeting and experiencing a 200% increase in ICS-specific malware, immediate action is required to protect operational continuity and national security.</w:t>
      </w:r>
    </w:p>
    <w:p w14:paraId="2B36A2AC" w14:textId="77777777" w:rsidR="00A34DAB" w:rsidRDefault="00000000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  <w:bookmarkStart w:id="5" w:name="_yj3ora5lo5p9" w:colFirst="0" w:colLast="0"/>
      <w:bookmarkEnd w:id="5"/>
      <w:r>
        <w:pict w14:anchorId="2EE27BCB">
          <v:rect id="_x0000_i1026" style="width:0;height:1.5pt" o:hralign="center" o:hrstd="t" o:hr="t" fillcolor="#a0a0a0" stroked="f"/>
        </w:pict>
      </w:r>
    </w:p>
    <w:p w14:paraId="6A0B7860" w14:textId="77777777" w:rsidR="00A34DAB" w:rsidRDefault="00000000">
      <w:pPr>
        <w:pStyle w:val="Heading2"/>
      </w:pPr>
      <w:r>
        <w:t xml:space="preserve">The Current Energy Threat Landscape </w:t>
      </w:r>
    </w:p>
    <w:tbl>
      <w:tblPr>
        <w:tblStyle w:val="a"/>
        <w:tblW w:w="9360" w:type="dxa"/>
        <w:jc w:val="center"/>
        <w:tblInd w:w="0" w:type="dxa"/>
        <w:tblBorders>
          <w:top w:val="single" w:sz="4" w:space="0" w:color="666666"/>
          <w:bottom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A34DAB" w14:paraId="47BAA28F" w14:textId="77777777" w:rsidTr="00A34DAB">
        <w:trPr>
          <w:jc w:val="center"/>
        </w:trPr>
        <w:tc>
          <w:tcPr>
            <w:tcW w:w="2340" w:type="dxa"/>
          </w:tcPr>
          <w:p w14:paraId="5515EE30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Metric</w:t>
            </w:r>
          </w:p>
        </w:tc>
        <w:tc>
          <w:tcPr>
            <w:tcW w:w="2340" w:type="dxa"/>
          </w:tcPr>
          <w:p w14:paraId="455F962E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2024 Data</w:t>
            </w:r>
          </w:p>
        </w:tc>
        <w:tc>
          <w:tcPr>
            <w:tcW w:w="2340" w:type="dxa"/>
          </w:tcPr>
          <w:p w14:paraId="7F114E61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Trend</w:t>
            </w:r>
          </w:p>
        </w:tc>
        <w:tc>
          <w:tcPr>
            <w:tcW w:w="2340" w:type="dxa"/>
          </w:tcPr>
          <w:p w14:paraId="55F8E01D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Impact Level</w:t>
            </w:r>
          </w:p>
        </w:tc>
      </w:tr>
      <w:tr w:rsidR="00A34DAB" w14:paraId="3C1C6BBF" w14:textId="77777777" w:rsidTr="00A34DAB">
        <w:trPr>
          <w:jc w:val="center"/>
        </w:trPr>
        <w:tc>
          <w:tcPr>
            <w:tcW w:w="2340" w:type="dxa"/>
          </w:tcPr>
          <w:p w14:paraId="5DFB229C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Energy Sector Attack Incidents</w:t>
            </w:r>
          </w:p>
        </w:tc>
        <w:tc>
          <w:tcPr>
            <w:tcW w:w="2340" w:type="dxa"/>
          </w:tcPr>
          <w:p w14:paraId="066BB2A3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174 confirmed attacks</w:t>
            </w:r>
          </w:p>
        </w:tc>
        <w:tc>
          <w:tcPr>
            <w:tcW w:w="2340" w:type="dxa"/>
          </w:tcPr>
          <w:p w14:paraId="6CB0C345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↗️ +23% YoY</w:t>
            </w:r>
          </w:p>
        </w:tc>
        <w:tc>
          <w:tcPr>
            <w:tcW w:w="2340" w:type="dxa"/>
          </w:tcPr>
          <w:p w14:paraId="544026C6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CRITICAL</w:t>
            </w:r>
          </w:p>
        </w:tc>
      </w:tr>
      <w:tr w:rsidR="00A34DAB" w14:paraId="45D3D072" w14:textId="77777777" w:rsidTr="00A34DAB">
        <w:trPr>
          <w:jc w:val="center"/>
        </w:trPr>
        <w:tc>
          <w:tcPr>
            <w:tcW w:w="2340" w:type="dxa"/>
          </w:tcPr>
          <w:p w14:paraId="295E54DB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OT-Targeted Threat Groups</w:t>
            </w:r>
          </w:p>
        </w:tc>
        <w:tc>
          <w:tcPr>
            <w:tcW w:w="2340" w:type="dxa"/>
          </w:tcPr>
          <w:p w14:paraId="22EA2090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 active groups</w:t>
            </w:r>
          </w:p>
        </w:tc>
        <w:tc>
          <w:tcPr>
            <w:tcW w:w="2340" w:type="dxa"/>
          </w:tcPr>
          <w:p w14:paraId="0AF00756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↗️ +2 new groups</w:t>
            </w:r>
          </w:p>
        </w:tc>
        <w:tc>
          <w:tcPr>
            <w:tcW w:w="2340" w:type="dxa"/>
          </w:tcPr>
          <w:p w14:paraId="35562B9C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HIGH</w:t>
            </w:r>
          </w:p>
        </w:tc>
      </w:tr>
      <w:tr w:rsidR="00A34DAB" w14:paraId="77ECE799" w14:textId="77777777" w:rsidTr="00A34DAB">
        <w:trPr>
          <w:jc w:val="center"/>
        </w:trPr>
        <w:tc>
          <w:tcPr>
            <w:tcW w:w="2340" w:type="dxa"/>
          </w:tcPr>
          <w:p w14:paraId="69F077E8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ICS Malware Campaigns</w:t>
            </w:r>
          </w:p>
        </w:tc>
        <w:tc>
          <w:tcPr>
            <w:tcW w:w="2340" w:type="dxa"/>
          </w:tcPr>
          <w:p w14:paraId="4934FEF5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 new malware families</w:t>
            </w:r>
          </w:p>
        </w:tc>
        <w:tc>
          <w:tcPr>
            <w:tcW w:w="2340" w:type="dxa"/>
          </w:tcPr>
          <w:p w14:paraId="1125EAA1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↗️ +200%</w:t>
            </w:r>
          </w:p>
        </w:tc>
        <w:tc>
          <w:tcPr>
            <w:tcW w:w="2340" w:type="dxa"/>
          </w:tcPr>
          <w:p w14:paraId="76A6CBFF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CRITICAL</w:t>
            </w:r>
          </w:p>
        </w:tc>
      </w:tr>
      <w:tr w:rsidR="00A34DAB" w14:paraId="656EF078" w14:textId="77777777" w:rsidTr="00A34DAB">
        <w:trPr>
          <w:jc w:val="center"/>
        </w:trPr>
        <w:tc>
          <w:tcPr>
            <w:tcW w:w="2340" w:type="dxa"/>
          </w:tcPr>
          <w:p w14:paraId="567DE36C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Wireless Network Vulnerabilities</w:t>
            </w:r>
          </w:p>
        </w:tc>
        <w:tc>
          <w:tcPr>
            <w:tcW w:w="2340" w:type="dxa"/>
          </w:tcPr>
          <w:p w14:paraId="368A9667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94% unprotected</w:t>
            </w:r>
          </w:p>
        </w:tc>
        <w:tc>
          <w:tcPr>
            <w:tcW w:w="2340" w:type="dxa"/>
          </w:tcPr>
          <w:p w14:paraId="7DB8C408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↔️ Persistent gap</w:t>
            </w:r>
          </w:p>
        </w:tc>
        <w:tc>
          <w:tcPr>
            <w:tcW w:w="2340" w:type="dxa"/>
          </w:tcPr>
          <w:p w14:paraId="34456636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HIGH</w:t>
            </w:r>
          </w:p>
        </w:tc>
      </w:tr>
      <w:tr w:rsidR="00A34DAB" w14:paraId="7DA084EC" w14:textId="77777777" w:rsidTr="00A34DAB">
        <w:trPr>
          <w:jc w:val="center"/>
        </w:trPr>
        <w:tc>
          <w:tcPr>
            <w:tcW w:w="2340" w:type="dxa"/>
          </w:tcPr>
          <w:p w14:paraId="6C0C170A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Ransomware Against Industrial Orgs</w:t>
            </w:r>
          </w:p>
        </w:tc>
        <w:tc>
          <w:tcPr>
            <w:tcW w:w="2340" w:type="dxa"/>
          </w:tcPr>
          <w:p w14:paraId="26DCC69B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87% increase</w:t>
            </w:r>
          </w:p>
        </w:tc>
        <w:tc>
          <w:tcPr>
            <w:tcW w:w="2340" w:type="dxa"/>
          </w:tcPr>
          <w:p w14:paraId="7EBBF867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↗️ Major escalation</w:t>
            </w:r>
          </w:p>
        </w:tc>
        <w:tc>
          <w:tcPr>
            <w:tcW w:w="2340" w:type="dxa"/>
          </w:tcPr>
          <w:p w14:paraId="0C358E4B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CRITICAL</w:t>
            </w:r>
          </w:p>
        </w:tc>
      </w:tr>
    </w:tbl>
    <w:p w14:paraId="12183BFC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46C1FBE7" w14:textId="77777777" w:rsidR="00A34DAB" w:rsidRDefault="00000000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  <w:bookmarkStart w:id="6" w:name="_kwow3iye6z7l" w:colFirst="0" w:colLast="0"/>
      <w:bookmarkEnd w:id="6"/>
      <w:r>
        <w:rPr>
          <w:rFonts w:ascii="Calibri" w:eastAsia="Calibri" w:hAnsi="Calibri" w:cs="Calibri"/>
          <w:b/>
          <w:color w:val="002060"/>
          <w:sz w:val="24"/>
          <w:szCs w:val="24"/>
        </w:rPr>
        <w:t>CRITICAL FINDING</w:t>
      </w:r>
      <w:r>
        <w:rPr>
          <w:rFonts w:ascii="Calibri" w:eastAsia="Calibri" w:hAnsi="Calibri" w:cs="Calibri"/>
          <w:sz w:val="22"/>
          <w:szCs w:val="22"/>
        </w:rPr>
        <w:t xml:space="preserve">: </w:t>
      </w:r>
      <w:r>
        <w:rPr>
          <w:rFonts w:ascii="Calibri" w:eastAsia="Calibri" w:hAnsi="Calibri" w:cs="Calibri"/>
          <w:b/>
          <w:color w:val="1F497D"/>
          <w:sz w:val="22"/>
          <w:szCs w:val="22"/>
        </w:rPr>
        <w:t>The energy sector ranks #2 in the most targeted critical infrastructure sectors globally</w:t>
      </w:r>
      <w:r>
        <w:rPr>
          <w:rFonts w:ascii="Calibri" w:eastAsia="Calibri" w:hAnsi="Calibri" w:cs="Calibri"/>
          <w:sz w:val="22"/>
          <w:szCs w:val="22"/>
        </w:rPr>
        <w:t xml:space="preserve">, with operational technology (OT) environments experiencing </w:t>
      </w:r>
      <w:r>
        <w:rPr>
          <w:rFonts w:ascii="Calibri" w:eastAsia="Calibri" w:hAnsi="Calibri" w:cs="Calibri"/>
          <w:color w:val="1F497D"/>
          <w:sz w:val="22"/>
          <w:szCs w:val="22"/>
        </w:rPr>
        <w:t xml:space="preserve">a 200% increase in purpose-built malware </w:t>
      </w:r>
      <w:r>
        <w:rPr>
          <w:rFonts w:ascii="Calibri" w:eastAsia="Calibri" w:hAnsi="Calibri" w:cs="Calibri"/>
          <w:sz w:val="22"/>
          <w:szCs w:val="22"/>
        </w:rPr>
        <w:t>targeting industrial control systems.</w:t>
      </w:r>
    </w:p>
    <w:p w14:paraId="1AE9A017" w14:textId="77777777" w:rsidR="00A34DAB" w:rsidRDefault="00000000">
      <w:pPr>
        <w:pStyle w:val="Heading2"/>
      </w:pPr>
      <w:r>
        <w:t>Strategic Imperatives</w:t>
      </w:r>
    </w:p>
    <w:p w14:paraId="0FAF5DA9" w14:textId="77777777" w:rsidR="00A34DAB" w:rsidRDefault="00000000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Immediate Threat Response</w:t>
      </w:r>
      <w:r>
        <w:rPr>
          <w:rFonts w:ascii="Calibri" w:eastAsia="Calibri" w:hAnsi="Calibri" w:cs="Calibri"/>
          <w:color w:val="000000"/>
          <w:sz w:val="22"/>
          <w:szCs w:val="22"/>
        </w:rPr>
        <w:t>: VOLTZITE pre-positioning activities require urgent detection and mitigation capabilities deployment</w:t>
      </w:r>
    </w:p>
    <w:p w14:paraId="55A8E4ED" w14:textId="77777777" w:rsidR="00A34DAB" w:rsidRDefault="00000000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Operational Technology Protection</w:t>
      </w:r>
      <w:r>
        <w:rPr>
          <w:rFonts w:ascii="Calibri" w:eastAsia="Calibri" w:hAnsi="Calibri" w:cs="Calibri"/>
          <w:color w:val="000000"/>
          <w:sz w:val="22"/>
          <w:szCs w:val="22"/>
        </w:rPr>
        <w:t>: 94% wireless network vulnerability and 70% deep OT network exposure demand comprehensive security enhancement</w:t>
      </w:r>
    </w:p>
    <w:p w14:paraId="4B632B58" w14:textId="77777777" w:rsidR="00A34DAB" w:rsidRDefault="00000000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Safety-Security Integration</w:t>
      </w:r>
      <w:r>
        <w:rPr>
          <w:rFonts w:ascii="Calibri" w:eastAsia="Calibri" w:hAnsi="Calibri" w:cs="Calibri"/>
          <w:color w:val="000000"/>
          <w:sz w:val="22"/>
          <w:szCs w:val="22"/>
        </w:rPr>
        <w:t>: Industrial malware demonstrating real-world operational impact necessitates safety-security convergence approach</w:t>
      </w:r>
    </w:p>
    <w:p w14:paraId="3682A13E" w14:textId="77777777" w:rsidR="00A34DAB" w:rsidRDefault="00000000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Tri-Partner Solution Deployment</w:t>
      </w:r>
      <w:r>
        <w:rPr>
          <w:rFonts w:ascii="Calibri" w:eastAsia="Calibri" w:hAnsi="Calibri" w:cs="Calibri"/>
          <w:color w:val="000000"/>
          <w:sz w:val="22"/>
          <w:szCs w:val="22"/>
        </w:rPr>
        <w:t>: Comprehensive protection requires integrated NCC OTCE + Dragos + Adelard capabilities for complete OT security coverage</w:t>
      </w:r>
    </w:p>
    <w:p w14:paraId="4C708BEF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14B52372" w14:textId="77777777" w:rsidR="00A34DAB" w:rsidRDefault="00000000">
      <w:pPr>
        <w:widowControl/>
        <w:spacing w:after="0" w:line="276" w:lineRule="auto"/>
        <w:jc w:val="left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color w:val="244061"/>
          <w:sz w:val="22"/>
          <w:szCs w:val="22"/>
        </w:rPr>
        <w:t>The window for proactive cybersecurity enhancement is narrowing as adversaries demonstrate increasing operational impact capabilities. Organizations must act decisively to implement comprehensive OT security measures before experiencing operational disruption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41D9B2B" w14:textId="77777777" w:rsidR="00A34DAB" w:rsidRDefault="00000000">
      <w:pPr>
        <w:pStyle w:val="Heading1"/>
      </w:pPr>
      <w:r>
        <w:lastRenderedPageBreak/>
        <w:t>Current Threat Intelligence (June 2025)</w:t>
      </w:r>
    </w:p>
    <w:p w14:paraId="7ED6706C" w14:textId="77777777" w:rsidR="00A34DAB" w:rsidRDefault="00000000">
      <w:pPr>
        <w:pStyle w:val="Heading2"/>
      </w:pPr>
      <w:bookmarkStart w:id="7" w:name="_d4z4bk9g2avf" w:colFirst="0" w:colLast="0"/>
      <w:bookmarkEnd w:id="7"/>
      <w:r>
        <w:t>Active Campaigns</w:t>
      </w:r>
    </w:p>
    <w:p w14:paraId="03A3DB18" w14:textId="77777777" w:rsidR="00A34DAB" w:rsidRDefault="00000000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VOLTZITE (Volt Typhoon)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EE0000"/>
          <w:sz w:val="22"/>
          <w:szCs w:val="22"/>
        </w:rPr>
        <w:t>continues targeting U.S. electric utilities with pre-positioning capabilities</w:t>
      </w:r>
    </w:p>
    <w:p w14:paraId="4018E4EF" w14:textId="77777777" w:rsidR="00A34DAB" w:rsidRDefault="00000000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KAMACITE/ELECTRUM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groups demonstrate </w:t>
      </w:r>
      <w:r>
        <w:rPr>
          <w:rFonts w:ascii="Calibri" w:eastAsia="Calibri" w:hAnsi="Calibri" w:cs="Calibri"/>
          <w:color w:val="EE0000"/>
          <w:sz w:val="22"/>
          <w:szCs w:val="22"/>
        </w:rPr>
        <w:t>advanced grid disruption capabilitie</w:t>
      </w:r>
      <w:r>
        <w:rPr>
          <w:rFonts w:ascii="Calibri" w:eastAsia="Calibri" w:hAnsi="Calibri" w:cs="Calibri"/>
          <w:color w:val="000000"/>
          <w:sz w:val="22"/>
          <w:szCs w:val="22"/>
        </w:rPr>
        <w:t>s against Ukrainian infrastructure</w:t>
      </w:r>
    </w:p>
    <w:p w14:paraId="16138E07" w14:textId="77777777" w:rsidR="00A34DAB" w:rsidRDefault="00000000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BAUXITE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(pro-Iranian) actively targeting oil &amp; gas, electric, and water &amp; wastewater systems</w:t>
      </w:r>
    </w:p>
    <w:p w14:paraId="073C56EC" w14:textId="77777777" w:rsidR="00A34DAB" w:rsidRDefault="00A34DAB">
      <w:pPr>
        <w:rPr>
          <w:rFonts w:ascii="Calibri" w:eastAsia="Calibri" w:hAnsi="Calibri" w:cs="Calibri"/>
        </w:rPr>
      </w:pPr>
    </w:p>
    <w:p w14:paraId="30DF4DF0" w14:textId="77777777" w:rsidR="00A34DAB" w:rsidRDefault="00000000">
      <w:pPr>
        <w:pStyle w:val="Heading3"/>
      </w:pPr>
      <w:r>
        <w:t>VOLTZITE Activity</w:t>
      </w:r>
    </w:p>
    <w:p w14:paraId="01BDBE7E" w14:textId="77777777" w:rsidR="00A34DAB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Ongoing Operations</w:t>
      </w:r>
      <w:r>
        <w:rPr>
          <w:rFonts w:ascii="Calibri" w:eastAsia="Calibri" w:hAnsi="Calibri" w:cs="Calibri"/>
          <w:color w:val="000000"/>
          <w:sz w:val="22"/>
          <w:szCs w:val="22"/>
        </w:rPr>
        <w:t>: Multiple U.S. electric utility penetrations maintained</w:t>
      </w:r>
    </w:p>
    <w:p w14:paraId="67419421" w14:textId="77777777" w:rsidR="00A34DAB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Technique Evolution</w:t>
      </w:r>
      <w:r>
        <w:rPr>
          <w:rFonts w:ascii="Calibri" w:eastAsia="Calibri" w:hAnsi="Calibri" w:cs="Calibri"/>
          <w:color w:val="000000"/>
          <w:sz w:val="22"/>
          <w:szCs w:val="22"/>
        </w:rPr>
        <w:t>: Increased focus on OT network lateral movement</w:t>
      </w:r>
    </w:p>
    <w:p w14:paraId="59DCA435" w14:textId="77777777" w:rsidR="00A34DAB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Intelligence Assessment</w:t>
      </w:r>
      <w:r>
        <w:rPr>
          <w:rFonts w:ascii="Calibri" w:eastAsia="Calibri" w:hAnsi="Calibri" w:cs="Calibri"/>
          <w:color w:val="000000"/>
          <w:sz w:val="22"/>
          <w:szCs w:val="22"/>
        </w:rPr>
        <w:t>: Preparing for potential wartime infrastructure disruption</w:t>
      </w:r>
    </w:p>
    <w:p w14:paraId="00947D85" w14:textId="77777777" w:rsidR="00A34DAB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Mitigation Priority</w:t>
      </w:r>
      <w:r>
        <w:rPr>
          <w:rFonts w:ascii="Calibri" w:eastAsia="Calibri" w:hAnsi="Calibri" w:cs="Calibri"/>
          <w:color w:val="000000"/>
          <w:sz w:val="22"/>
          <w:szCs w:val="22"/>
        </w:rPr>
        <w:t>: CRITICAL - Immediate detection and response required</w:t>
      </w:r>
    </w:p>
    <w:p w14:paraId="5B9FF8E2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231BDE54" w14:textId="77777777" w:rsidR="00A34DAB" w:rsidRDefault="00000000">
      <w:pPr>
        <w:pStyle w:val="Heading3"/>
      </w:pPr>
      <w:r>
        <w:t>Industrial Malware Evolution</w:t>
      </w:r>
    </w:p>
    <w:p w14:paraId="7F2D14DA" w14:textId="77777777" w:rsidR="00A34DAB" w:rsidRDefault="00000000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color w:val="000000"/>
          <w:sz w:val="22"/>
          <w:szCs w:val="22"/>
        </w:rPr>
        <w:t>FrostyGoop</w:t>
      </w:r>
      <w:proofErr w:type="spellEnd"/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Variants</w:t>
      </w:r>
      <w:r>
        <w:rPr>
          <w:rFonts w:ascii="Calibri" w:eastAsia="Calibri" w:hAnsi="Calibri" w:cs="Calibri"/>
          <w:color w:val="000000"/>
          <w:sz w:val="22"/>
          <w:szCs w:val="22"/>
        </w:rPr>
        <w:t>: Adaptive targeting of heating infrastructure</w:t>
      </w:r>
    </w:p>
    <w:p w14:paraId="7F85F550" w14:textId="77777777" w:rsidR="00A34DAB" w:rsidRDefault="00000000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Protocol Exploitation</w:t>
      </w:r>
      <w:r>
        <w:rPr>
          <w:rFonts w:ascii="Calibri" w:eastAsia="Calibri" w:hAnsi="Calibri" w:cs="Calibri"/>
          <w:color w:val="000000"/>
          <w:sz w:val="22"/>
          <w:szCs w:val="22"/>
        </w:rPr>
        <w:t>: Increasing sophistication in legitimate protocol abuse</w:t>
      </w:r>
    </w:p>
    <w:p w14:paraId="512103A9" w14:textId="77777777" w:rsidR="00A34DAB" w:rsidRDefault="00000000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Detection Evasion</w:t>
      </w:r>
      <w:r>
        <w:rPr>
          <w:rFonts w:ascii="Calibri" w:eastAsia="Calibri" w:hAnsi="Calibri" w:cs="Calibri"/>
          <w:color w:val="000000"/>
          <w:sz w:val="22"/>
          <w:szCs w:val="22"/>
        </w:rPr>
        <w:t>: Advanced techniques for security solution bypass</w:t>
      </w:r>
    </w:p>
    <w:p w14:paraId="7A963F23" w14:textId="77777777" w:rsidR="00A34DAB" w:rsidRDefault="00000000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Impact Escalation</w:t>
      </w:r>
      <w:r>
        <w:rPr>
          <w:rFonts w:ascii="Calibri" w:eastAsia="Calibri" w:hAnsi="Calibri" w:cs="Calibri"/>
          <w:color w:val="000000"/>
          <w:sz w:val="22"/>
          <w:szCs w:val="22"/>
        </w:rPr>
        <w:t>: Progression from reconnaissance to operational disruption</w:t>
      </w:r>
    </w:p>
    <w:p w14:paraId="71010C43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50404B91" w14:textId="77777777" w:rsidR="00A34DAB" w:rsidRDefault="00000000">
      <w:pPr>
        <w:pStyle w:val="Heading3"/>
      </w:pPr>
      <w:r>
        <w:t>Geopolitical Threat Drivers</w:t>
      </w:r>
    </w:p>
    <w:p w14:paraId="4D9FE2CD" w14:textId="77777777" w:rsidR="00A34DAB" w:rsidRDefault="00000000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Ukraine Conflict</w:t>
      </w:r>
      <w:r>
        <w:rPr>
          <w:rFonts w:ascii="Calibri" w:eastAsia="Calibri" w:hAnsi="Calibri" w:cs="Calibri"/>
          <w:color w:val="000000"/>
          <w:sz w:val="22"/>
          <w:szCs w:val="22"/>
        </w:rPr>
        <w:t>: Continued infrastructure targeting with demonstrated impact</w:t>
      </w:r>
    </w:p>
    <w:p w14:paraId="09CCA63F" w14:textId="77777777" w:rsidR="00A34DAB" w:rsidRDefault="00000000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U.S.-China Tensions</w:t>
      </w:r>
      <w:r>
        <w:rPr>
          <w:rFonts w:ascii="Calibri" w:eastAsia="Calibri" w:hAnsi="Calibri" w:cs="Calibri"/>
          <w:color w:val="000000"/>
          <w:sz w:val="22"/>
          <w:szCs w:val="22"/>
        </w:rPr>
        <w:t>: Critical infrastructure pre-positioning activities</w:t>
      </w:r>
    </w:p>
    <w:p w14:paraId="0B127537" w14:textId="77777777" w:rsidR="00A34DAB" w:rsidRDefault="00000000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Middle East Tensions</w:t>
      </w:r>
      <w:r>
        <w:rPr>
          <w:rFonts w:ascii="Calibri" w:eastAsia="Calibri" w:hAnsi="Calibri" w:cs="Calibri"/>
          <w:color w:val="000000"/>
          <w:sz w:val="22"/>
          <w:szCs w:val="22"/>
        </w:rPr>
        <w:t>: Pro-Iranian group activation against allied infrastructure</w:t>
      </w:r>
    </w:p>
    <w:p w14:paraId="5E27668B" w14:textId="77777777" w:rsidR="00A34DAB" w:rsidRDefault="00000000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Supply Chain Vulnerabilities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: Third-party vendor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targeting for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infrastructure access</w:t>
      </w:r>
    </w:p>
    <w:p w14:paraId="2895B8BE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  <w:bookmarkStart w:id="8" w:name="_sz50gweuh2m8" w:colFirst="0" w:colLast="0"/>
      <w:bookmarkEnd w:id="8"/>
    </w:p>
    <w:p w14:paraId="12DD0720" w14:textId="77777777" w:rsidR="00A34DAB" w:rsidRDefault="00000000">
      <w:pPr>
        <w:pStyle w:val="Heading3"/>
      </w:pPr>
      <w:r>
        <w:t>Operational Impact Vectors</w:t>
      </w:r>
    </w:p>
    <w:p w14:paraId="44670FA5" w14:textId="77777777" w:rsidR="00A34DAB" w:rsidRDefault="00000000">
      <w:pPr>
        <w:widowControl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Grid Stability Threats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: Purpose-built malware </w:t>
      </w:r>
      <w:r>
        <w:rPr>
          <w:rFonts w:ascii="Calibri" w:eastAsia="Calibri" w:hAnsi="Calibri" w:cs="Calibri"/>
          <w:color w:val="EE0000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color w:val="EE0000"/>
          <w:sz w:val="22"/>
          <w:szCs w:val="22"/>
        </w:rPr>
        <w:t>FrostyGoop</w:t>
      </w:r>
      <w:proofErr w:type="spellEnd"/>
      <w:r>
        <w:rPr>
          <w:rFonts w:ascii="Calibri" w:eastAsia="Calibri" w:hAnsi="Calibri" w:cs="Calibri"/>
          <w:color w:val="EE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EE0000"/>
          <w:sz w:val="22"/>
          <w:szCs w:val="22"/>
        </w:rPr>
        <w:t>Fuxnet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) targeting heating and industrial sensors</w:t>
      </w:r>
    </w:p>
    <w:p w14:paraId="40D00F8C" w14:textId="77777777" w:rsidR="00A34DAB" w:rsidRDefault="00000000">
      <w:pPr>
        <w:widowControl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Supply Chain Vulnerabilities</w:t>
      </w:r>
      <w:r>
        <w:rPr>
          <w:rFonts w:ascii="Calibri" w:eastAsia="Calibri" w:hAnsi="Calibri" w:cs="Calibri"/>
          <w:color w:val="000000"/>
          <w:sz w:val="22"/>
          <w:szCs w:val="22"/>
        </w:rPr>
        <w:t>: 70% of OT vulnerabilities reside deep within industrial networks</w:t>
      </w:r>
    </w:p>
    <w:p w14:paraId="08F14933" w14:textId="77777777" w:rsidR="00A34DAB" w:rsidRDefault="00000000">
      <w:pPr>
        <w:widowControl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Wireless Infrastructure Gaps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: 94% of industrial Wi-Fi networks vulnerable to </w:t>
      </w:r>
      <w:proofErr w:type="spellStart"/>
      <w:r>
        <w:rPr>
          <w:rFonts w:ascii="Calibri" w:eastAsia="Calibri" w:hAnsi="Calibri" w:cs="Calibri"/>
          <w:color w:val="EE0000"/>
          <w:sz w:val="22"/>
          <w:szCs w:val="22"/>
        </w:rPr>
        <w:t>deauthentication</w:t>
      </w:r>
      <w:proofErr w:type="spellEnd"/>
      <w:r>
        <w:rPr>
          <w:rFonts w:ascii="Calibri" w:eastAsia="Calibri" w:hAnsi="Calibri" w:cs="Calibri"/>
          <w:color w:val="EE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>attacks</w:t>
      </w:r>
    </w:p>
    <w:p w14:paraId="2B91ED1D" w14:textId="77777777" w:rsidR="00A34DAB" w:rsidRDefault="00000000">
      <w:pPr>
        <w:widowControl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Ransomware Evolution</w:t>
      </w:r>
      <w:r>
        <w:rPr>
          <w:rFonts w:ascii="Calibri" w:eastAsia="Calibri" w:hAnsi="Calibri" w:cs="Calibri"/>
          <w:color w:val="000000"/>
          <w:sz w:val="22"/>
          <w:szCs w:val="22"/>
        </w:rPr>
        <w:t>: Industrial-specific ransomware with operational disruption capabilities</w:t>
      </w:r>
    </w:p>
    <w:p w14:paraId="1842453C" w14:textId="77777777" w:rsidR="00A34DAB" w:rsidRDefault="00A34DAB">
      <w:pPr>
        <w:widowControl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left"/>
        <w:rPr>
          <w:rFonts w:ascii="Calibri" w:eastAsia="Calibri" w:hAnsi="Calibri" w:cs="Calibri"/>
          <w:color w:val="000000"/>
          <w:sz w:val="22"/>
          <w:szCs w:val="22"/>
        </w:rPr>
      </w:pPr>
    </w:p>
    <w:p w14:paraId="4166BE27" w14:textId="77777777" w:rsidR="00A34DAB" w:rsidRDefault="00000000">
      <w:pPr>
        <w:pStyle w:val="Heading1"/>
      </w:pPr>
      <w:r>
        <w:t xml:space="preserve">Emerging Exploits </w:t>
      </w:r>
    </w:p>
    <w:p w14:paraId="1D99B038" w14:textId="77777777" w:rsidR="00A34DAB" w:rsidRDefault="00000000">
      <w:pPr>
        <w:pStyle w:val="Heading2"/>
      </w:pPr>
      <w:r>
        <w:t>Wireless Infrastructure</w:t>
      </w:r>
    </w:p>
    <w:p w14:paraId="2C0A03DA" w14:textId="77777777" w:rsidR="00A34DAB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94% of industrial Wi-Fi networks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are vulnerable to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de-authentication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attacks</w:t>
      </w:r>
    </w:p>
    <w:p w14:paraId="17427BD1" w14:textId="77777777" w:rsidR="00A34DAB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Authentication weaknesses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 industrial wireless protocols</w:t>
      </w:r>
    </w:p>
    <w:p w14:paraId="6C94CE8D" w14:textId="77777777" w:rsidR="00A34DAB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Encryption gaps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 legacy wireless communication systems</w:t>
      </w:r>
    </w:p>
    <w:p w14:paraId="23C4D7F5" w14:textId="77777777" w:rsidR="00A34DAB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IoT device proliferation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expanding attack surface</w:t>
      </w:r>
    </w:p>
    <w:p w14:paraId="519D98A9" w14:textId="77777777" w:rsidR="00A34DAB" w:rsidRDefault="00000000">
      <w:pPr>
        <w:pStyle w:val="Heading2"/>
      </w:pPr>
      <w:r>
        <w:t>Legacy System Risks</w:t>
      </w:r>
    </w:p>
    <w:p w14:paraId="25F67040" w14:textId="77777777" w:rsidR="00A34DAB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lastRenderedPageBreak/>
        <w:t>Protocol vulnerabilities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 decades-old industrial communication standards</w:t>
      </w:r>
    </w:p>
    <w:p w14:paraId="7A3D0D74" w14:textId="77777777" w:rsidR="00A34DAB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Patching challenges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safety-critical operational systems</w:t>
      </w:r>
    </w:p>
    <w:p w14:paraId="133A22EA" w14:textId="77777777" w:rsidR="00A34DAB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Air-gap erosion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through remote access and maintenance connections</w:t>
      </w:r>
    </w:p>
    <w:p w14:paraId="385A2394" w14:textId="77777777" w:rsidR="00A34DAB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Supply chain integration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introducing new connectivity risks</w:t>
      </w:r>
    </w:p>
    <w:p w14:paraId="7513C3EC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125028CD" w14:textId="77777777" w:rsidR="00A34DAB" w:rsidRDefault="00000000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  <w:r>
        <w:pict w14:anchorId="41B3E321">
          <v:rect id="_x0000_i1027" style="width:0;height:1.5pt" o:hralign="center" o:hrstd="t" o:hr="t" fillcolor="#a0a0a0" stroked="f"/>
        </w:pict>
      </w:r>
    </w:p>
    <w:p w14:paraId="283A01E3" w14:textId="77777777" w:rsidR="00A34DAB" w:rsidRDefault="00000000">
      <w:pPr>
        <w:pStyle w:val="Heading1"/>
      </w:pPr>
      <w:bookmarkStart w:id="9" w:name="_5cyn821jrozp" w:colFirst="0" w:colLast="0"/>
      <w:bookmarkEnd w:id="9"/>
      <w:r>
        <w:t>Active Threat Actors</w:t>
      </w:r>
    </w:p>
    <w:p w14:paraId="54672AE5" w14:textId="77777777" w:rsidR="00A34DAB" w:rsidRDefault="00000000">
      <w:pPr>
        <w:pStyle w:val="Heading3"/>
      </w:pPr>
      <w:bookmarkStart w:id="10" w:name="_8kg8tua3x37m" w:colFirst="0" w:colLast="0"/>
      <w:bookmarkEnd w:id="10"/>
      <w:r>
        <w:t>VOLTZITE (Volt Typhoon) - Chinese State-Sponsored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34DAB" w14:paraId="5987B7B7" w14:textId="77777777">
        <w:tc>
          <w:tcPr>
            <w:tcW w:w="4680" w:type="dxa"/>
          </w:tcPr>
          <w:p w14:paraId="14E56D55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Attribute</w:t>
            </w:r>
          </w:p>
        </w:tc>
        <w:tc>
          <w:tcPr>
            <w:tcW w:w="4680" w:type="dxa"/>
          </w:tcPr>
          <w:p w14:paraId="40A01D10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Assessment</w:t>
            </w:r>
          </w:p>
        </w:tc>
      </w:tr>
      <w:tr w:rsidR="00A34DAB" w14:paraId="76DCD109" w14:textId="77777777">
        <w:tc>
          <w:tcPr>
            <w:tcW w:w="4680" w:type="dxa"/>
          </w:tcPr>
          <w:p w14:paraId="469FDD91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Primary Target</w:t>
            </w:r>
          </w:p>
        </w:tc>
        <w:tc>
          <w:tcPr>
            <w:tcW w:w="4680" w:type="dxa"/>
          </w:tcPr>
          <w:p w14:paraId="7E03E7B4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U.S. Electric Utilities, Communications Infrastructure</w:t>
            </w:r>
          </w:p>
        </w:tc>
      </w:tr>
      <w:tr w:rsidR="00A34DAB" w14:paraId="441E614D" w14:textId="77777777">
        <w:tc>
          <w:tcPr>
            <w:tcW w:w="4680" w:type="dxa"/>
          </w:tcPr>
          <w:p w14:paraId="104C2ECC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Objective</w:t>
            </w:r>
          </w:p>
        </w:tc>
        <w:tc>
          <w:tcPr>
            <w:tcW w:w="4680" w:type="dxa"/>
          </w:tcPr>
          <w:p w14:paraId="55AC0A92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Pre-positioning for potential wartime disruption</w:t>
            </w:r>
          </w:p>
        </w:tc>
      </w:tr>
      <w:tr w:rsidR="00A34DAB" w14:paraId="3F5E4FF5" w14:textId="77777777">
        <w:tc>
          <w:tcPr>
            <w:tcW w:w="4680" w:type="dxa"/>
          </w:tcPr>
          <w:p w14:paraId="5C878DC7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Capabilities</w:t>
            </w:r>
          </w:p>
        </w:tc>
        <w:tc>
          <w:tcPr>
            <w:tcW w:w="4680" w:type="dxa"/>
          </w:tcPr>
          <w:p w14:paraId="5756FE15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Living-off-the-land techniques, OT network penetration</w:t>
            </w:r>
          </w:p>
        </w:tc>
      </w:tr>
      <w:tr w:rsidR="00A34DAB" w14:paraId="68EE3354" w14:textId="77777777">
        <w:tc>
          <w:tcPr>
            <w:tcW w:w="4680" w:type="dxa"/>
          </w:tcPr>
          <w:p w14:paraId="202E4C2A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Activity Level</w:t>
            </w:r>
          </w:p>
        </w:tc>
        <w:tc>
          <w:tcPr>
            <w:tcW w:w="4680" w:type="dxa"/>
          </w:tcPr>
          <w:p w14:paraId="2B2C98C9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ACTIVE - Ongoing campaigns throughout 2024-2025</w:t>
            </w:r>
          </w:p>
        </w:tc>
      </w:tr>
      <w:tr w:rsidR="00A34DAB" w14:paraId="7B2A6696" w14:textId="77777777">
        <w:tc>
          <w:tcPr>
            <w:tcW w:w="4680" w:type="dxa"/>
          </w:tcPr>
          <w:p w14:paraId="15341554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Tri-Partner Response</w:t>
            </w:r>
          </w:p>
        </w:tc>
        <w:tc>
          <w:tcPr>
            <w:tcW w:w="4680" w:type="dxa"/>
          </w:tcPr>
          <w:p w14:paraId="0A22FC01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NCC OTCE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: Methodology detection,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Dragos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: OT monitoring,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Adelard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: Safety assessment</w:t>
            </w:r>
          </w:p>
        </w:tc>
      </w:tr>
    </w:tbl>
    <w:p w14:paraId="24AE797C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54776097" w14:textId="77777777" w:rsidR="00A34DAB" w:rsidRDefault="00000000">
      <w:pPr>
        <w:pStyle w:val="Heading3"/>
      </w:pPr>
      <w:r>
        <w:t>KAMACITE/ELECTRUM - Pro-Russian Groups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34DAB" w14:paraId="2986BE1E" w14:textId="77777777">
        <w:tc>
          <w:tcPr>
            <w:tcW w:w="4680" w:type="dxa"/>
          </w:tcPr>
          <w:p w14:paraId="02C152D5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Attribute</w:t>
            </w:r>
          </w:p>
        </w:tc>
        <w:tc>
          <w:tcPr>
            <w:tcW w:w="4680" w:type="dxa"/>
          </w:tcPr>
          <w:p w14:paraId="4D935DEA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Assessment</w:t>
            </w:r>
          </w:p>
        </w:tc>
      </w:tr>
      <w:tr w:rsidR="00A34DAB" w14:paraId="4C732F0D" w14:textId="77777777">
        <w:tc>
          <w:tcPr>
            <w:tcW w:w="4680" w:type="dxa"/>
          </w:tcPr>
          <w:p w14:paraId="313842CA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Primary Target</w:t>
            </w:r>
          </w:p>
        </w:tc>
        <w:tc>
          <w:tcPr>
            <w:tcW w:w="4680" w:type="dxa"/>
          </w:tcPr>
          <w:p w14:paraId="56671A92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Ukrainian Energy Infrastructure, NATO Allied Systems</w:t>
            </w:r>
          </w:p>
        </w:tc>
      </w:tr>
      <w:tr w:rsidR="00A34DAB" w14:paraId="3894FA07" w14:textId="77777777">
        <w:tc>
          <w:tcPr>
            <w:tcW w:w="4680" w:type="dxa"/>
          </w:tcPr>
          <w:p w14:paraId="79E0E1A8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Objective</w:t>
            </w:r>
          </w:p>
        </w:tc>
        <w:tc>
          <w:tcPr>
            <w:tcW w:w="4680" w:type="dxa"/>
          </w:tcPr>
          <w:p w14:paraId="433DE55D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Operational disruption supporting kinetic military operations</w:t>
            </w:r>
          </w:p>
        </w:tc>
      </w:tr>
      <w:tr w:rsidR="00A34DAB" w14:paraId="4C609F1A" w14:textId="77777777">
        <w:tc>
          <w:tcPr>
            <w:tcW w:w="4680" w:type="dxa"/>
          </w:tcPr>
          <w:p w14:paraId="46489ED5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Capabilities</w:t>
            </w:r>
          </w:p>
        </w:tc>
        <w:tc>
          <w:tcPr>
            <w:tcW w:w="4680" w:type="dxa"/>
          </w:tcPr>
          <w:p w14:paraId="6B02255F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Grid manipulation, substation targeting, heating system disruption</w:t>
            </w:r>
          </w:p>
        </w:tc>
      </w:tr>
      <w:tr w:rsidR="00A34DAB" w14:paraId="1A7B80A3" w14:textId="77777777">
        <w:tc>
          <w:tcPr>
            <w:tcW w:w="4680" w:type="dxa"/>
          </w:tcPr>
          <w:p w14:paraId="31C4905F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Activity Level</w:t>
            </w:r>
          </w:p>
        </w:tc>
        <w:tc>
          <w:tcPr>
            <w:tcW w:w="4680" w:type="dxa"/>
          </w:tcPr>
          <w:p w14:paraId="5CE363E0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ACTIVE - Coordinated with conflict operations</w:t>
            </w:r>
          </w:p>
        </w:tc>
      </w:tr>
      <w:tr w:rsidR="00A34DAB" w14:paraId="01AD5100" w14:textId="77777777">
        <w:tc>
          <w:tcPr>
            <w:tcW w:w="4680" w:type="dxa"/>
          </w:tcPr>
          <w:p w14:paraId="0F02B526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Impact Demonstrated</w:t>
            </w:r>
          </w:p>
        </w:tc>
        <w:tc>
          <w:tcPr>
            <w:tcW w:w="4680" w:type="dxa"/>
          </w:tcPr>
          <w:p w14:paraId="75EC34AA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Confirmed power grid disruptions in Ukraine</w:t>
            </w:r>
          </w:p>
        </w:tc>
      </w:tr>
    </w:tbl>
    <w:p w14:paraId="71092E8F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b/>
          <w:sz w:val="22"/>
          <w:szCs w:val="22"/>
        </w:rPr>
      </w:pPr>
      <w:bookmarkStart w:id="11" w:name="_v6b8tqpk6n2l" w:colFirst="0" w:colLast="0"/>
      <w:bookmarkEnd w:id="11"/>
    </w:p>
    <w:p w14:paraId="084C21AF" w14:textId="77777777" w:rsidR="00A34DAB" w:rsidRDefault="00000000">
      <w:pPr>
        <w:pStyle w:val="Heading3"/>
      </w:pPr>
      <w:r>
        <w:t>GRAPHITE - New Threat Group (2024)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34DAB" w14:paraId="5BEE77FE" w14:textId="77777777">
        <w:tc>
          <w:tcPr>
            <w:tcW w:w="4680" w:type="dxa"/>
          </w:tcPr>
          <w:p w14:paraId="6BB4F92F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Attribute</w:t>
            </w:r>
          </w:p>
        </w:tc>
        <w:tc>
          <w:tcPr>
            <w:tcW w:w="4680" w:type="dxa"/>
          </w:tcPr>
          <w:p w14:paraId="18C86C46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Assessment</w:t>
            </w:r>
          </w:p>
        </w:tc>
      </w:tr>
      <w:tr w:rsidR="00A34DAB" w14:paraId="7240FA23" w14:textId="77777777">
        <w:tc>
          <w:tcPr>
            <w:tcW w:w="4680" w:type="dxa"/>
          </w:tcPr>
          <w:p w14:paraId="667E3ED0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Primary Target</w:t>
            </w:r>
          </w:p>
        </w:tc>
        <w:tc>
          <w:tcPr>
            <w:tcW w:w="4680" w:type="dxa"/>
          </w:tcPr>
          <w:p w14:paraId="143C8EDA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Hydroelectric Facilities, Energy Logistics</w:t>
            </w:r>
          </w:p>
        </w:tc>
      </w:tr>
      <w:tr w:rsidR="00A34DAB" w14:paraId="7B2221A1" w14:textId="77777777">
        <w:tc>
          <w:tcPr>
            <w:tcW w:w="4680" w:type="dxa"/>
          </w:tcPr>
          <w:p w14:paraId="41C912B7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Objective</w:t>
            </w:r>
          </w:p>
        </w:tc>
        <w:tc>
          <w:tcPr>
            <w:tcW w:w="4680" w:type="dxa"/>
          </w:tcPr>
          <w:p w14:paraId="59DFD603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Industrial process disruption</w:t>
            </w:r>
          </w:p>
        </w:tc>
      </w:tr>
      <w:tr w:rsidR="00A34DAB" w14:paraId="67E12F8E" w14:textId="77777777">
        <w:tc>
          <w:tcPr>
            <w:tcW w:w="4680" w:type="dxa"/>
          </w:tcPr>
          <w:p w14:paraId="677116F2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Capabilities</w:t>
            </w:r>
          </w:p>
        </w:tc>
        <w:tc>
          <w:tcPr>
            <w:tcW w:w="4680" w:type="dxa"/>
          </w:tcPr>
          <w:p w14:paraId="788A2CAF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Specialized OT targeting, renewable energy focus</w:t>
            </w:r>
          </w:p>
        </w:tc>
      </w:tr>
      <w:tr w:rsidR="00A34DAB" w14:paraId="64DDBFA8" w14:textId="77777777">
        <w:tc>
          <w:tcPr>
            <w:tcW w:w="4680" w:type="dxa"/>
          </w:tcPr>
          <w:p w14:paraId="44EA4FB3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Activity Level</w:t>
            </w:r>
          </w:p>
        </w:tc>
        <w:tc>
          <w:tcPr>
            <w:tcW w:w="4680" w:type="dxa"/>
          </w:tcPr>
          <w:p w14:paraId="6C005C31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ACTIVE - New group with advanced capabilities</w:t>
            </w:r>
          </w:p>
        </w:tc>
      </w:tr>
    </w:tbl>
    <w:p w14:paraId="2A0E739D" w14:textId="77777777" w:rsidR="00A34DAB" w:rsidRDefault="00A34DAB">
      <w:pPr>
        <w:pStyle w:val="Heading1"/>
      </w:pPr>
    </w:p>
    <w:p w14:paraId="077610E0" w14:textId="77777777" w:rsidR="00A34DAB" w:rsidRDefault="00A34DAB"/>
    <w:p w14:paraId="577215C0" w14:textId="77777777" w:rsidR="00A34DAB" w:rsidRDefault="00000000">
      <w:pPr>
        <w:pStyle w:val="Heading1"/>
      </w:pPr>
      <w:r>
        <w:t>OT Vulnerability Landscape</w:t>
      </w:r>
    </w:p>
    <w:p w14:paraId="4EB93F51" w14:textId="77777777" w:rsidR="00A34DAB" w:rsidRDefault="00000000">
      <w:pPr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lastRenderedPageBreak/>
        <w:t>70% of vulnerabilities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reside deep within OT networks</w:t>
      </w:r>
    </w:p>
    <w:p w14:paraId="33BED4BA" w14:textId="77777777" w:rsidR="00A34DAB" w:rsidRDefault="00000000">
      <w:pPr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22% of vulnerabilities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are network exploitable and perimeter-facing</w:t>
      </w:r>
    </w:p>
    <w:p w14:paraId="3AF3B64B" w14:textId="77777777" w:rsidR="00A34DAB" w:rsidRDefault="00000000">
      <w:pPr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EE0000"/>
          <w:sz w:val="24"/>
          <w:szCs w:val="24"/>
        </w:rPr>
      </w:pPr>
      <w:r>
        <w:rPr>
          <w:rFonts w:ascii="Calibri" w:eastAsia="Calibri" w:hAnsi="Calibri" w:cs="Calibri"/>
          <w:b/>
          <w:color w:val="EE0000"/>
          <w:sz w:val="24"/>
          <w:szCs w:val="24"/>
        </w:rPr>
        <w:t>94% of industrial Wi-Fi networks</w:t>
      </w:r>
      <w:r>
        <w:rPr>
          <w:rFonts w:ascii="Calibri" w:eastAsia="Calibri" w:hAnsi="Calibri" w:cs="Calibri"/>
          <w:color w:val="EE0000"/>
          <w:sz w:val="24"/>
          <w:szCs w:val="24"/>
        </w:rPr>
        <w:t xml:space="preserve"> lack </w:t>
      </w:r>
      <w:proofErr w:type="spellStart"/>
      <w:r>
        <w:rPr>
          <w:rFonts w:ascii="Calibri" w:eastAsia="Calibri" w:hAnsi="Calibri" w:cs="Calibri"/>
          <w:color w:val="EE0000"/>
          <w:sz w:val="24"/>
          <w:szCs w:val="24"/>
        </w:rPr>
        <w:t>deauthentication</w:t>
      </w:r>
      <w:proofErr w:type="spellEnd"/>
      <w:r>
        <w:rPr>
          <w:rFonts w:ascii="Calibri" w:eastAsia="Calibri" w:hAnsi="Calibri" w:cs="Calibri"/>
          <w:color w:val="EE0000"/>
          <w:sz w:val="24"/>
          <w:szCs w:val="24"/>
        </w:rPr>
        <w:t xml:space="preserve"> attack protection</w:t>
      </w:r>
    </w:p>
    <w:p w14:paraId="32A5231A" w14:textId="77777777" w:rsidR="00A34DAB" w:rsidRDefault="00000000">
      <w:pPr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Energy sector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experiences highest concentration of ICS-specific threats</w:t>
      </w:r>
    </w:p>
    <w:p w14:paraId="04407DB5" w14:textId="77777777" w:rsidR="00A34DAB" w:rsidRDefault="00000000">
      <w:pPr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Legacy Protocol Exploitation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(Modbus, DNP3, IEC 61850)</w:t>
      </w:r>
    </w:p>
    <w:p w14:paraId="39233364" w14:textId="77777777" w:rsidR="00A34DAB" w:rsidRDefault="00000000">
      <w:pPr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Wireless Infrastructure Gaps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(Authentication, encryption weaknesses)</w:t>
      </w:r>
    </w:p>
    <w:p w14:paraId="1677445E" w14:textId="77777777" w:rsidR="00A34DAB" w:rsidRDefault="00000000">
      <w:pPr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Supply Chain Vulnerabilities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(Third-party device compromises)</w:t>
      </w:r>
    </w:p>
    <w:p w14:paraId="78869719" w14:textId="77777777" w:rsidR="00A34DAB" w:rsidRDefault="00000000">
      <w:pPr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Human-Machine Interface (HMI) Targeting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(VNC malware, unauthorized access)</w:t>
      </w:r>
    </w:p>
    <w:p w14:paraId="5E5F88D3" w14:textId="77777777" w:rsidR="00A34DAB" w:rsidRDefault="00A34DAB">
      <w:pPr>
        <w:widowControl/>
        <w:spacing w:after="0"/>
        <w:jc w:val="left"/>
        <w:rPr>
          <w:rFonts w:ascii="Calibri" w:eastAsia="Calibri" w:hAnsi="Calibri" w:cs="Calibri"/>
          <w:b/>
          <w:color w:val="002060"/>
          <w:sz w:val="28"/>
          <w:szCs w:val="28"/>
        </w:rPr>
      </w:pPr>
      <w:bookmarkStart w:id="12" w:name="_e6tm3nf2wkci" w:colFirst="0" w:colLast="0"/>
      <w:bookmarkEnd w:id="12"/>
    </w:p>
    <w:p w14:paraId="1210F27A" w14:textId="77777777" w:rsidR="00A34DAB" w:rsidRDefault="00000000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Critical ICS Malware Families (2024-2025)</w:t>
      </w:r>
    </w:p>
    <w:p w14:paraId="2F32F469" w14:textId="77777777" w:rsidR="00A34DAB" w:rsidRDefault="00000000">
      <w:pPr>
        <w:rPr>
          <w:rFonts w:ascii="Calibri" w:eastAsia="Calibri" w:hAnsi="Calibri" w:cs="Calibri"/>
          <w:b/>
          <w:sz w:val="22"/>
          <w:szCs w:val="22"/>
        </w:rPr>
      </w:pPr>
      <w:bookmarkStart w:id="13" w:name="_q7x27xknldb6" w:colFirst="0" w:colLast="0"/>
      <w:bookmarkEnd w:id="13"/>
      <w:proofErr w:type="spellStart"/>
      <w:r>
        <w:rPr>
          <w:rFonts w:ascii="Calibri" w:eastAsia="Calibri" w:hAnsi="Calibri" w:cs="Calibri"/>
          <w:b/>
          <w:sz w:val="22"/>
          <w:szCs w:val="22"/>
        </w:rPr>
        <w:t>FrostyGoop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(BUSTLEBERM)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34DAB" w14:paraId="7FF8301F" w14:textId="77777777">
        <w:tc>
          <w:tcPr>
            <w:tcW w:w="4680" w:type="dxa"/>
          </w:tcPr>
          <w:p w14:paraId="50D71B90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Technical Details</w:t>
            </w:r>
          </w:p>
        </w:tc>
        <w:tc>
          <w:tcPr>
            <w:tcW w:w="4680" w:type="dxa"/>
          </w:tcPr>
          <w:p w14:paraId="67493EB9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Impact Assessment</w:t>
            </w:r>
          </w:p>
        </w:tc>
      </w:tr>
      <w:tr w:rsidR="00A34DAB" w14:paraId="5651571A" w14:textId="77777777">
        <w:tc>
          <w:tcPr>
            <w:tcW w:w="4680" w:type="dxa"/>
          </w:tcPr>
          <w:p w14:paraId="6F5B0B32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Target Systems</w:t>
            </w:r>
          </w:p>
        </w:tc>
        <w:tc>
          <w:tcPr>
            <w:tcW w:w="4680" w:type="dxa"/>
          </w:tcPr>
          <w:p w14:paraId="12C979C6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Modicon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PLCs, heating infrastructure</w:t>
            </w:r>
          </w:p>
        </w:tc>
      </w:tr>
      <w:tr w:rsidR="00A34DAB" w14:paraId="782868EE" w14:textId="77777777">
        <w:tc>
          <w:tcPr>
            <w:tcW w:w="4680" w:type="dxa"/>
          </w:tcPr>
          <w:p w14:paraId="098766CD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Technique</w:t>
            </w:r>
          </w:p>
        </w:tc>
        <w:tc>
          <w:tcPr>
            <w:tcW w:w="4680" w:type="dxa"/>
          </w:tcPr>
          <w:p w14:paraId="2A7F7E98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Modbus protocol manipulation</w:t>
            </w:r>
          </w:p>
        </w:tc>
      </w:tr>
      <w:tr w:rsidR="00A34DAB" w14:paraId="374EABD5" w14:textId="77777777">
        <w:tc>
          <w:tcPr>
            <w:tcW w:w="4680" w:type="dxa"/>
          </w:tcPr>
          <w:p w14:paraId="414E58E3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Operational Impact</w:t>
            </w:r>
          </w:p>
        </w:tc>
        <w:tc>
          <w:tcPr>
            <w:tcW w:w="4680" w:type="dxa"/>
          </w:tcPr>
          <w:p w14:paraId="75B4E1FD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Heat loss in Ukrainian residential areas</w:t>
            </w:r>
          </w:p>
        </w:tc>
      </w:tr>
      <w:tr w:rsidR="00A34DAB" w14:paraId="2280B7B9" w14:textId="77777777">
        <w:tc>
          <w:tcPr>
            <w:tcW w:w="4680" w:type="dxa"/>
          </w:tcPr>
          <w:p w14:paraId="6022ED35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Detection Difficulty</w:t>
            </w:r>
          </w:p>
        </w:tc>
        <w:tc>
          <w:tcPr>
            <w:tcW w:w="4680" w:type="dxa"/>
          </w:tcPr>
          <w:p w14:paraId="36F2FA7F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HIGH - Legitimate protocol usage</w:t>
            </w:r>
          </w:p>
        </w:tc>
      </w:tr>
      <w:tr w:rsidR="00A34DAB" w14:paraId="4341B99F" w14:textId="77777777">
        <w:tc>
          <w:tcPr>
            <w:tcW w:w="4680" w:type="dxa"/>
          </w:tcPr>
          <w:p w14:paraId="3F150907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Prevention</w:t>
            </w:r>
          </w:p>
        </w:tc>
        <w:tc>
          <w:tcPr>
            <w:tcW w:w="4680" w:type="dxa"/>
          </w:tcPr>
          <w:p w14:paraId="25081CB3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Network segmentation, protocol monitoring</w:t>
            </w:r>
          </w:p>
        </w:tc>
      </w:tr>
    </w:tbl>
    <w:p w14:paraId="4B7AE440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44933CC6" w14:textId="77777777" w:rsidR="00A34DAB" w:rsidRDefault="00000000">
      <w:pPr>
        <w:widowControl/>
        <w:spacing w:after="0" w:line="276" w:lineRule="auto"/>
        <w:jc w:val="left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Lesson</w:t>
      </w:r>
      <w:r>
        <w:rPr>
          <w:rFonts w:ascii="Calibri" w:eastAsia="Calibri" w:hAnsi="Calibri" w:cs="Calibri"/>
          <w:sz w:val="24"/>
          <w:szCs w:val="24"/>
        </w:rPr>
        <w:t xml:space="preserve">: First confirmed malware causing civilian infrastructure impact through </w:t>
      </w:r>
      <w:r>
        <w:rPr>
          <w:rFonts w:ascii="Calibri" w:eastAsia="Calibri" w:hAnsi="Calibri" w:cs="Calibri"/>
          <w:b/>
          <w:color w:val="EE0000"/>
          <w:sz w:val="24"/>
          <w:szCs w:val="24"/>
        </w:rPr>
        <w:t>heating system manipulation,</w:t>
      </w:r>
      <w:r>
        <w:rPr>
          <w:rFonts w:ascii="Calibri" w:eastAsia="Calibri" w:hAnsi="Calibri" w:cs="Calibri"/>
          <w:color w:val="EE000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demonstrating escalation in OT targeting.</w:t>
      </w:r>
    </w:p>
    <w:p w14:paraId="5F8F4362" w14:textId="77777777" w:rsidR="00A34DAB" w:rsidRDefault="00000000">
      <w:pPr>
        <w:pStyle w:val="Heading3"/>
      </w:pPr>
      <w:bookmarkStart w:id="14" w:name="_6pq01tjejyjz" w:colFirst="0" w:colLast="0"/>
      <w:bookmarkEnd w:id="14"/>
      <w:proofErr w:type="spellStart"/>
      <w:r>
        <w:t>Fuxnet</w:t>
      </w:r>
      <w:proofErr w:type="spellEnd"/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34DAB" w14:paraId="53FE9584" w14:textId="77777777">
        <w:tc>
          <w:tcPr>
            <w:tcW w:w="4680" w:type="dxa"/>
          </w:tcPr>
          <w:p w14:paraId="1618DD12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Technical Details</w:t>
            </w:r>
          </w:p>
        </w:tc>
        <w:tc>
          <w:tcPr>
            <w:tcW w:w="4680" w:type="dxa"/>
          </w:tcPr>
          <w:p w14:paraId="52E5C68B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Impact Assessment</w:t>
            </w:r>
          </w:p>
        </w:tc>
      </w:tr>
      <w:tr w:rsidR="00A34DAB" w14:paraId="1B0AF6D5" w14:textId="77777777">
        <w:tc>
          <w:tcPr>
            <w:tcW w:w="4680" w:type="dxa"/>
          </w:tcPr>
          <w:p w14:paraId="68BACCAE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Target Systems</w:t>
            </w:r>
          </w:p>
        </w:tc>
        <w:tc>
          <w:tcPr>
            <w:tcW w:w="4680" w:type="dxa"/>
          </w:tcPr>
          <w:p w14:paraId="614B2658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Industrial sensors, environmental monitoring</w:t>
            </w:r>
          </w:p>
        </w:tc>
      </w:tr>
      <w:tr w:rsidR="00A34DAB" w14:paraId="3F03DE97" w14:textId="77777777">
        <w:tc>
          <w:tcPr>
            <w:tcW w:w="4680" w:type="dxa"/>
          </w:tcPr>
          <w:p w14:paraId="0EABFC55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Technique</w:t>
            </w:r>
          </w:p>
        </w:tc>
        <w:tc>
          <w:tcPr>
            <w:tcW w:w="4680" w:type="dxa"/>
          </w:tcPr>
          <w:p w14:paraId="76FC1022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Sensor data manipulation</w:t>
            </w:r>
          </w:p>
        </w:tc>
      </w:tr>
      <w:tr w:rsidR="00A34DAB" w14:paraId="19E0DF31" w14:textId="77777777">
        <w:tc>
          <w:tcPr>
            <w:tcW w:w="4680" w:type="dxa"/>
          </w:tcPr>
          <w:p w14:paraId="127F129C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Operational Impact</w:t>
            </w:r>
          </w:p>
        </w:tc>
        <w:tc>
          <w:tcPr>
            <w:tcW w:w="4680" w:type="dxa"/>
          </w:tcPr>
          <w:p w14:paraId="2FF9B6A7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False readings, safety system bypass</w:t>
            </w:r>
          </w:p>
        </w:tc>
      </w:tr>
      <w:tr w:rsidR="00A34DAB" w14:paraId="18F2CF63" w14:textId="77777777">
        <w:tc>
          <w:tcPr>
            <w:tcW w:w="4680" w:type="dxa"/>
          </w:tcPr>
          <w:p w14:paraId="62DF08F4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Attribution</w:t>
            </w:r>
          </w:p>
        </w:tc>
        <w:tc>
          <w:tcPr>
            <w:tcW w:w="4680" w:type="dxa"/>
          </w:tcPr>
          <w:p w14:paraId="216774A6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BlackJack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hacktivist group</w:t>
            </w:r>
          </w:p>
        </w:tc>
      </w:tr>
      <w:tr w:rsidR="00A34DAB" w14:paraId="5B3DC260" w14:textId="77777777">
        <w:tc>
          <w:tcPr>
            <w:tcW w:w="4680" w:type="dxa"/>
          </w:tcPr>
          <w:p w14:paraId="360ABC97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Geographic Impact</w:t>
            </w:r>
          </w:p>
        </w:tc>
        <w:tc>
          <w:tcPr>
            <w:tcW w:w="4680" w:type="dxa"/>
          </w:tcPr>
          <w:p w14:paraId="54F1CC77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Moscow industrial facilities</w:t>
            </w:r>
          </w:p>
        </w:tc>
      </w:tr>
    </w:tbl>
    <w:p w14:paraId="6B56D236" w14:textId="77777777" w:rsidR="00A34DAB" w:rsidRDefault="00A34DAB">
      <w:pPr>
        <w:widowControl/>
        <w:spacing w:after="0" w:line="276" w:lineRule="auto"/>
        <w:ind w:left="720"/>
        <w:jc w:val="left"/>
        <w:rPr>
          <w:rFonts w:ascii="Calibri" w:eastAsia="Calibri" w:hAnsi="Calibri" w:cs="Calibri"/>
          <w:sz w:val="22"/>
          <w:szCs w:val="22"/>
        </w:rPr>
      </w:pPr>
      <w:bookmarkStart w:id="15" w:name="_76hlhw5r07n0" w:colFirst="0" w:colLast="0"/>
      <w:bookmarkEnd w:id="15"/>
    </w:p>
    <w:p w14:paraId="7CCB4CB0" w14:textId="77777777" w:rsidR="00A34DAB" w:rsidRDefault="00000000">
      <w:pPr>
        <w:widowControl/>
        <w:spacing w:after="0" w:line="276" w:lineRule="auto"/>
        <w:jc w:val="left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OrpaCrab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(IOCONTROL)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34DAB" w14:paraId="6EE12548" w14:textId="77777777">
        <w:tc>
          <w:tcPr>
            <w:tcW w:w="4680" w:type="dxa"/>
          </w:tcPr>
          <w:p w14:paraId="1E49EB82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Technical Details</w:t>
            </w:r>
          </w:p>
        </w:tc>
        <w:tc>
          <w:tcPr>
            <w:tcW w:w="4680" w:type="dxa"/>
          </w:tcPr>
          <w:p w14:paraId="14DC9F8A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Impact Assessment</w:t>
            </w:r>
          </w:p>
        </w:tc>
      </w:tr>
      <w:tr w:rsidR="00A34DAB" w14:paraId="7F728457" w14:textId="77777777">
        <w:tc>
          <w:tcPr>
            <w:tcW w:w="4680" w:type="dxa"/>
          </w:tcPr>
          <w:p w14:paraId="4E60252E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Target Systems</w:t>
            </w:r>
          </w:p>
        </w:tc>
        <w:tc>
          <w:tcPr>
            <w:tcW w:w="4680" w:type="dxa"/>
          </w:tcPr>
          <w:p w14:paraId="597F3073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Multiple industrial protocols</w:t>
            </w:r>
          </w:p>
        </w:tc>
      </w:tr>
      <w:tr w:rsidR="00A34DAB" w14:paraId="1CF8D41D" w14:textId="77777777">
        <w:tc>
          <w:tcPr>
            <w:tcW w:w="4680" w:type="dxa"/>
          </w:tcPr>
          <w:p w14:paraId="674BF244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Technique</w:t>
            </w:r>
          </w:p>
        </w:tc>
        <w:tc>
          <w:tcPr>
            <w:tcW w:w="4680" w:type="dxa"/>
          </w:tcPr>
          <w:p w14:paraId="679A13DC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Multi-stage OT network infiltration</w:t>
            </w:r>
          </w:p>
        </w:tc>
      </w:tr>
      <w:tr w:rsidR="00A34DAB" w14:paraId="57E8896B" w14:textId="77777777">
        <w:tc>
          <w:tcPr>
            <w:tcW w:w="4680" w:type="dxa"/>
          </w:tcPr>
          <w:p w14:paraId="10EE1350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Capabilities</w:t>
            </w:r>
          </w:p>
        </w:tc>
        <w:tc>
          <w:tcPr>
            <w:tcW w:w="4680" w:type="dxa"/>
          </w:tcPr>
          <w:p w14:paraId="18678F13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Cross-protocol communication</w:t>
            </w:r>
          </w:p>
        </w:tc>
      </w:tr>
      <w:tr w:rsidR="00A34DAB" w14:paraId="74207BAA" w14:textId="77777777">
        <w:tc>
          <w:tcPr>
            <w:tcW w:w="4680" w:type="dxa"/>
          </w:tcPr>
          <w:p w14:paraId="0EECAC95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Threat Level</w:t>
            </w:r>
          </w:p>
        </w:tc>
        <w:tc>
          <w:tcPr>
            <w:tcW w:w="4680" w:type="dxa"/>
          </w:tcPr>
          <w:p w14:paraId="28A59A62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CRITICAL - Advanced OT-specific design</w:t>
            </w:r>
          </w:p>
        </w:tc>
      </w:tr>
      <w:tr w:rsidR="00A34DAB" w14:paraId="0F4ABD4A" w14:textId="77777777">
        <w:tc>
          <w:tcPr>
            <w:tcW w:w="4680" w:type="dxa"/>
          </w:tcPr>
          <w:p w14:paraId="1D350F56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Mitigation Priority</w:t>
            </w:r>
          </w:p>
        </w:tc>
        <w:tc>
          <w:tcPr>
            <w:tcW w:w="4680" w:type="dxa"/>
          </w:tcPr>
          <w:p w14:paraId="179A2359" w14:textId="77777777" w:rsidR="00A34DAB" w:rsidRDefault="00000000">
            <w:pPr>
              <w:widowControl/>
              <w:spacing w:after="0" w:line="276" w:lineRule="auto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Immediate detection deployment required</w:t>
            </w:r>
          </w:p>
        </w:tc>
      </w:tr>
    </w:tbl>
    <w:p w14:paraId="414C7CF3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  <w:bookmarkStart w:id="16" w:name="_3xf1wexw4pwf" w:colFirst="0" w:colLast="0"/>
      <w:bookmarkEnd w:id="16"/>
    </w:p>
    <w:p w14:paraId="2E62518B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0CDEFE1E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61C77659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3C14300A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6D83C533" w14:textId="77777777" w:rsidR="00A34DAB" w:rsidRDefault="00000000">
      <w:pPr>
        <w:pStyle w:val="Heading1"/>
      </w:pPr>
      <w:bookmarkStart w:id="17" w:name="_98otf2h8sce6" w:colFirst="0" w:colLast="0"/>
      <w:bookmarkEnd w:id="17"/>
      <w:r>
        <w:lastRenderedPageBreak/>
        <w:t xml:space="preserve">Industry-Specific Risk </w:t>
      </w:r>
    </w:p>
    <w:p w14:paraId="73311FFF" w14:textId="77777777" w:rsidR="00A34DAB" w:rsidRDefault="00000000">
      <w:pPr>
        <w:pStyle w:val="Heading2"/>
      </w:pPr>
      <w:bookmarkStart w:id="18" w:name="_i51w3cnnhnyh" w:colFirst="0" w:colLast="0"/>
      <w:bookmarkEnd w:id="18"/>
      <w:r>
        <w:t>Electric Power Generation &amp; Distribution</w:t>
      </w:r>
    </w:p>
    <w:p w14:paraId="3EA57E2F" w14:textId="77777777" w:rsidR="00A34DAB" w:rsidRDefault="00000000">
      <w:pPr>
        <w:widowControl/>
        <w:spacing w:after="0" w:line="276" w:lineRule="auto"/>
        <w:jc w:val="left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color w:val="002060"/>
          <w:sz w:val="28"/>
          <w:szCs w:val="28"/>
        </w:rPr>
        <w:t>Primary Threats</w:t>
      </w:r>
    </w:p>
    <w:p w14:paraId="6DE6B759" w14:textId="77777777" w:rsidR="00A34DAB" w:rsidRDefault="00000000">
      <w:pPr>
        <w:widowControl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Grid manipulation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by nation-state actors (VOLTZITE pre-positioning)</w:t>
      </w:r>
    </w:p>
    <w:p w14:paraId="4714CF36" w14:textId="77777777" w:rsidR="00A34DAB" w:rsidRDefault="00000000">
      <w:pPr>
        <w:widowControl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Substation targeting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with operational disruption intent</w:t>
      </w:r>
    </w:p>
    <w:p w14:paraId="045E2A74" w14:textId="77777777" w:rsidR="00A34DAB" w:rsidRDefault="00000000">
      <w:pPr>
        <w:widowControl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EE0000"/>
          <w:sz w:val="22"/>
          <w:szCs w:val="22"/>
        </w:rPr>
      </w:pPr>
      <w:r>
        <w:rPr>
          <w:rFonts w:ascii="Calibri" w:eastAsia="Calibri" w:hAnsi="Calibri" w:cs="Calibri"/>
          <w:b/>
          <w:color w:val="EE0000"/>
          <w:sz w:val="22"/>
          <w:szCs w:val="22"/>
        </w:rPr>
        <w:t>Smart grid vulnerabilities</w:t>
      </w:r>
      <w:r>
        <w:rPr>
          <w:rFonts w:ascii="Calibri" w:eastAsia="Calibri" w:hAnsi="Calibri" w:cs="Calibri"/>
          <w:color w:val="EE0000"/>
          <w:sz w:val="22"/>
          <w:szCs w:val="22"/>
        </w:rPr>
        <w:t xml:space="preserve"> in IoT and communication infrastructure</w:t>
      </w:r>
    </w:p>
    <w:p w14:paraId="2B8F63D5" w14:textId="77777777" w:rsidR="00A34DAB" w:rsidRDefault="00000000">
      <w:pPr>
        <w:widowControl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Renewable energy integration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creating new attack surfaces</w:t>
      </w:r>
    </w:p>
    <w:p w14:paraId="36F5A4FE" w14:textId="77777777" w:rsidR="00A34DAB" w:rsidRDefault="00000000">
      <w:pPr>
        <w:pStyle w:val="Heading3"/>
      </w:pPr>
      <w:r>
        <w:t>Business Impact Vectors</w:t>
      </w:r>
    </w:p>
    <w:p w14:paraId="08C76A1C" w14:textId="77777777" w:rsidR="00A34DAB" w:rsidRDefault="00000000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Service disruption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affecting millions of customers</w:t>
      </w:r>
    </w:p>
    <w:p w14:paraId="653E72BC" w14:textId="77777777" w:rsidR="00A34DAB" w:rsidRDefault="00000000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Regulatory compliance violations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(NERC CIP, TSA Pipeline Security)</w:t>
      </w:r>
    </w:p>
    <w:p w14:paraId="27C489D7" w14:textId="77777777" w:rsidR="00A34DAB" w:rsidRDefault="00000000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Economic losses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from generation and transmission interruptions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</w:p>
    <w:p w14:paraId="39E8B407" w14:textId="77777777" w:rsidR="00A34DAB" w:rsidRDefault="00000000">
      <w:pPr>
        <w:pStyle w:val="Heading2"/>
      </w:pPr>
      <w:r>
        <w:t>Oil &amp; Gas Operations</w:t>
      </w:r>
    </w:p>
    <w:p w14:paraId="2F4F4FDA" w14:textId="77777777" w:rsidR="00A34DAB" w:rsidRDefault="00000000">
      <w:pPr>
        <w:pStyle w:val="Heading3"/>
      </w:pPr>
      <w:r>
        <w:t>Primary Threats</w:t>
      </w:r>
    </w:p>
    <w:p w14:paraId="10B739D6" w14:textId="77777777" w:rsidR="00A34DAB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EE0000"/>
          <w:sz w:val="22"/>
          <w:szCs w:val="22"/>
        </w:rPr>
      </w:pPr>
      <w:r>
        <w:rPr>
          <w:rFonts w:ascii="Calibri" w:eastAsia="Calibri" w:hAnsi="Calibri" w:cs="Calibri"/>
          <w:b/>
          <w:color w:val="EE0000"/>
          <w:sz w:val="22"/>
          <w:szCs w:val="22"/>
        </w:rPr>
        <w:t>BAUXITE group targeting</w:t>
      </w:r>
      <w:r>
        <w:rPr>
          <w:rFonts w:ascii="Calibri" w:eastAsia="Calibri" w:hAnsi="Calibri" w:cs="Calibri"/>
          <w:color w:val="EE0000"/>
          <w:sz w:val="22"/>
          <w:szCs w:val="22"/>
        </w:rPr>
        <w:t xml:space="preserve"> oil &amp; gas infrastructure reconnaissance</w:t>
      </w:r>
    </w:p>
    <w:p w14:paraId="60327FD6" w14:textId="77777777" w:rsidR="00A34DAB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Pipeline system vulnerabilities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 SCADA and communication networks</w:t>
      </w:r>
    </w:p>
    <w:p w14:paraId="0C5F1E52" w14:textId="77777777" w:rsidR="00A34DAB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Refining process </w:t>
      </w:r>
      <w:proofErr w:type="gramStart"/>
      <w:r>
        <w:rPr>
          <w:rFonts w:ascii="Calibri" w:eastAsia="Calibri" w:hAnsi="Calibri" w:cs="Calibri"/>
          <w:b/>
          <w:color w:val="000000"/>
          <w:sz w:val="22"/>
          <w:szCs w:val="22"/>
        </w:rPr>
        <w:t>targeting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with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safety and environmental implications</w:t>
      </w:r>
    </w:p>
    <w:p w14:paraId="381AE0A5" w14:textId="77777777" w:rsidR="00A34DAB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Supply chain attacks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affecting distribution and logistics</w:t>
      </w:r>
    </w:p>
    <w:p w14:paraId="7A28DDE6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0CD5B718" w14:textId="77777777" w:rsidR="00A34DAB" w:rsidRDefault="00000000">
      <w:pPr>
        <w:pStyle w:val="Heading3"/>
      </w:pPr>
      <w:r>
        <w:t>Business Impact Vectors</w:t>
      </w:r>
    </w:p>
    <w:p w14:paraId="7DDDD4FA" w14:textId="77777777" w:rsidR="00A34DAB" w:rsidRDefault="00000000">
      <w:pPr>
        <w:widowControl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Production interruptions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with direct revenue impact</w:t>
      </w:r>
    </w:p>
    <w:p w14:paraId="4240830A" w14:textId="77777777" w:rsidR="00A34DAB" w:rsidRDefault="00000000">
      <w:pPr>
        <w:widowControl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Environmental safety risks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from process manipulation</w:t>
      </w:r>
    </w:p>
    <w:p w14:paraId="3FEFF92A" w14:textId="77777777" w:rsidR="00A34DAB" w:rsidRDefault="00000000">
      <w:pPr>
        <w:widowControl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bookmarkStart w:id="19" w:name="_hgohk32tpwbs" w:colFirst="0" w:colLast="0"/>
      <w:bookmarkEnd w:id="19"/>
      <w:r>
        <w:rPr>
          <w:rFonts w:ascii="Calibri" w:eastAsia="Calibri" w:hAnsi="Calibri" w:cs="Calibri"/>
          <w:b/>
          <w:color w:val="000000"/>
          <w:sz w:val="22"/>
          <w:szCs w:val="22"/>
        </w:rPr>
        <w:t>Transportation network disruption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affecting national supply chains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</w:p>
    <w:p w14:paraId="743694A0" w14:textId="77777777" w:rsidR="00A34DAB" w:rsidRDefault="00000000">
      <w:pPr>
        <w:pStyle w:val="Heading2"/>
      </w:pPr>
      <w:r>
        <w:t>Water &amp; Wastewater Systems</w:t>
      </w:r>
    </w:p>
    <w:p w14:paraId="6CF0AC31" w14:textId="77777777" w:rsidR="00A34DAB" w:rsidRDefault="00000000">
      <w:pPr>
        <w:pStyle w:val="Heading3"/>
      </w:pPr>
      <w:r>
        <w:t>Primary Threats</w:t>
      </w:r>
    </w:p>
    <w:p w14:paraId="680ACD8F" w14:textId="77777777" w:rsidR="00A34DAB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EE0000"/>
          <w:sz w:val="22"/>
          <w:szCs w:val="22"/>
        </w:rPr>
      </w:pPr>
      <w:r>
        <w:rPr>
          <w:rFonts w:ascii="Calibri" w:eastAsia="Calibri" w:hAnsi="Calibri" w:cs="Calibri"/>
          <w:b/>
          <w:color w:val="EE0000"/>
          <w:sz w:val="22"/>
          <w:szCs w:val="22"/>
        </w:rPr>
        <w:t>BAUXITE reconnaissance</w:t>
      </w:r>
      <w:r>
        <w:rPr>
          <w:rFonts w:ascii="Calibri" w:eastAsia="Calibri" w:hAnsi="Calibri" w:cs="Calibri"/>
          <w:color w:val="EE0000"/>
          <w:sz w:val="22"/>
          <w:szCs w:val="22"/>
        </w:rPr>
        <w:t xml:space="preserve"> of water treatment and distribution systems</w:t>
      </w:r>
    </w:p>
    <w:p w14:paraId="017CC73C" w14:textId="77777777" w:rsidR="00A34DAB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Chemical process manipulation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with public health implications</w:t>
      </w:r>
    </w:p>
    <w:p w14:paraId="2AF40BEF" w14:textId="77777777" w:rsidR="00A34DAB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Legacy SCADA vulnerabilities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 aging infrastructure</w:t>
      </w:r>
    </w:p>
    <w:p w14:paraId="6F7AA012" w14:textId="77777777" w:rsidR="00A34DAB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Multi-utility convergence risks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(electric-water interdependencies)</w:t>
      </w:r>
    </w:p>
    <w:p w14:paraId="4E5BCC7C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32C08F88" w14:textId="77777777" w:rsidR="00A34DAB" w:rsidRDefault="00000000">
      <w:pPr>
        <w:pStyle w:val="Heading3"/>
      </w:pPr>
      <w:r>
        <w:t>Business Impact Vectors</w:t>
      </w:r>
    </w:p>
    <w:p w14:paraId="204F301F" w14:textId="77777777" w:rsidR="00A34DAB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Public health threats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from water quality compromise</w:t>
      </w:r>
    </w:p>
    <w:p w14:paraId="18F5D554" w14:textId="77777777" w:rsidR="00A34DAB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Service disruption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affecting residential and commercial customers</w:t>
      </w:r>
    </w:p>
    <w:p w14:paraId="2A05B69B" w14:textId="77777777" w:rsidR="00A34DAB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Regulatory violations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(Safe Drinking Water Act, EPA requirements)</w:t>
      </w:r>
    </w:p>
    <w:p w14:paraId="383B2FE7" w14:textId="77777777" w:rsidR="00A34DAB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Economic impact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from service restoration and infrastructure replacement</w:t>
      </w:r>
    </w:p>
    <w:p w14:paraId="51A9715B" w14:textId="77777777" w:rsidR="00A34DAB" w:rsidRDefault="00000000">
      <w:pPr>
        <w:pStyle w:val="Heading1"/>
      </w:pPr>
      <w:bookmarkStart w:id="20" w:name="_hj7uln1xb92a" w:colFirst="0" w:colLast="0"/>
      <w:bookmarkEnd w:id="20"/>
      <w:r>
        <w:t>Partner with Industry Leaders</w:t>
      </w:r>
    </w:p>
    <w:p w14:paraId="6C6E91FD" w14:textId="77777777" w:rsidR="00A34DAB" w:rsidRDefault="00000000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In response to the escalating manufacturing cybersecurity crisis, NCC Group has partnered with Dragos and Adelard to deliver comprehensive OT security solutions specifically designed for manufacturing environments.</w:t>
      </w:r>
    </w:p>
    <w:p w14:paraId="68E38042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7ABC4CCC" w14:textId="77777777" w:rsidR="00A34DAB" w:rsidRDefault="00000000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NCC Group OTCE</w:t>
      </w:r>
      <w:r>
        <w:rPr>
          <w:rFonts w:ascii="Calibri" w:eastAsia="Calibri" w:hAnsi="Calibri" w:cs="Calibri"/>
          <w:sz w:val="22"/>
          <w:szCs w:val="22"/>
        </w:rPr>
        <w:t xml:space="preserve"> brings deep manufacturing sector expertise with proven implementations across automotive, aerospace, chemical, and discrete manufacturing. Our consultants understand the unique challenges of securing production environments while maintaining operational efficiency.</w:t>
      </w:r>
    </w:p>
    <w:p w14:paraId="24DB32BC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08361D42" w14:textId="77777777" w:rsidR="00A34DAB" w:rsidRDefault="00000000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Dragos</w:t>
      </w:r>
      <w:r>
        <w:rPr>
          <w:rFonts w:ascii="Calibri" w:eastAsia="Calibri" w:hAnsi="Calibri" w:cs="Calibri"/>
          <w:sz w:val="22"/>
          <w:szCs w:val="22"/>
        </w:rPr>
        <w:t xml:space="preserve"> provides the industry-leading OT threat detection platform, purpose-built for industrial environments. With visibility into over 95% of manufacturing protocols and threat intelligence from protecting 40% of Fortune 500 manufacturers, Dragos delivers unparalleled protection against OT-specific threats.</w:t>
      </w:r>
    </w:p>
    <w:p w14:paraId="1F0D20FB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55B6F2E8" w14:textId="77777777" w:rsidR="00A34DAB" w:rsidRDefault="00000000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Adelard</w:t>
      </w:r>
      <w:r>
        <w:rPr>
          <w:rFonts w:ascii="Calibri" w:eastAsia="Calibri" w:hAnsi="Calibri" w:cs="Calibri"/>
          <w:sz w:val="22"/>
          <w:szCs w:val="22"/>
        </w:rPr>
        <w:t xml:space="preserve"> complements our security capabilities with safety-critical systems expertise, ensuring cybersecurity measures enhance rather than compromise production safety. Their quantitative risk assessment methodologies enable data-driven security investment decisions aligned with business objectives.</w:t>
      </w:r>
    </w:p>
    <w:p w14:paraId="6691912F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797BAF48" w14:textId="77777777" w:rsidR="00A34DAB" w:rsidRDefault="00000000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Together</w:t>
      </w:r>
      <w:r>
        <w:rPr>
          <w:rFonts w:ascii="Calibri" w:eastAsia="Calibri" w:hAnsi="Calibri" w:cs="Calibri"/>
          <w:sz w:val="22"/>
          <w:szCs w:val="22"/>
        </w:rPr>
        <w:t>, this partnership delivers:</w:t>
      </w:r>
    </w:p>
    <w:p w14:paraId="19005CFD" w14:textId="77777777" w:rsidR="00A34DAB" w:rsidRDefault="00000000">
      <w:pPr>
        <w:widowControl/>
        <w:numPr>
          <w:ilvl w:val="0"/>
          <w:numId w:val="11"/>
        </w:numPr>
        <w:spacing w:after="0" w:line="276" w:lineRule="auto"/>
        <w:jc w:val="left"/>
      </w:pPr>
      <w:r>
        <w:rPr>
          <w:rFonts w:ascii="Calibri" w:eastAsia="Calibri" w:hAnsi="Calibri" w:cs="Calibri"/>
          <w:sz w:val="22"/>
          <w:szCs w:val="22"/>
        </w:rPr>
        <w:t>87% improvement in threat detection over traditional IT security tools</w:t>
      </w:r>
    </w:p>
    <w:p w14:paraId="3DFC04E4" w14:textId="77777777" w:rsidR="00A34DAB" w:rsidRDefault="00000000">
      <w:pPr>
        <w:widowControl/>
        <w:numPr>
          <w:ilvl w:val="0"/>
          <w:numId w:val="11"/>
        </w:numPr>
        <w:spacing w:after="0" w:line="276" w:lineRule="auto"/>
        <w:jc w:val="left"/>
      </w:pPr>
      <w:r>
        <w:rPr>
          <w:rFonts w:ascii="Calibri" w:eastAsia="Calibri" w:hAnsi="Calibri" w:cs="Calibri"/>
          <w:sz w:val="22"/>
          <w:szCs w:val="22"/>
        </w:rPr>
        <w:t>OT-specific incident response reducing recovery time by 65%</w:t>
      </w:r>
    </w:p>
    <w:p w14:paraId="08547466" w14:textId="77777777" w:rsidR="00A34DAB" w:rsidRDefault="00000000">
      <w:pPr>
        <w:widowControl/>
        <w:numPr>
          <w:ilvl w:val="0"/>
          <w:numId w:val="11"/>
        </w:numPr>
        <w:spacing w:after="0" w:line="276" w:lineRule="auto"/>
        <w:jc w:val="left"/>
      </w:pPr>
      <w:r>
        <w:rPr>
          <w:rFonts w:ascii="Calibri" w:eastAsia="Calibri" w:hAnsi="Calibri" w:cs="Calibri"/>
          <w:sz w:val="22"/>
          <w:szCs w:val="22"/>
        </w:rPr>
        <w:t>Regulatory compliance automation for emerging manufacturing standards</w:t>
      </w:r>
    </w:p>
    <w:p w14:paraId="2B02312B" w14:textId="77777777" w:rsidR="00A34DAB" w:rsidRDefault="00000000">
      <w:pPr>
        <w:widowControl/>
        <w:numPr>
          <w:ilvl w:val="0"/>
          <w:numId w:val="11"/>
        </w:numPr>
        <w:spacing w:after="0" w:line="276" w:lineRule="auto"/>
        <w:jc w:val="left"/>
      </w:pPr>
      <w:r>
        <w:rPr>
          <w:rFonts w:ascii="Calibri" w:eastAsia="Calibri" w:hAnsi="Calibri" w:cs="Calibri"/>
          <w:sz w:val="22"/>
          <w:szCs w:val="22"/>
        </w:rPr>
        <w:t>Proven ROI with average 18-month payback on security investments</w:t>
      </w:r>
    </w:p>
    <w:p w14:paraId="0E24F65F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3B0C5362" w14:textId="77777777" w:rsidR="00A34DAB" w:rsidRDefault="00000000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Contact our manufacturing security specialist at </w:t>
      </w:r>
      <w:hyperlink r:id="rId11">
        <w:r>
          <w:rPr>
            <w:rFonts w:ascii="Calibri" w:eastAsia="Calibri" w:hAnsi="Calibri" w:cs="Calibri"/>
            <w:color w:val="0000FF"/>
            <w:sz w:val="22"/>
            <w:szCs w:val="22"/>
            <w:u w:val="single"/>
          </w:rPr>
          <w:t>jim.mckenney@nccgroup.com</w:t>
        </w:r>
      </w:hyperlink>
      <w:r>
        <w:rPr>
          <w:rFonts w:ascii="Calibri" w:eastAsia="Calibri" w:hAnsi="Calibri" w:cs="Calibri"/>
          <w:sz w:val="22"/>
          <w:szCs w:val="22"/>
        </w:rPr>
        <w:t xml:space="preserve"> to schedule an executive briefing on protecting your production environments.</w:t>
      </w:r>
    </w:p>
    <w:p w14:paraId="62E7AB45" w14:textId="77777777" w:rsidR="00A34DAB" w:rsidRDefault="00A34DAB">
      <w:pPr>
        <w:widowControl/>
        <w:spacing w:after="0" w:line="276" w:lineRule="auto"/>
        <w:jc w:val="left"/>
        <w:rPr>
          <w:rFonts w:ascii="Calibri" w:eastAsia="Calibri" w:hAnsi="Calibri" w:cs="Calibri"/>
          <w:sz w:val="22"/>
          <w:szCs w:val="22"/>
        </w:rPr>
      </w:pPr>
    </w:p>
    <w:p w14:paraId="6CA259A5" w14:textId="77777777" w:rsidR="00A34DAB" w:rsidRDefault="00A34DAB">
      <w:pPr>
        <w:widowControl/>
        <w:spacing w:after="0"/>
        <w:jc w:val="left"/>
        <w:rPr>
          <w:rFonts w:ascii="Calibri" w:eastAsia="Calibri" w:hAnsi="Calibri" w:cs="Calibri"/>
          <w:sz w:val="22"/>
          <w:szCs w:val="22"/>
        </w:rPr>
      </w:pPr>
      <w:bookmarkStart w:id="21" w:name="_2v8nuiao2n3x" w:colFirst="0" w:colLast="0"/>
      <w:bookmarkEnd w:id="21"/>
    </w:p>
    <w:sectPr w:rsidR="00A34DAB">
      <w:headerReference w:type="default" r:id="rId12"/>
      <w:footerReference w:type="default" r:id="rId13"/>
      <w:headerReference w:type="first" r:id="rId14"/>
      <w:pgSz w:w="12240" w:h="15840"/>
      <w:pgMar w:top="720" w:right="720" w:bottom="720" w:left="720" w:header="709" w:footer="39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6F2C7" w14:textId="77777777" w:rsidR="00B17A00" w:rsidRDefault="00B17A00">
      <w:pPr>
        <w:spacing w:after="0"/>
      </w:pPr>
      <w:r>
        <w:separator/>
      </w:r>
    </w:p>
  </w:endnote>
  <w:endnote w:type="continuationSeparator" w:id="0">
    <w:p w14:paraId="2A36C13A" w14:textId="77777777" w:rsidR="00B17A00" w:rsidRDefault="00B17A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C0B711E-BD45-402A-BB8A-A281A4C948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FDCFE52-CD50-4BCD-B2E4-7DF03B6237FF}"/>
    <w:embedBold r:id="rId3" w:fontKey="{932967B0-8CC8-467B-95ED-A7E9E4DD84EA}"/>
    <w:embedItalic r:id="rId4" w:fontKey="{CC0E67D5-99E0-4439-85C6-EAC3652A93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5" w:fontKey="{5BD67C98-1790-4602-8544-8A616CCB3E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53C91A6-4321-494C-81A3-98285F7E77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06F0F" w14:textId="77777777" w:rsidR="00A34D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color w:val="000000"/>
        <w:sz w:val="16"/>
        <w:szCs w:val="16"/>
      </w:rPr>
    </w:pPr>
    <w:r>
      <w:rPr>
        <w:b/>
        <w:color w:val="000000"/>
        <w:sz w:val="16"/>
        <w:szCs w:val="16"/>
      </w:rPr>
      <w:t>OTCE Project Nightingale</w:t>
    </w:r>
    <w:r>
      <w:rPr>
        <w:b/>
        <w:color w:val="000000"/>
        <w:sz w:val="16"/>
        <w:szCs w:val="16"/>
      </w:rPr>
      <w:tab/>
    </w:r>
    <w:r>
      <w:rPr>
        <w:b/>
        <w:color w:val="000000"/>
        <w:sz w:val="16"/>
        <w:szCs w:val="16"/>
      </w:rPr>
      <w:tab/>
    </w:r>
    <w:r>
      <w:rPr>
        <w:b/>
        <w:color w:val="000000"/>
        <w:sz w:val="16"/>
        <w:szCs w:val="16"/>
      </w:rPr>
      <w:tab/>
      <w:t xml:space="preserve">Page </w:t>
    </w:r>
    <w:r>
      <w:rPr>
        <w:b/>
        <w:color w:val="000000"/>
        <w:sz w:val="16"/>
        <w:szCs w:val="16"/>
      </w:rPr>
      <w:fldChar w:fldCharType="begin"/>
    </w:r>
    <w:r>
      <w:rPr>
        <w:b/>
        <w:color w:val="000000"/>
        <w:sz w:val="16"/>
        <w:szCs w:val="16"/>
      </w:rPr>
      <w:instrText>PAGE</w:instrText>
    </w:r>
    <w:r>
      <w:rPr>
        <w:b/>
        <w:color w:val="000000"/>
        <w:sz w:val="16"/>
        <w:szCs w:val="16"/>
      </w:rPr>
      <w:fldChar w:fldCharType="separate"/>
    </w:r>
    <w:r w:rsidR="002026E5">
      <w:rPr>
        <w:b/>
        <w:noProof/>
        <w:color w:val="000000"/>
        <w:sz w:val="16"/>
        <w:szCs w:val="16"/>
      </w:rPr>
      <w:t>2</w:t>
    </w:r>
    <w:r>
      <w:rPr>
        <w:b/>
        <w:color w:val="000000"/>
        <w:sz w:val="16"/>
        <w:szCs w:val="16"/>
      </w:rPr>
      <w:fldChar w:fldCharType="end"/>
    </w:r>
    <w:r>
      <w:rPr>
        <w:b/>
        <w:color w:val="000000"/>
        <w:sz w:val="16"/>
        <w:szCs w:val="16"/>
      </w:rPr>
      <w:t xml:space="preserve"> of </w:t>
    </w:r>
    <w:r>
      <w:rPr>
        <w:b/>
        <w:color w:val="000000"/>
        <w:sz w:val="16"/>
        <w:szCs w:val="16"/>
      </w:rPr>
      <w:fldChar w:fldCharType="begin"/>
    </w:r>
    <w:r>
      <w:rPr>
        <w:b/>
        <w:color w:val="000000"/>
        <w:sz w:val="16"/>
        <w:szCs w:val="16"/>
      </w:rPr>
      <w:instrText>NUMPAGES</w:instrText>
    </w:r>
    <w:r>
      <w:rPr>
        <w:b/>
        <w:color w:val="000000"/>
        <w:sz w:val="16"/>
        <w:szCs w:val="16"/>
      </w:rPr>
      <w:fldChar w:fldCharType="separate"/>
    </w:r>
    <w:r w:rsidR="002026E5">
      <w:rPr>
        <w:b/>
        <w:noProof/>
        <w:color w:val="000000"/>
        <w:sz w:val="16"/>
        <w:szCs w:val="16"/>
      </w:rPr>
      <w:t>3</w:t>
    </w:r>
    <w:r>
      <w:rPr>
        <w:b/>
        <w:color w:val="000000"/>
        <w:sz w:val="16"/>
        <w:szCs w:val="16"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7516EBA2" wp14:editId="0B5A8BD5">
              <wp:simplePos x="0" y="0"/>
              <wp:positionH relativeFrom="column">
                <wp:posOffset>-876299</wp:posOffset>
              </wp:positionH>
              <wp:positionV relativeFrom="paragraph">
                <wp:posOffset>152400</wp:posOffset>
              </wp:positionV>
              <wp:extent cx="10668000" cy="345669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6763" y="3611928"/>
                        <a:ext cx="10658475" cy="336144"/>
                      </a:xfrm>
                      <a:prstGeom prst="rect">
                        <a:avLst/>
                      </a:prstGeom>
                      <a:solidFill>
                        <a:srgbClr val="0B1932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29DE7C3" w14:textId="77777777" w:rsidR="00A34DAB" w:rsidRDefault="00000000">
                          <w:pPr>
                            <w:textDirection w:val="btLr"/>
                          </w:pPr>
                          <w:r>
                            <w:rPr>
                              <w:color w:val="FFFFFF"/>
                            </w:rPr>
                            <w:t xml:space="preserve">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-876299</wp:posOffset>
              </wp:positionH>
              <wp:positionV relativeFrom="paragraph">
                <wp:posOffset>152400</wp:posOffset>
              </wp:positionV>
              <wp:extent cx="10668000" cy="345669"/>
              <wp:effectExtent b="0" l="0" r="0" t="0"/>
              <wp:wrapNone/>
              <wp:docPr id="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68000" cy="34566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2BB32619" wp14:editId="12C95E02">
              <wp:simplePos x="0" y="0"/>
              <wp:positionH relativeFrom="column">
                <wp:posOffset>-507999</wp:posOffset>
              </wp:positionH>
              <wp:positionV relativeFrom="paragraph">
                <wp:posOffset>88900</wp:posOffset>
              </wp:positionV>
              <wp:extent cx="360655" cy="366129"/>
              <wp:effectExtent l="0" t="0" r="0" b="0"/>
              <wp:wrapNone/>
              <wp:docPr id="2" name="Freeform: 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70435" y="3601698"/>
                        <a:ext cx="351130" cy="35660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2968" h="906684" extrusionOk="0">
                            <a:moveTo>
                              <a:pt x="0" y="453295"/>
                            </a:moveTo>
                            <a:cubicBezTo>
                              <a:pt x="0" y="703707"/>
                              <a:pt x="202978" y="906685"/>
                              <a:pt x="453390" y="906685"/>
                            </a:cubicBezTo>
                            <a:cubicBezTo>
                              <a:pt x="664178" y="906685"/>
                              <a:pt x="841343" y="762762"/>
                              <a:pt x="892112" y="567881"/>
                            </a:cubicBezTo>
                            <a:cubicBezTo>
                              <a:pt x="883825" y="561308"/>
                              <a:pt x="876110" y="554546"/>
                              <a:pt x="868871" y="548164"/>
                            </a:cubicBezTo>
                            <a:cubicBezTo>
                              <a:pt x="839629" y="522542"/>
                              <a:pt x="818388" y="503968"/>
                              <a:pt x="773335" y="503301"/>
                            </a:cubicBezTo>
                            <a:cubicBezTo>
                              <a:pt x="771620" y="503301"/>
                              <a:pt x="770001" y="503396"/>
                              <a:pt x="768287" y="503301"/>
                            </a:cubicBezTo>
                            <a:cubicBezTo>
                              <a:pt x="723614" y="504063"/>
                              <a:pt x="702374" y="522542"/>
                              <a:pt x="673227" y="548164"/>
                            </a:cubicBezTo>
                            <a:cubicBezTo>
                              <a:pt x="638270" y="578834"/>
                              <a:pt x="594836" y="616934"/>
                              <a:pt x="511969" y="616934"/>
                            </a:cubicBezTo>
                            <a:cubicBezTo>
                              <a:pt x="429101" y="616934"/>
                              <a:pt x="385572" y="578834"/>
                              <a:pt x="350711" y="548164"/>
                            </a:cubicBezTo>
                            <a:cubicBezTo>
                              <a:pt x="320993" y="522065"/>
                              <a:pt x="299561" y="503301"/>
                              <a:pt x="252889" y="503301"/>
                            </a:cubicBezTo>
                            <a:cubicBezTo>
                              <a:pt x="211074" y="503301"/>
                              <a:pt x="189548" y="518446"/>
                              <a:pt x="164211" y="540353"/>
                            </a:cubicBezTo>
                            <a:cubicBezTo>
                              <a:pt x="141923" y="522065"/>
                              <a:pt x="113538" y="502253"/>
                              <a:pt x="75343" y="489966"/>
                            </a:cubicBezTo>
                            <a:cubicBezTo>
                              <a:pt x="118872" y="450723"/>
                              <a:pt x="157544" y="408623"/>
                              <a:pt x="252984" y="407099"/>
                            </a:cubicBezTo>
                            <a:cubicBezTo>
                              <a:pt x="335851" y="407099"/>
                              <a:pt x="379286" y="445199"/>
                              <a:pt x="414242" y="475869"/>
                            </a:cubicBezTo>
                            <a:cubicBezTo>
                              <a:pt x="443960" y="501968"/>
                              <a:pt x="465392" y="520732"/>
                              <a:pt x="512064" y="520732"/>
                            </a:cubicBezTo>
                            <a:cubicBezTo>
                              <a:pt x="558737" y="520732"/>
                              <a:pt x="580168" y="501872"/>
                              <a:pt x="609790" y="475869"/>
                            </a:cubicBezTo>
                            <a:cubicBezTo>
                              <a:pt x="617315" y="469297"/>
                              <a:pt x="625316" y="462248"/>
                              <a:pt x="633984" y="455486"/>
                            </a:cubicBezTo>
                            <a:cubicBezTo>
                              <a:pt x="625126" y="448532"/>
                              <a:pt x="617030" y="441484"/>
                              <a:pt x="609410" y="434721"/>
                            </a:cubicBezTo>
                            <a:cubicBezTo>
                              <a:pt x="579692" y="408623"/>
                              <a:pt x="558260" y="389858"/>
                              <a:pt x="511588" y="389858"/>
                            </a:cubicBezTo>
                            <a:cubicBezTo>
                              <a:pt x="469773" y="389858"/>
                              <a:pt x="448247" y="405003"/>
                              <a:pt x="422910" y="426911"/>
                            </a:cubicBezTo>
                            <a:cubicBezTo>
                              <a:pt x="400622" y="408623"/>
                              <a:pt x="372237" y="388811"/>
                              <a:pt x="334042" y="376523"/>
                            </a:cubicBezTo>
                            <a:cubicBezTo>
                              <a:pt x="378619" y="335947"/>
                              <a:pt x="416243" y="295180"/>
                              <a:pt x="511683" y="293656"/>
                            </a:cubicBezTo>
                            <a:cubicBezTo>
                              <a:pt x="594551" y="293656"/>
                              <a:pt x="637985" y="331756"/>
                              <a:pt x="672941" y="362426"/>
                            </a:cubicBezTo>
                            <a:cubicBezTo>
                              <a:pt x="702183" y="388049"/>
                              <a:pt x="723424" y="406622"/>
                              <a:pt x="768477" y="407289"/>
                            </a:cubicBezTo>
                            <a:cubicBezTo>
                              <a:pt x="769430" y="407289"/>
                              <a:pt x="772668" y="407289"/>
                              <a:pt x="773525" y="407289"/>
                            </a:cubicBezTo>
                            <a:cubicBezTo>
                              <a:pt x="818198" y="406527"/>
                              <a:pt x="839534" y="388049"/>
                              <a:pt x="868585" y="362426"/>
                            </a:cubicBezTo>
                            <a:cubicBezTo>
                              <a:pt x="876205" y="355759"/>
                              <a:pt x="884301" y="348710"/>
                              <a:pt x="892969" y="341852"/>
                            </a:cubicBezTo>
                            <a:cubicBezTo>
                              <a:pt x="892969" y="341852"/>
                              <a:pt x="892969" y="341852"/>
                              <a:pt x="892969" y="341757"/>
                            </a:cubicBezTo>
                            <a:cubicBezTo>
                              <a:pt x="884206" y="334804"/>
                              <a:pt x="876205" y="327850"/>
                              <a:pt x="868585" y="321183"/>
                            </a:cubicBezTo>
                            <a:cubicBezTo>
                              <a:pt x="838867" y="295085"/>
                              <a:pt x="817436" y="276320"/>
                              <a:pt x="770763" y="276320"/>
                            </a:cubicBezTo>
                            <a:cubicBezTo>
                              <a:pt x="728948" y="276320"/>
                              <a:pt x="707422" y="291465"/>
                              <a:pt x="681990" y="313373"/>
                            </a:cubicBezTo>
                            <a:cubicBezTo>
                              <a:pt x="659702" y="295085"/>
                              <a:pt x="631317" y="275273"/>
                              <a:pt x="593122" y="262985"/>
                            </a:cubicBezTo>
                            <a:cubicBezTo>
                              <a:pt x="636651" y="221266"/>
                              <a:pt x="675323" y="181642"/>
                              <a:pt x="770763" y="180118"/>
                            </a:cubicBezTo>
                            <a:cubicBezTo>
                              <a:pt x="788480" y="180118"/>
                              <a:pt x="804291" y="181928"/>
                              <a:pt x="818674" y="184976"/>
                            </a:cubicBezTo>
                            <a:cubicBezTo>
                              <a:pt x="735997" y="72676"/>
                              <a:pt x="603123" y="0"/>
                              <a:pt x="453390" y="0"/>
                            </a:cubicBezTo>
                            <a:cubicBezTo>
                              <a:pt x="202978" y="0"/>
                              <a:pt x="0" y="202978"/>
                              <a:pt x="0" y="453295"/>
                            </a:cubicBezTo>
                          </a:path>
                        </a:pathLst>
                      </a:cu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30876A" w14:textId="77777777" w:rsidR="00A34DAB" w:rsidRDefault="00A34DAB">
                          <w:pPr>
                            <w:spacing w:after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-507999</wp:posOffset>
              </wp:positionH>
              <wp:positionV relativeFrom="paragraph">
                <wp:posOffset>88900</wp:posOffset>
              </wp:positionV>
              <wp:extent cx="360655" cy="366129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0655" cy="36612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D603D" w14:textId="77777777" w:rsidR="00B17A00" w:rsidRDefault="00B17A00">
      <w:pPr>
        <w:spacing w:after="0"/>
      </w:pPr>
      <w:r>
        <w:separator/>
      </w:r>
    </w:p>
  </w:footnote>
  <w:footnote w:type="continuationSeparator" w:id="0">
    <w:p w14:paraId="1CC98B55" w14:textId="77777777" w:rsidR="00B17A00" w:rsidRDefault="00B17A0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0FBED" w14:textId="77777777" w:rsidR="00A34D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6B3CD1B" wp14:editId="0AD05343">
          <wp:simplePos x="0" y="0"/>
          <wp:positionH relativeFrom="column">
            <wp:posOffset>5716270</wp:posOffset>
          </wp:positionH>
          <wp:positionV relativeFrom="paragraph">
            <wp:posOffset>-245744</wp:posOffset>
          </wp:positionV>
          <wp:extent cx="1137285" cy="375285"/>
          <wp:effectExtent l="0" t="0" r="0" b="0"/>
          <wp:wrapSquare wrapText="bothSides" distT="0" distB="0" distL="114300" distR="114300"/>
          <wp:docPr id="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7285" cy="3752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D0A4" w14:textId="77777777" w:rsidR="00A34DAB" w:rsidRDefault="00A34DA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p w14:paraId="3666E823" w14:textId="77777777" w:rsidR="00A34DAB" w:rsidRDefault="00A34DA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EE5"/>
    <w:multiLevelType w:val="multilevel"/>
    <w:tmpl w:val="2F1478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F52742"/>
    <w:multiLevelType w:val="multilevel"/>
    <w:tmpl w:val="6D5007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195A36"/>
    <w:multiLevelType w:val="multilevel"/>
    <w:tmpl w:val="423A11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E5483A"/>
    <w:multiLevelType w:val="multilevel"/>
    <w:tmpl w:val="33747A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95549D7"/>
    <w:multiLevelType w:val="multilevel"/>
    <w:tmpl w:val="11BCCC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BDB3D4C"/>
    <w:multiLevelType w:val="multilevel"/>
    <w:tmpl w:val="9F1C674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6" w15:restartNumberingAfterBreak="0">
    <w:nsid w:val="2F452B9F"/>
    <w:multiLevelType w:val="multilevel"/>
    <w:tmpl w:val="808AB7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B294D8F"/>
    <w:multiLevelType w:val="multilevel"/>
    <w:tmpl w:val="428EA4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1EB149B"/>
    <w:multiLevelType w:val="multilevel"/>
    <w:tmpl w:val="4D1E0F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3A1808"/>
    <w:multiLevelType w:val="multilevel"/>
    <w:tmpl w:val="5D5ABB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A1D0303"/>
    <w:multiLevelType w:val="multilevel"/>
    <w:tmpl w:val="648255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34E2B62"/>
    <w:multiLevelType w:val="multilevel"/>
    <w:tmpl w:val="391EB2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42828CE"/>
    <w:multiLevelType w:val="multilevel"/>
    <w:tmpl w:val="38B845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4B70067"/>
    <w:multiLevelType w:val="multilevel"/>
    <w:tmpl w:val="2D7A12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7C65B96"/>
    <w:multiLevelType w:val="multilevel"/>
    <w:tmpl w:val="A20AD5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0331CFC"/>
    <w:multiLevelType w:val="multilevel"/>
    <w:tmpl w:val="58B444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96426">
    <w:abstractNumId w:val="2"/>
  </w:num>
  <w:num w:numId="2" w16cid:durableId="700401219">
    <w:abstractNumId w:val="3"/>
  </w:num>
  <w:num w:numId="3" w16cid:durableId="1588953070">
    <w:abstractNumId w:val="9"/>
  </w:num>
  <w:num w:numId="4" w16cid:durableId="1606768820">
    <w:abstractNumId w:val="4"/>
  </w:num>
  <w:num w:numId="5" w16cid:durableId="662044922">
    <w:abstractNumId w:val="6"/>
  </w:num>
  <w:num w:numId="6" w16cid:durableId="1568952588">
    <w:abstractNumId w:val="0"/>
  </w:num>
  <w:num w:numId="7" w16cid:durableId="871114821">
    <w:abstractNumId w:val="15"/>
  </w:num>
  <w:num w:numId="8" w16cid:durableId="1539930649">
    <w:abstractNumId w:val="11"/>
  </w:num>
  <w:num w:numId="9" w16cid:durableId="804857119">
    <w:abstractNumId w:val="14"/>
  </w:num>
  <w:num w:numId="10" w16cid:durableId="1602570659">
    <w:abstractNumId w:val="7"/>
  </w:num>
  <w:num w:numId="11" w16cid:durableId="1751267439">
    <w:abstractNumId w:val="5"/>
  </w:num>
  <w:num w:numId="12" w16cid:durableId="1279608748">
    <w:abstractNumId w:val="12"/>
  </w:num>
  <w:num w:numId="13" w16cid:durableId="1076051305">
    <w:abstractNumId w:val="8"/>
  </w:num>
  <w:num w:numId="14" w16cid:durableId="476339239">
    <w:abstractNumId w:val="10"/>
  </w:num>
  <w:num w:numId="15" w16cid:durableId="131945103">
    <w:abstractNumId w:val="13"/>
  </w:num>
  <w:num w:numId="16" w16cid:durableId="1135483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DAB"/>
    <w:rsid w:val="002026E5"/>
    <w:rsid w:val="002A0AC6"/>
    <w:rsid w:val="00A34DAB"/>
    <w:rsid w:val="00B17A00"/>
    <w:rsid w:val="00B8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FA86A"/>
  <w15:docId w15:val="{EDB9C558-FD64-4DA3-9CA2-9E3651A7C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widowControl w:val="0"/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/>
      <w:ind w:left="360" w:hanging="360"/>
      <w:outlineLvl w:val="0"/>
    </w:pPr>
    <w:rPr>
      <w:rFonts w:ascii="Calibri" w:eastAsia="Calibri" w:hAnsi="Calibri" w:cs="Calibri"/>
      <w:b/>
      <w:color w:val="002060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20"/>
      <w:outlineLvl w:val="1"/>
    </w:pPr>
    <w:rPr>
      <w:rFonts w:ascii="Calibri" w:eastAsia="Calibri" w:hAnsi="Calibri" w:cs="Calibri"/>
      <w:b/>
      <w:color w:val="002060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120"/>
      <w:ind w:left="505" w:hanging="505"/>
      <w:outlineLvl w:val="2"/>
    </w:pPr>
    <w:rPr>
      <w:rFonts w:ascii="Calibri" w:eastAsia="Calibri" w:hAnsi="Calibri" w:cs="Calibri"/>
      <w:b/>
      <w:color w:val="00206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ind w:left="864" w:hanging="864"/>
      <w:outlineLvl w:val="3"/>
    </w:pPr>
    <w:rPr>
      <w:color w:val="C4123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ind w:left="1008" w:hanging="1008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ind w:left="1152" w:hanging="1152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rPr>
      <w:b/>
      <w:color w:val="C41230"/>
      <w:sz w:val="44"/>
      <w:szCs w:val="4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0"/>
    <w:pPr>
      <w:keepLines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keepLines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keepLines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keepLines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keepLines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keepLines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jim.mckenney@nccgroup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1636</Words>
  <Characters>9328</Characters>
  <Application>Microsoft Office Word</Application>
  <DocSecurity>0</DocSecurity>
  <Lines>77</Lines>
  <Paragraphs>21</Paragraphs>
  <ScaleCrop>false</ScaleCrop>
  <Company>NCC Group</Company>
  <LinksUpToDate>false</LinksUpToDate>
  <CharactersWithSpaces>10943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</dc:creator>
  <cp:lastModifiedBy>Jim McKenney</cp:lastModifiedBy>
  <cp:revision>2</cp:revision>
  <dcterms:created xsi:type="dcterms:W3CDTF">2025-08-15T18:09:00Z</dcterms:created>
  <dcterms:modified xsi:type="dcterms:W3CDTF">2025-08-15T18:09:00Z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0x010100926B9FB1EFC96E4AA4A43766338A1604</vt:lpwstr>
  </property>
  <property fmtid="{D5CDD505-2E9C-101B-9397-08002B2CF9AE}" pid="3" name="NCC_DocumentType">
    <vt:lpwstr>9;#Final Report|c71bfd4f-0380-4402-a453-3369389ef135</vt:lpwstr>
  </property>
  <property fmtid="{D5CDD505-2E9C-101B-9397-08002B2CF9AE}" pid="4" name="MediaServiceImageTags">
    <vt:lpwstr>MediaServiceImageTags</vt:lpwstr>
  </property>
</Properties>
</file>