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IEC 62443 COMPREHENSIVE RESEARCH</w:t>
      </w:r>
    </w:p>
    <w:p>
      <w:pPr>
        <w:spacing w:after="120"/>
        <w:jc w:val="center"/>
      </w:pPr>
      <w:r>
        <w:rPr>
          <w:color w:val="444444"/>
          <w:sz w:val="28"/>
          <w:szCs w:val="28"/>
        </w:rPr>
        <w:t xml:space="preserve">Security Levels, Foundational Requirements, Zones &amp; Conduits</w:t>
      </w:r>
    </w:p>
    <w:p>
      <w:pPr>
        <w:spacing w:after="400"/>
        <w:jc w:val="center"/>
      </w:pPr>
      <w:r>
        <w:rPr>
          <w:i/>
          <w:iCs/>
          <w:color w:val="666666"/>
          <w:sz w:val="24"/>
          <w:szCs w:val="24"/>
        </w:rPr>
        <w:t xml:space="preserve">Supporting the CRL IEC-62443 Cybersecurity Project</w:t>
      </w:r>
    </w:p>
    <w:p>
      <w:pPr>
        <w:spacing w:after="200"/>
        <w:jc w:val="center"/>
      </w:pPr>
      <w:r>
        <w:rPr>
          <w:color w:val="666666"/>
          <w:sz w:val="22"/>
          <w:szCs w:val="22"/>
        </w:rPr>
        <w:t xml:space="preserve">December 2025</w:t>
      </w:r>
    </w:p>
    <w:p>
      <w:r>
        <w:br w:type="page"/>
      </w:r>
    </w:p>
    <w:p>
      <w:pPr>
        <w:pStyle w:val="Heading1"/>
      </w:pPr>
      <w:r>
        <w:t xml:space="preserve">1. EXECUTIVE SUMMARY</w:t>
      </w:r>
    </w:p>
    <w:p>
      <w:pPr>
        <w:spacing w:after="200"/>
      </w:pPr>
      <w:r>
        <w:t xml:space="preserve">This research document provides a comprehensive analysis of the IEC 62443 series of standards, focusing on the key concepts critical to the CRL Cybersecurity Project. The research covers security levels and their application, the seven foundational requirements, zone and conduit architecture, risk assessment methodologies, and detailed process flows at both high and detailed levels.</w:t>
      </w:r>
    </w:p>
    <w:p>
      <w:pPr>
        <w:spacing w:after="200"/>
      </w:pPr>
      <w:r>
        <w:t xml:space="preserve">IEC 62443 is the internationally recognized standard series for cybersecurity in Industrial Automation and Control Systems (IACS). The standards provide a comprehensive framework addressing requirements for asset owners, system integrators, and component suppliers throughout the system lifecycle.</w:t>
      </w:r>
    </w:p>
    <w:p>
      <w:r>
        <w:br w:type="page"/>
      </w:r>
    </w:p>
    <w:p>
      <w:pPr>
        <w:pStyle w:val="Heading1"/>
      </w:pPr>
      <w:r>
        <w:t xml:space="preserve">2. IEC 62443 STANDARD SERIES OVERVIEW</w:t>
      </w:r>
    </w:p>
    <w:p>
      <w:pPr>
        <w:spacing w:after="200"/>
      </w:pPr>
      <w:r>
        <w:t xml:space="preserve">The IEC 62443 series consists of multiple parts organized into four main categories, each targeting different stakeholders and security aspects of industrial automation systems.</w:t>
      </w:r>
    </w:p>
    <w:p>
      <w:pPr>
        <w:pStyle w:val="Heading2"/>
      </w:pPr>
      <w:r>
        <w:t xml:space="preserve">2.1 Standard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Part</w:t>
            </w:r>
          </w:p>
        </w:tc>
        <w:tc>
          <w:tcPr>
            <w:tcW w:type="dxa" w:w="30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Category</w:t>
            </w:r>
          </w:p>
        </w:tc>
        <w:tc>
          <w:tcPr>
            <w:tcW w:type="dxa" w:w="42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Focus &amp; Key Documents</w:t>
            </w:r>
          </w:p>
        </w:tc>
      </w:tr>
      <w:tr>
        <w:tc>
          <w:tcPr>
            <w:tcW w:type="dxa" w:w="1800"/>
            <w:tcBorders>
              <w:top w:val="single" w:color="CCCCCC" w:sz="1"/>
              <w:left w:val="single" w:color="CCCCCC" w:sz="1"/>
              <w:bottom w:val="single" w:color="CCCCCC" w:sz="1"/>
              <w:right w:val="single" w:color="CCCCCC" w:sz="1"/>
            </w:tcBorders>
          </w:tcPr>
          <w:p>
            <w:r>
              <w:rPr>
                <w:b/>
                <w:bCs/>
              </w:rPr>
              <w:t xml:space="preserve">Part 1-x</w:t>
            </w:r>
          </w:p>
        </w:tc>
        <w:tc>
          <w:tcPr>
            <w:tcW w:type="dxa" w:w="3000"/>
            <w:tcBorders>
              <w:top w:val="single" w:color="CCCCCC" w:sz="1"/>
              <w:left w:val="single" w:color="CCCCCC" w:sz="1"/>
              <w:bottom w:val="single" w:color="CCCCCC" w:sz="1"/>
              <w:right w:val="single" w:color="CCCCCC" w:sz="1"/>
            </w:tcBorders>
          </w:tcPr>
          <w:p>
            <w:r>
              <w:t xml:space="preserve">General</w:t>
            </w:r>
          </w:p>
        </w:tc>
        <w:tc>
          <w:tcPr>
            <w:tcW w:type="dxa" w:w="4200"/>
            <w:tcBorders>
              <w:top w:val="single" w:color="CCCCCC" w:sz="1"/>
              <w:left w:val="single" w:color="CCCCCC" w:sz="1"/>
              <w:bottom w:val="single" w:color="CCCCCC" w:sz="1"/>
              <w:right w:val="single" w:color="CCCCCC" w:sz="1"/>
            </w:tcBorders>
          </w:tcPr>
          <w:p>
            <w:r>
              <w:t xml:space="preserve">Terminology, concepts, models, and foundational requirements (1-1)</w:t>
            </w:r>
          </w:p>
        </w:tc>
      </w:tr>
      <w:tr>
        <w:tc>
          <w:tcPr>
            <w:tcW w:type="dxa" w:w="1800"/>
            <w:tcBorders>
              <w:top w:val="single" w:color="CCCCCC" w:sz="1"/>
              <w:left w:val="single" w:color="CCCCCC" w:sz="1"/>
              <w:bottom w:val="single" w:color="CCCCCC" w:sz="1"/>
              <w:right w:val="single" w:color="CCCCCC" w:sz="1"/>
            </w:tcBorders>
          </w:tcPr>
          <w:p>
            <w:r>
              <w:rPr>
                <w:b/>
                <w:bCs/>
              </w:rPr>
              <w:t xml:space="preserve">Part 2-x</w:t>
            </w:r>
          </w:p>
        </w:tc>
        <w:tc>
          <w:tcPr>
            <w:tcW w:type="dxa" w:w="3000"/>
            <w:tcBorders>
              <w:top w:val="single" w:color="CCCCCC" w:sz="1"/>
              <w:left w:val="single" w:color="CCCCCC" w:sz="1"/>
              <w:bottom w:val="single" w:color="CCCCCC" w:sz="1"/>
              <w:right w:val="single" w:color="CCCCCC" w:sz="1"/>
            </w:tcBorders>
          </w:tcPr>
          <w:p>
            <w:r>
              <w:t xml:space="preserve">Policies &amp; Procedures</w:t>
            </w:r>
          </w:p>
        </w:tc>
        <w:tc>
          <w:tcPr>
            <w:tcW w:type="dxa" w:w="4200"/>
            <w:tcBorders>
              <w:top w:val="single" w:color="CCCCCC" w:sz="1"/>
              <w:left w:val="single" w:color="CCCCCC" w:sz="1"/>
              <w:bottom w:val="single" w:color="CCCCCC" w:sz="1"/>
              <w:right w:val="single" w:color="CCCCCC" w:sz="1"/>
            </w:tcBorders>
          </w:tcPr>
          <w:p>
            <w:r>
              <w:t xml:space="preserve">Security program requirements (2-1), patch management (2-3), service providers (2-4)</w:t>
            </w:r>
          </w:p>
        </w:tc>
      </w:tr>
      <w:tr>
        <w:tc>
          <w:tcPr>
            <w:tcW w:type="dxa" w:w="1800"/>
            <w:tcBorders>
              <w:top w:val="single" w:color="CCCCCC" w:sz="1"/>
              <w:left w:val="single" w:color="CCCCCC" w:sz="1"/>
              <w:bottom w:val="single" w:color="CCCCCC" w:sz="1"/>
              <w:right w:val="single" w:color="CCCCCC" w:sz="1"/>
            </w:tcBorders>
          </w:tcPr>
          <w:p>
            <w:r>
              <w:rPr>
                <w:b/>
                <w:bCs/>
              </w:rPr>
              <w:t xml:space="preserve">Part 3-x</w:t>
            </w:r>
          </w:p>
        </w:tc>
        <w:tc>
          <w:tcPr>
            <w:tcW w:type="dxa" w:w="3000"/>
            <w:tcBorders>
              <w:top w:val="single" w:color="CCCCCC" w:sz="1"/>
              <w:left w:val="single" w:color="CCCCCC" w:sz="1"/>
              <w:bottom w:val="single" w:color="CCCCCC" w:sz="1"/>
              <w:right w:val="single" w:color="CCCCCC" w:sz="1"/>
            </w:tcBorders>
          </w:tcPr>
          <w:p>
            <w:r>
              <w:t xml:space="preserve">System</w:t>
            </w:r>
          </w:p>
        </w:tc>
        <w:tc>
          <w:tcPr>
            <w:tcW w:type="dxa" w:w="4200"/>
            <w:tcBorders>
              <w:top w:val="single" w:color="CCCCCC" w:sz="1"/>
              <w:left w:val="single" w:color="CCCCCC" w:sz="1"/>
              <w:bottom w:val="single" w:color="CCCCCC" w:sz="1"/>
              <w:right w:val="single" w:color="CCCCCC" w:sz="1"/>
            </w:tcBorders>
          </w:tcPr>
          <w:p>
            <w:r>
              <w:t xml:space="preserve">Risk assessment (3-2), system requirements &amp; security levels (3-3)</w:t>
            </w:r>
          </w:p>
        </w:tc>
      </w:tr>
      <w:tr>
        <w:tc>
          <w:tcPr>
            <w:tcW w:type="dxa" w:w="1800"/>
            <w:tcBorders>
              <w:top w:val="single" w:color="CCCCCC" w:sz="1"/>
              <w:left w:val="single" w:color="CCCCCC" w:sz="1"/>
              <w:bottom w:val="single" w:color="CCCCCC" w:sz="1"/>
              <w:right w:val="single" w:color="CCCCCC" w:sz="1"/>
            </w:tcBorders>
          </w:tcPr>
          <w:p>
            <w:r>
              <w:rPr>
                <w:b/>
                <w:bCs/>
              </w:rPr>
              <w:t xml:space="preserve">Part 4-x</w:t>
            </w:r>
          </w:p>
        </w:tc>
        <w:tc>
          <w:tcPr>
            <w:tcW w:type="dxa" w:w="3000"/>
            <w:tcBorders>
              <w:top w:val="single" w:color="CCCCCC" w:sz="1"/>
              <w:left w:val="single" w:color="CCCCCC" w:sz="1"/>
              <w:bottom w:val="single" w:color="CCCCCC" w:sz="1"/>
              <w:right w:val="single" w:color="CCCCCC" w:sz="1"/>
            </w:tcBorders>
          </w:tcPr>
          <w:p>
            <w:r>
              <w:t xml:space="preserve">Components</w:t>
            </w:r>
          </w:p>
        </w:tc>
        <w:tc>
          <w:tcPr>
            <w:tcW w:type="dxa" w:w="4200"/>
            <w:tcBorders>
              <w:top w:val="single" w:color="CCCCCC" w:sz="1"/>
              <w:left w:val="single" w:color="CCCCCC" w:sz="1"/>
              <w:bottom w:val="single" w:color="CCCCCC" w:sz="1"/>
              <w:right w:val="single" w:color="CCCCCC" w:sz="1"/>
            </w:tcBorders>
          </w:tcPr>
          <w:p>
            <w:r>
              <w:t xml:space="preserve">Secure development lifecycle (4-1), component technical requirements (4-2)</w:t>
            </w:r>
          </w:p>
        </w:tc>
      </w:tr>
    </w:tbl>
    <w:p>
      <w:pPr>
        <w:spacing w:after="200"/>
      </w:pPr>
    </w:p>
    <w:p>
      <w:pPr>
        <w:pStyle w:val="Heading2"/>
      </w:pPr>
      <w:r>
        <w:t xml:space="preserve">2.2 Key Documents for CRL Project</w:t>
      </w:r>
    </w:p>
    <w:p>
      <w:pPr>
        <w:pStyle w:val="ListParagraph"/>
        <w:numPr>
          <w:ilvl w:val="0"/>
          <w:numId w:val="2"/>
        </w:numPr>
      </w:pPr>
      <w:r>
        <w:rPr>
          <w:b/>
          <w:bCs/>
        </w:rPr>
        <w:t xml:space="preserve">IEC 62443-3-2: </w:t>
      </w:r>
      <w:r>
        <w:t xml:space="preserve">Security Risk Assessment for System Design - Defines zones, conduits, and risk methodology</w:t>
      </w:r>
    </w:p>
    <w:p>
      <w:pPr>
        <w:pStyle w:val="ListParagraph"/>
        <w:numPr>
          <w:ilvl w:val="0"/>
          <w:numId w:val="2"/>
        </w:numPr>
      </w:pPr>
      <w:r>
        <w:rPr>
          <w:b/>
          <w:bCs/>
        </w:rPr>
        <w:t xml:space="preserve">IEC 62443-3-3: </w:t>
      </w:r>
      <w:r>
        <w:t xml:space="preserve">System Security Requirements and Security Levels - Defines SRs mapped to FRs and SLs</w:t>
      </w:r>
    </w:p>
    <w:p>
      <w:pPr>
        <w:pStyle w:val="ListParagraph"/>
        <w:numPr>
          <w:ilvl w:val="0"/>
          <w:numId w:val="2"/>
        </w:numPr>
      </w:pPr>
      <w:r>
        <w:rPr>
          <w:b/>
          <w:bCs/>
        </w:rPr>
        <w:t xml:space="preserve">IEC 62443-4-2: </w:t>
      </w:r>
      <w:r>
        <w:t xml:space="preserve">Technical Security Requirements for IACS Components - Component-level requirements</w:t>
      </w:r>
    </w:p>
    <w:p>
      <w:pPr>
        <w:pStyle w:val="ListParagraph"/>
        <w:numPr>
          <w:ilvl w:val="0"/>
          <w:numId w:val="2"/>
        </w:numPr>
      </w:pPr>
      <w:r>
        <w:rPr>
          <w:b/>
          <w:bCs/>
        </w:rPr>
        <w:t xml:space="preserve">CLC/TS 50701: </w:t>
      </w:r>
      <w:r>
        <w:t xml:space="preserve">Railway-specific application of IEC 62443 principles</w:t>
      </w:r>
    </w:p>
    <w:p>
      <w:r>
        <w:br w:type="page"/>
      </w:r>
    </w:p>
    <w:p>
      <w:pPr>
        <w:pStyle w:val="Heading1"/>
      </w:pPr>
      <w:r>
        <w:t xml:space="preserve">3. SECURITY LEVELS (SL)</w:t>
      </w:r>
    </w:p>
    <w:p>
      <w:pPr>
        <w:spacing w:after="200"/>
      </w:pPr>
      <w:r>
        <w:t xml:space="preserve">Security Levels are a measure of confidence that a system, zone, or conduit is free from vulnerabilities and functions in the intended manner. IEC 62443 defines four security levels (SL 1-4) that correlate required countermeasures with the sophistication of potential attackers.</w:t>
      </w:r>
    </w:p>
    <w:p>
      <w:pPr>
        <w:pStyle w:val="Heading2"/>
      </w:pPr>
      <w:r>
        <w:t xml:space="preserve">3.1 Security Level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00"/>
      </w:tblGrid>
      <w:tr>
        <w:trPr>
          <w:tblHeader/>
        </w:trPr>
        <w:tc>
          <w:tcPr>
            <w:tcW w:type="dxa" w:w="12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Level</w:t>
            </w:r>
          </w:p>
        </w:tc>
        <w:tc>
          <w:tcPr>
            <w:tcW w:type="dxa" w:w="24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Threat Actor</w:t>
            </w:r>
          </w:p>
        </w:tc>
        <w:tc>
          <w:tcPr>
            <w:tcW w:type="dxa" w:w="54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Protection Capability</w:t>
            </w:r>
          </w:p>
        </w:tc>
      </w:tr>
      <w:tr>
        <w:tc>
          <w:tcPr>
            <w:tcW w:type="dxa" w:w="1200"/>
            <w:tcBorders>
              <w:top w:val="single" w:color="CCCCCC" w:sz="1"/>
              <w:left w:val="single" w:color="CCCCCC" w:sz="1"/>
              <w:bottom w:val="single" w:color="CCCCCC" w:sz="1"/>
              <w:right w:val="single" w:color="CCCCCC" w:sz="1"/>
            </w:tcBorders>
            <w:shd w:fill="E8E8E8" w:val="clear"/>
          </w:tcPr>
          <w:p>
            <w:pPr>
              <w:jc w:val="center"/>
            </w:pPr>
            <w:r>
              <w:rPr>
                <w:b/>
                <w:bCs/>
              </w:rPr>
              <w:t xml:space="preserve">SL 0</w:t>
            </w:r>
          </w:p>
        </w:tc>
        <w:tc>
          <w:tcPr>
            <w:tcW w:type="dxa" w:w="2400"/>
            <w:tcBorders>
              <w:top w:val="single" w:color="CCCCCC" w:sz="1"/>
              <w:left w:val="single" w:color="CCCCCC" w:sz="1"/>
              <w:bottom w:val="single" w:color="CCCCCC" w:sz="1"/>
              <w:right w:val="single" w:color="CCCCCC" w:sz="1"/>
            </w:tcBorders>
          </w:tcPr>
          <w:p>
            <w:r>
              <w:t xml:space="preserve">No specific threat</w:t>
            </w:r>
          </w:p>
        </w:tc>
        <w:tc>
          <w:tcPr>
            <w:tcW w:type="dxa" w:w="5400"/>
            <w:tcBorders>
              <w:top w:val="single" w:color="CCCCCC" w:sz="1"/>
              <w:left w:val="single" w:color="CCCCCC" w:sz="1"/>
              <w:bottom w:val="single" w:color="CCCCCC" w:sz="1"/>
              <w:right w:val="single" w:color="CCCCCC" w:sz="1"/>
            </w:tcBorders>
          </w:tcPr>
          <w:p>
            <w:r>
              <w:t xml:space="preserve">No special requirements or protection required</w:t>
            </w:r>
          </w:p>
        </w:tc>
      </w:tr>
      <w:tr>
        <w:tc>
          <w:tcPr>
            <w:tcW w:type="dxa" w:w="1200"/>
            <w:tcBorders>
              <w:top w:val="single" w:color="CCCCCC" w:sz="1"/>
              <w:left w:val="single" w:color="CCCCCC" w:sz="1"/>
              <w:bottom w:val="single" w:color="CCCCCC" w:sz="1"/>
              <w:right w:val="single" w:color="CCCCCC" w:sz="1"/>
            </w:tcBorders>
            <w:shd w:fill="70AD47" w:val="clear"/>
          </w:tcPr>
          <w:p>
            <w:pPr>
              <w:jc w:val="center"/>
            </w:pPr>
            <w:r>
              <w:rPr>
                <w:b/>
                <w:bCs/>
                <w:color w:val="FFFFFF"/>
              </w:rPr>
              <w:t xml:space="preserve">SL 1</w:t>
            </w:r>
          </w:p>
        </w:tc>
        <w:tc>
          <w:tcPr>
            <w:tcW w:type="dxa" w:w="2400"/>
            <w:tcBorders>
              <w:top w:val="single" w:color="CCCCCC" w:sz="1"/>
              <w:left w:val="single" w:color="CCCCCC" w:sz="1"/>
              <w:bottom w:val="single" w:color="CCCCCC" w:sz="1"/>
              <w:right w:val="single" w:color="CCCCCC" w:sz="1"/>
            </w:tcBorders>
          </w:tcPr>
          <w:p>
            <w:r>
              <w:t xml:space="preserve">Unintentional misuse</w:t>
            </w:r>
          </w:p>
        </w:tc>
        <w:tc>
          <w:tcPr>
            <w:tcW w:type="dxa" w:w="5400"/>
            <w:tcBorders>
              <w:top w:val="single" w:color="CCCCCC" w:sz="1"/>
              <w:left w:val="single" w:color="CCCCCC" w:sz="1"/>
              <w:bottom w:val="single" w:color="CCCCCC" w:sz="1"/>
              <w:right w:val="single" w:color="CCCCCC" w:sz="1"/>
            </w:tcBorders>
          </w:tcPr>
          <w:p>
            <w:r>
              <w:t xml:space="preserve">Protection against casual or coincidental violation; accidental unauthorized access</w:t>
            </w:r>
          </w:p>
        </w:tc>
      </w:tr>
      <w:tr>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rPr>
              <w:t xml:space="preserve">SL 2</w:t>
            </w:r>
          </w:p>
        </w:tc>
        <w:tc>
          <w:tcPr>
            <w:tcW w:type="dxa" w:w="2400"/>
            <w:tcBorders>
              <w:top w:val="single" w:color="CCCCCC" w:sz="1"/>
              <w:left w:val="single" w:color="CCCCCC" w:sz="1"/>
              <w:bottom w:val="single" w:color="CCCCCC" w:sz="1"/>
              <w:right w:val="single" w:color="CCCCCC" w:sz="1"/>
            </w:tcBorders>
          </w:tcPr>
          <w:p>
            <w:r>
              <w:t xml:space="preserve">Low resources, generic skills, low motivation</w:t>
            </w:r>
          </w:p>
        </w:tc>
        <w:tc>
          <w:tcPr>
            <w:tcW w:type="dxa" w:w="5400"/>
            <w:tcBorders>
              <w:top w:val="single" w:color="CCCCCC" w:sz="1"/>
              <w:left w:val="single" w:color="CCCCCC" w:sz="1"/>
              <w:bottom w:val="single" w:color="CCCCCC" w:sz="1"/>
              <w:right w:val="single" w:color="CCCCCC" w:sz="1"/>
            </w:tcBorders>
          </w:tcPr>
          <w:p>
            <w:r>
              <w:t xml:space="preserve">Protection against intentional violation using simple means with limited resources</w:t>
            </w:r>
          </w:p>
        </w:tc>
      </w:tr>
      <w:tr>
        <w:tc>
          <w:tcPr>
            <w:tcW w:type="dxa" w:w="1200"/>
            <w:tcBorders>
              <w:top w:val="single" w:color="CCCCCC" w:sz="1"/>
              <w:left w:val="single" w:color="CCCCCC" w:sz="1"/>
              <w:bottom w:val="single" w:color="CCCCCC" w:sz="1"/>
              <w:right w:val="single" w:color="CCCCCC" w:sz="1"/>
            </w:tcBorders>
            <w:shd w:fill="FFC000" w:val="clear"/>
          </w:tcPr>
          <w:p>
            <w:pPr>
              <w:jc w:val="center"/>
            </w:pPr>
            <w:r>
              <w:rPr>
                <w:b/>
                <w:bCs/>
              </w:rPr>
              <w:t xml:space="preserve">SL 3</w:t>
            </w:r>
          </w:p>
        </w:tc>
        <w:tc>
          <w:tcPr>
            <w:tcW w:type="dxa" w:w="2400"/>
            <w:tcBorders>
              <w:top w:val="single" w:color="CCCCCC" w:sz="1"/>
              <w:left w:val="single" w:color="CCCCCC" w:sz="1"/>
              <w:bottom w:val="single" w:color="CCCCCC" w:sz="1"/>
              <w:right w:val="single" w:color="CCCCCC" w:sz="1"/>
            </w:tcBorders>
          </w:tcPr>
          <w:p>
            <w:r>
              <w:t xml:space="preserve">Moderate resources, IACS-specific skills</w:t>
            </w:r>
          </w:p>
        </w:tc>
        <w:tc>
          <w:tcPr>
            <w:tcW w:type="dxa" w:w="5400"/>
            <w:tcBorders>
              <w:top w:val="single" w:color="CCCCCC" w:sz="1"/>
              <w:left w:val="single" w:color="CCCCCC" w:sz="1"/>
              <w:bottom w:val="single" w:color="CCCCCC" w:sz="1"/>
              <w:right w:val="single" w:color="CCCCCC" w:sz="1"/>
            </w:tcBorders>
          </w:tcPr>
          <w:p>
            <w:r>
              <w:t xml:space="preserve">Protection against sophisticated attacks with moderate resources and IACS-specific knowledge</w:t>
            </w:r>
          </w:p>
        </w:tc>
      </w:tr>
      <w:tr>
        <w:tc>
          <w:tcPr>
            <w:tcW w:type="dxa" w:w="1200"/>
            <w:tcBorders>
              <w:top w:val="single" w:color="CCCCCC" w:sz="1"/>
              <w:left w:val="single" w:color="CCCCCC" w:sz="1"/>
              <w:bottom w:val="single" w:color="CCCCCC" w:sz="1"/>
              <w:right w:val="single" w:color="CCCCCC" w:sz="1"/>
            </w:tcBorders>
            <w:shd w:fill="C00000" w:val="clear"/>
          </w:tcPr>
          <w:p>
            <w:pPr>
              <w:jc w:val="center"/>
            </w:pPr>
            <w:r>
              <w:rPr>
                <w:b/>
                <w:bCs/>
                <w:color w:val="FFFFFF"/>
              </w:rPr>
              <w:t xml:space="preserve">SL 4</w:t>
            </w:r>
          </w:p>
        </w:tc>
        <w:tc>
          <w:tcPr>
            <w:tcW w:type="dxa" w:w="2400"/>
            <w:tcBorders>
              <w:top w:val="single" w:color="CCCCCC" w:sz="1"/>
              <w:left w:val="single" w:color="CCCCCC" w:sz="1"/>
              <w:bottom w:val="single" w:color="CCCCCC" w:sz="1"/>
              <w:right w:val="single" w:color="CCCCCC" w:sz="1"/>
            </w:tcBorders>
          </w:tcPr>
          <w:p>
            <w:r>
              <w:t xml:space="preserve">Extended resources, high motivation</w:t>
            </w:r>
          </w:p>
        </w:tc>
        <w:tc>
          <w:tcPr>
            <w:tcW w:type="dxa" w:w="5400"/>
            <w:tcBorders>
              <w:top w:val="single" w:color="CCCCCC" w:sz="1"/>
              <w:left w:val="single" w:color="CCCCCC" w:sz="1"/>
              <w:bottom w:val="single" w:color="CCCCCC" w:sz="1"/>
              <w:right w:val="single" w:color="CCCCCC" w:sz="1"/>
            </w:tcBorders>
          </w:tcPr>
          <w:p>
            <w:r>
              <w:t xml:space="preserve">Protection against state-sponsored attacks using sophisticated means with extensive resources</w:t>
            </w:r>
          </w:p>
        </w:tc>
      </w:tr>
    </w:tbl>
    <w:p>
      <w:pPr>
        <w:spacing w:after="200"/>
      </w:pPr>
    </w:p>
    <w:p>
      <w:pPr>
        <w:pStyle w:val="Heading2"/>
      </w:pPr>
      <w:r>
        <w:t xml:space="preserve">3.2 Types of Security Levels</w:t>
      </w:r>
    </w:p>
    <w:p>
      <w:pPr>
        <w:spacing w:after="120"/>
      </w:pPr>
      <w:r>
        <w:t xml:space="preserve">IEC 62443 defines three types of security levels used throughout the lifecycle: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rPr>
              <w:t xml:space="preserve">SL Type</w:t>
            </w:r>
          </w:p>
        </w:tc>
        <w:tc>
          <w:tcPr>
            <w:tcW w:type="dxa" w:w="3000"/>
            <w:tcBorders>
              <w:top w:val="single" w:color="CCCCCC" w:sz="1"/>
              <w:left w:val="single" w:color="CCCCCC" w:sz="1"/>
              <w:bottom w:val="single" w:color="CCCCCC" w:sz="1"/>
              <w:right w:val="single" w:color="CCCCCC" w:sz="1"/>
            </w:tcBorders>
            <w:shd w:fill="4472C4" w:val="clear"/>
          </w:tcPr>
          <w:p>
            <w:pPr>
              <w:jc w:val="center"/>
            </w:pPr>
            <w:r>
              <w:rPr>
                <w:b/>
                <w:bCs/>
                <w:color w:val="FFFFFF"/>
              </w:rPr>
              <w:t xml:space="preserve">Definition</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rPr>
              <w:t xml:space="preserve">Application</w:t>
            </w:r>
          </w:p>
        </w:tc>
      </w:tr>
      <w:tr>
        <w:tc>
          <w:tcPr>
            <w:tcW w:type="dxa" w:w="2000"/>
            <w:tcBorders>
              <w:top w:val="single" w:color="CCCCCC" w:sz="1"/>
              <w:left w:val="single" w:color="CCCCCC" w:sz="1"/>
              <w:bottom w:val="single" w:color="CCCCCC" w:sz="1"/>
              <w:right w:val="single" w:color="CCCCCC" w:sz="1"/>
            </w:tcBorders>
          </w:tcPr>
          <w:p>
            <w:r>
              <w:rPr>
                <w:b/>
                <w:bCs/>
              </w:rPr>
              <w:t xml:space="preserve">SL-T (Target)</w:t>
            </w:r>
          </w:p>
        </w:tc>
        <w:tc>
          <w:tcPr>
            <w:tcW w:type="dxa" w:w="3000"/>
            <w:tcBorders>
              <w:top w:val="single" w:color="CCCCCC" w:sz="1"/>
              <w:left w:val="single" w:color="CCCCCC" w:sz="1"/>
              <w:bottom w:val="single" w:color="CCCCCC" w:sz="1"/>
              <w:right w:val="single" w:color="CCCCCC" w:sz="1"/>
            </w:tcBorders>
          </w:tcPr>
          <w:p>
            <w:r>
              <w:t xml:space="preserve">Desired security level for a zone/conduit</w:t>
            </w:r>
          </w:p>
        </w:tc>
        <w:tc>
          <w:tcPr>
            <w:tcW w:type="dxa" w:w="4000"/>
            <w:tcBorders>
              <w:top w:val="single" w:color="CCCCCC" w:sz="1"/>
              <w:left w:val="single" w:color="CCCCCC" w:sz="1"/>
              <w:bottom w:val="single" w:color="CCCCCC" w:sz="1"/>
              <w:right w:val="single" w:color="CCCCCC" w:sz="1"/>
            </w:tcBorders>
          </w:tcPr>
          <w:p>
            <w:r>
              <w:t xml:space="preserve">Set by asset owner during risk assessment; documented in Cybersecurity Requirements Specification</w:t>
            </w:r>
          </w:p>
        </w:tc>
      </w:tr>
      <w:tr>
        <w:tc>
          <w:tcPr>
            <w:tcW w:type="dxa" w:w="2000"/>
            <w:tcBorders>
              <w:top w:val="single" w:color="CCCCCC" w:sz="1"/>
              <w:left w:val="single" w:color="CCCCCC" w:sz="1"/>
              <w:bottom w:val="single" w:color="CCCCCC" w:sz="1"/>
              <w:right w:val="single" w:color="CCCCCC" w:sz="1"/>
            </w:tcBorders>
          </w:tcPr>
          <w:p>
            <w:r>
              <w:rPr>
                <w:b/>
                <w:bCs/>
              </w:rPr>
              <w:t xml:space="preserve">SL-C (Capability)</w:t>
            </w:r>
          </w:p>
        </w:tc>
        <w:tc>
          <w:tcPr>
            <w:tcW w:type="dxa" w:w="3000"/>
            <w:tcBorders>
              <w:top w:val="single" w:color="CCCCCC" w:sz="1"/>
              <w:left w:val="single" w:color="CCCCCC" w:sz="1"/>
              <w:bottom w:val="single" w:color="CCCCCC" w:sz="1"/>
              <w:right w:val="single" w:color="CCCCCC" w:sz="1"/>
            </w:tcBorders>
          </w:tcPr>
          <w:p>
            <w:r>
              <w:t xml:space="preserve">Native security capabilities of a system/component</w:t>
            </w:r>
          </w:p>
        </w:tc>
        <w:tc>
          <w:tcPr>
            <w:tcW w:type="dxa" w:w="4000"/>
            <w:tcBorders>
              <w:top w:val="single" w:color="CCCCCC" w:sz="1"/>
              <w:left w:val="single" w:color="CCCCCC" w:sz="1"/>
              <w:bottom w:val="single" w:color="CCCCCC" w:sz="1"/>
              <w:right w:val="single" w:color="CCCCCC" w:sz="1"/>
            </w:tcBorders>
          </w:tcPr>
          <w:p>
            <w:r>
              <w:t xml:space="preserve">Defined in IEC 62443-3-3 (systems) and 4-2 (components); used for product selection</w:t>
            </w:r>
          </w:p>
        </w:tc>
      </w:tr>
      <w:tr>
        <w:tc>
          <w:tcPr>
            <w:tcW w:type="dxa" w:w="2000"/>
            <w:tcBorders>
              <w:top w:val="single" w:color="CCCCCC" w:sz="1"/>
              <w:left w:val="single" w:color="CCCCCC" w:sz="1"/>
              <w:bottom w:val="single" w:color="CCCCCC" w:sz="1"/>
              <w:right w:val="single" w:color="CCCCCC" w:sz="1"/>
            </w:tcBorders>
          </w:tcPr>
          <w:p>
            <w:r>
              <w:rPr>
                <w:b/>
                <w:bCs/>
              </w:rPr>
              <w:t xml:space="preserve">SL-A (Achieved)</w:t>
            </w:r>
          </w:p>
        </w:tc>
        <w:tc>
          <w:tcPr>
            <w:tcW w:type="dxa" w:w="3000"/>
            <w:tcBorders>
              <w:top w:val="single" w:color="CCCCCC" w:sz="1"/>
              <w:left w:val="single" w:color="CCCCCC" w:sz="1"/>
              <w:bottom w:val="single" w:color="CCCCCC" w:sz="1"/>
              <w:right w:val="single" w:color="CCCCCC" w:sz="1"/>
            </w:tcBorders>
          </w:tcPr>
          <w:p>
            <w:r>
              <w:t xml:space="preserve">Actual measured security level in operation</w:t>
            </w:r>
          </w:p>
        </w:tc>
        <w:tc>
          <w:tcPr>
            <w:tcW w:type="dxa" w:w="4000"/>
            <w:tcBorders>
              <w:top w:val="single" w:color="CCCCCC" w:sz="1"/>
              <w:left w:val="single" w:color="CCCCCC" w:sz="1"/>
              <w:bottom w:val="single" w:color="CCCCCC" w:sz="1"/>
              <w:right w:val="single" w:color="CCCCCC" w:sz="1"/>
            </w:tcBorders>
          </w:tcPr>
          <w:p>
            <w:r>
              <w:t xml:space="preserve">Determined through verification and validation testing; may include compensating countermeasures</w:t>
            </w:r>
          </w:p>
        </w:tc>
      </w:tr>
    </w:tbl>
    <w:p>
      <w:pPr>
        <w:spacing w:after="200"/>
      </w:pPr>
    </w:p>
    <w:p>
      <w:pPr>
        <w:pStyle w:val="Heading2"/>
      </w:pPr>
      <w:r>
        <w:t xml:space="preserve">3.3 Security Level Vector</w:t>
      </w:r>
    </w:p>
    <w:p>
      <w:pPr>
        <w:spacing w:after="120"/>
      </w:pPr>
      <w:r>
        <w:t xml:space="preserve">The security level of a zone or conduit is more precisely a </w:t>
      </w:r>
      <w:r>
        <w:rPr>
          <w:b/>
          <w:bCs/>
        </w:rPr>
        <w:t xml:space="preserve">security level vector with seven elements</w:t>
      </w:r>
      <w:r>
        <w:t xml:space="preserve">, one for each foundational requirement. This allows different security levels for different requirements based on risk assessment.</w:t>
      </w:r>
    </w:p>
    <w:p>
      <w:pPr>
        <w:spacing w:after="200"/>
      </w:pPr>
      <w:r>
        <w:rPr>
          <w:i/>
          <w:iCs/>
        </w:rPr>
        <w:t xml:space="preserve">Example vectors: </w:t>
      </w:r>
      <w:r>
        <w:t xml:space="preserve">SL=(3,3,3,1,2,1,3) or SL=(2,2,2,0,1,1,0)</w:t>
      </w:r>
    </w:p>
    <w:p>
      <w:r>
        <w:br w:type="page"/>
      </w:r>
    </w:p>
    <w:p>
      <w:pPr>
        <w:pStyle w:val="Heading1"/>
      </w:pPr>
      <w:r>
        <w:t xml:space="preserve">4. FOUNDATIONAL REQUIREMENTS (FR)</w:t>
      </w:r>
    </w:p>
    <w:p>
      <w:pPr>
        <w:spacing w:after="200"/>
      </w:pPr>
      <w:r>
        <w:t xml:space="preserve">IEC 62443-1-1 defines seven Foundational Requirements (FRs) that form the basis of all technical security requirements. These FRs expand the traditional CIA triad (Confidentiality, Integrity, Availability) to address the unique requirements of industrial control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tblHeader/>
        </w:trPr>
        <w:tc>
          <w:tcPr>
            <w:tcW w:type="dxa" w:w="10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FR</w:t>
            </w:r>
          </w:p>
        </w:tc>
        <w:tc>
          <w:tcPr>
            <w:tcW w:type="dxa" w:w="30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Requirement</w:t>
            </w:r>
          </w:p>
        </w:tc>
        <w:tc>
          <w:tcPr>
            <w:tcW w:type="dxa" w:w="50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Description</w:t>
            </w:r>
          </w:p>
        </w:tc>
      </w:tr>
      <w:tr>
        <w:tc>
          <w:tcPr>
            <w:tcW w:type="dxa" w:w="1000"/>
            <w:tcBorders>
              <w:top w:val="single" w:color="CCCCCC" w:sz="1"/>
              <w:left w:val="single" w:color="CCCCCC" w:sz="1"/>
              <w:bottom w:val="single" w:color="CCCCCC" w:sz="1"/>
              <w:right w:val="single" w:color="CCCCCC" w:sz="1"/>
            </w:tcBorders>
            <w:shd w:fill="E8F4FD" w:val="clear"/>
          </w:tcPr>
          <w:p>
            <w:pPr>
              <w:jc w:val="center"/>
            </w:pPr>
            <w:r>
              <w:rPr>
                <w:b/>
                <w:bCs/>
              </w:rPr>
              <w:t xml:space="preserve">FR 1</w:t>
            </w:r>
          </w:p>
        </w:tc>
        <w:tc>
          <w:tcPr>
            <w:tcW w:type="dxa" w:w="3000"/>
            <w:tcBorders>
              <w:top w:val="single" w:color="CCCCCC" w:sz="1"/>
              <w:left w:val="single" w:color="CCCCCC" w:sz="1"/>
              <w:bottom w:val="single" w:color="CCCCCC" w:sz="1"/>
              <w:right w:val="single" w:color="CCCCCC" w:sz="1"/>
            </w:tcBorders>
          </w:tcPr>
          <w:p>
            <w:r>
              <w:rPr>
                <w:b/>
                <w:bCs/>
              </w:rPr>
              <w:t xml:space="preserve">Identification &amp; Authentication Control</w:t>
            </w:r>
          </w:p>
        </w:tc>
        <w:tc>
          <w:tcPr>
            <w:tcW w:type="dxa" w:w="5000"/>
            <w:tcBorders>
              <w:top w:val="single" w:color="CCCCCC" w:sz="1"/>
              <w:left w:val="single" w:color="CCCCCC" w:sz="1"/>
              <w:bottom w:val="single" w:color="CCCCCC" w:sz="1"/>
              <w:right w:val="single" w:color="CCCCCC" w:sz="1"/>
            </w:tcBorders>
          </w:tcPr>
          <w:p>
            <w:r>
              <w:t xml:space="preserve">Reliably identify and authenticate all users (humans, software processes, and devices) attempting to access the IACS</w:t>
            </w:r>
          </w:p>
        </w:tc>
      </w:tr>
      <w:tr>
        <w:tc>
          <w:tcPr>
            <w:tcW w:type="dxa" w:w="1000"/>
            <w:tcBorders>
              <w:top w:val="single" w:color="CCCCCC" w:sz="1"/>
              <w:left w:val="single" w:color="CCCCCC" w:sz="1"/>
              <w:bottom w:val="single" w:color="CCCCCC" w:sz="1"/>
              <w:right w:val="single" w:color="CCCCCC" w:sz="1"/>
            </w:tcBorders>
            <w:shd w:fill="E8F4FD" w:val="clear"/>
          </w:tcPr>
          <w:p>
            <w:pPr>
              <w:jc w:val="center"/>
            </w:pPr>
            <w:r>
              <w:rPr>
                <w:b/>
                <w:bCs/>
              </w:rPr>
              <w:t xml:space="preserve">FR 2</w:t>
            </w:r>
          </w:p>
        </w:tc>
        <w:tc>
          <w:tcPr>
            <w:tcW w:type="dxa" w:w="3000"/>
            <w:tcBorders>
              <w:top w:val="single" w:color="CCCCCC" w:sz="1"/>
              <w:left w:val="single" w:color="CCCCCC" w:sz="1"/>
              <w:bottom w:val="single" w:color="CCCCCC" w:sz="1"/>
              <w:right w:val="single" w:color="CCCCCC" w:sz="1"/>
            </w:tcBorders>
          </w:tcPr>
          <w:p>
            <w:r>
              <w:rPr>
                <w:b/>
                <w:bCs/>
              </w:rPr>
              <w:t xml:space="preserve">Use Control</w:t>
            </w:r>
          </w:p>
        </w:tc>
        <w:tc>
          <w:tcPr>
            <w:tcW w:type="dxa" w:w="5000"/>
            <w:tcBorders>
              <w:top w:val="single" w:color="CCCCCC" w:sz="1"/>
              <w:left w:val="single" w:color="CCCCCC" w:sz="1"/>
              <w:bottom w:val="single" w:color="CCCCCC" w:sz="1"/>
              <w:right w:val="single" w:color="CCCCCC" w:sz="1"/>
            </w:tcBorders>
          </w:tcPr>
          <w:p>
            <w:r>
              <w:t xml:space="preserve">Enforce assigned privileges of authenticated users to perform requested actions on the system; monitor use of privileges</w:t>
            </w:r>
          </w:p>
        </w:tc>
      </w:tr>
      <w:tr>
        <w:tc>
          <w:tcPr>
            <w:tcW w:type="dxa" w:w="1000"/>
            <w:tcBorders>
              <w:top w:val="single" w:color="CCCCCC" w:sz="1"/>
              <w:left w:val="single" w:color="CCCCCC" w:sz="1"/>
              <w:bottom w:val="single" w:color="CCCCCC" w:sz="1"/>
              <w:right w:val="single" w:color="CCCCCC" w:sz="1"/>
            </w:tcBorders>
            <w:shd w:fill="E8F4FD" w:val="clear"/>
          </w:tcPr>
          <w:p>
            <w:pPr>
              <w:jc w:val="center"/>
            </w:pPr>
            <w:r>
              <w:rPr>
                <w:b/>
                <w:bCs/>
              </w:rPr>
              <w:t xml:space="preserve">FR 3</w:t>
            </w:r>
          </w:p>
        </w:tc>
        <w:tc>
          <w:tcPr>
            <w:tcW w:type="dxa" w:w="3000"/>
            <w:tcBorders>
              <w:top w:val="single" w:color="CCCCCC" w:sz="1"/>
              <w:left w:val="single" w:color="CCCCCC" w:sz="1"/>
              <w:bottom w:val="single" w:color="CCCCCC" w:sz="1"/>
              <w:right w:val="single" w:color="CCCCCC" w:sz="1"/>
            </w:tcBorders>
          </w:tcPr>
          <w:p>
            <w:r>
              <w:rPr>
                <w:b/>
                <w:bCs/>
              </w:rPr>
              <w:t xml:space="preserve">System Integrity</w:t>
            </w:r>
          </w:p>
        </w:tc>
        <w:tc>
          <w:tcPr>
            <w:tcW w:type="dxa" w:w="5000"/>
            <w:tcBorders>
              <w:top w:val="single" w:color="CCCCCC" w:sz="1"/>
              <w:left w:val="single" w:color="CCCCCC" w:sz="1"/>
              <w:bottom w:val="single" w:color="CCCCCC" w:sz="1"/>
              <w:right w:val="single" w:color="CCCCCC" w:sz="1"/>
            </w:tcBorders>
          </w:tcPr>
          <w:p>
            <w:r>
              <w:t xml:space="preserve">Ensure the integrity of the IACS to prevent unauthorized manipulation of system functions and data</w:t>
            </w:r>
          </w:p>
        </w:tc>
      </w:tr>
      <w:tr>
        <w:tc>
          <w:tcPr>
            <w:tcW w:type="dxa" w:w="1000"/>
            <w:tcBorders>
              <w:top w:val="single" w:color="CCCCCC" w:sz="1"/>
              <w:left w:val="single" w:color="CCCCCC" w:sz="1"/>
              <w:bottom w:val="single" w:color="CCCCCC" w:sz="1"/>
              <w:right w:val="single" w:color="CCCCCC" w:sz="1"/>
            </w:tcBorders>
            <w:shd w:fill="E8F4FD" w:val="clear"/>
          </w:tcPr>
          <w:p>
            <w:pPr>
              <w:jc w:val="center"/>
            </w:pPr>
            <w:r>
              <w:rPr>
                <w:b/>
                <w:bCs/>
              </w:rPr>
              <w:t xml:space="preserve">FR 4</w:t>
            </w:r>
          </w:p>
        </w:tc>
        <w:tc>
          <w:tcPr>
            <w:tcW w:type="dxa" w:w="3000"/>
            <w:tcBorders>
              <w:top w:val="single" w:color="CCCCCC" w:sz="1"/>
              <w:left w:val="single" w:color="CCCCCC" w:sz="1"/>
              <w:bottom w:val="single" w:color="CCCCCC" w:sz="1"/>
              <w:right w:val="single" w:color="CCCCCC" w:sz="1"/>
            </w:tcBorders>
          </w:tcPr>
          <w:p>
            <w:r>
              <w:rPr>
                <w:b/>
                <w:bCs/>
              </w:rPr>
              <w:t xml:space="preserve">Data Confidentiality</w:t>
            </w:r>
          </w:p>
        </w:tc>
        <w:tc>
          <w:tcPr>
            <w:tcW w:type="dxa" w:w="5000"/>
            <w:tcBorders>
              <w:top w:val="single" w:color="CCCCCC" w:sz="1"/>
              <w:left w:val="single" w:color="CCCCCC" w:sz="1"/>
              <w:bottom w:val="single" w:color="CCCCCC" w:sz="1"/>
              <w:right w:val="single" w:color="CCCCCC" w:sz="1"/>
            </w:tcBorders>
          </w:tcPr>
          <w:p>
            <w:r>
              <w:t xml:space="preserve">Ensure confidentiality of information on communication channels and in data repositories; prevent unauthorized disclosure</w:t>
            </w:r>
          </w:p>
        </w:tc>
      </w:tr>
      <w:tr>
        <w:tc>
          <w:tcPr>
            <w:tcW w:type="dxa" w:w="1000"/>
            <w:tcBorders>
              <w:top w:val="single" w:color="CCCCCC" w:sz="1"/>
              <w:left w:val="single" w:color="CCCCCC" w:sz="1"/>
              <w:bottom w:val="single" w:color="CCCCCC" w:sz="1"/>
              <w:right w:val="single" w:color="CCCCCC" w:sz="1"/>
            </w:tcBorders>
            <w:shd w:fill="E8F4FD" w:val="clear"/>
          </w:tcPr>
          <w:p>
            <w:pPr>
              <w:jc w:val="center"/>
            </w:pPr>
            <w:r>
              <w:rPr>
                <w:b/>
                <w:bCs/>
              </w:rPr>
              <w:t xml:space="preserve">FR 5</w:t>
            </w:r>
          </w:p>
        </w:tc>
        <w:tc>
          <w:tcPr>
            <w:tcW w:type="dxa" w:w="3000"/>
            <w:tcBorders>
              <w:top w:val="single" w:color="CCCCCC" w:sz="1"/>
              <w:left w:val="single" w:color="CCCCCC" w:sz="1"/>
              <w:bottom w:val="single" w:color="CCCCCC" w:sz="1"/>
              <w:right w:val="single" w:color="CCCCCC" w:sz="1"/>
            </w:tcBorders>
          </w:tcPr>
          <w:p>
            <w:r>
              <w:rPr>
                <w:b/>
                <w:bCs/>
              </w:rPr>
              <w:t xml:space="preserve">Restricted Data Flow</w:t>
            </w:r>
          </w:p>
        </w:tc>
        <w:tc>
          <w:tcPr>
            <w:tcW w:type="dxa" w:w="5000"/>
            <w:tcBorders>
              <w:top w:val="single" w:color="CCCCCC" w:sz="1"/>
              <w:left w:val="single" w:color="CCCCCC" w:sz="1"/>
              <w:bottom w:val="single" w:color="CCCCCC" w:sz="1"/>
              <w:right w:val="single" w:color="CCCCCC" w:sz="1"/>
            </w:tcBorders>
          </w:tcPr>
          <w:p>
            <w:r>
              <w:t xml:space="preserve">Segment the control system via zones and conduits to limit unnecessary flow of data and enable defense-in-depth</w:t>
            </w:r>
          </w:p>
        </w:tc>
      </w:tr>
      <w:tr>
        <w:tc>
          <w:tcPr>
            <w:tcW w:type="dxa" w:w="1000"/>
            <w:tcBorders>
              <w:top w:val="single" w:color="CCCCCC" w:sz="1"/>
              <w:left w:val="single" w:color="CCCCCC" w:sz="1"/>
              <w:bottom w:val="single" w:color="CCCCCC" w:sz="1"/>
              <w:right w:val="single" w:color="CCCCCC" w:sz="1"/>
            </w:tcBorders>
            <w:shd w:fill="E8F4FD" w:val="clear"/>
          </w:tcPr>
          <w:p>
            <w:pPr>
              <w:jc w:val="center"/>
            </w:pPr>
            <w:r>
              <w:rPr>
                <w:b/>
                <w:bCs/>
              </w:rPr>
              <w:t xml:space="preserve">FR 6</w:t>
            </w:r>
          </w:p>
        </w:tc>
        <w:tc>
          <w:tcPr>
            <w:tcW w:type="dxa" w:w="3000"/>
            <w:tcBorders>
              <w:top w:val="single" w:color="CCCCCC" w:sz="1"/>
              <w:left w:val="single" w:color="CCCCCC" w:sz="1"/>
              <w:bottom w:val="single" w:color="CCCCCC" w:sz="1"/>
              <w:right w:val="single" w:color="CCCCCC" w:sz="1"/>
            </w:tcBorders>
          </w:tcPr>
          <w:p>
            <w:r>
              <w:rPr>
                <w:b/>
                <w:bCs/>
              </w:rPr>
              <w:t xml:space="preserve">Timely Response to Events</w:t>
            </w:r>
          </w:p>
        </w:tc>
        <w:tc>
          <w:tcPr>
            <w:tcW w:type="dxa" w:w="5000"/>
            <w:tcBorders>
              <w:top w:val="single" w:color="CCCCCC" w:sz="1"/>
              <w:left w:val="single" w:color="CCCCCC" w:sz="1"/>
              <w:bottom w:val="single" w:color="CCCCCC" w:sz="1"/>
              <w:right w:val="single" w:color="CCCCCC" w:sz="1"/>
            </w:tcBorders>
          </w:tcPr>
          <w:p>
            <w:r>
              <w:t xml:space="preserve">Respond to security violations by notifying proper authority, reporting evidence, and taking timely corrective action</w:t>
            </w:r>
          </w:p>
        </w:tc>
      </w:tr>
      <w:tr>
        <w:tc>
          <w:tcPr>
            <w:tcW w:type="dxa" w:w="1000"/>
            <w:tcBorders>
              <w:top w:val="single" w:color="CCCCCC" w:sz="1"/>
              <w:left w:val="single" w:color="CCCCCC" w:sz="1"/>
              <w:bottom w:val="single" w:color="CCCCCC" w:sz="1"/>
              <w:right w:val="single" w:color="CCCCCC" w:sz="1"/>
            </w:tcBorders>
            <w:shd w:fill="E8F4FD" w:val="clear"/>
          </w:tcPr>
          <w:p>
            <w:pPr>
              <w:jc w:val="center"/>
            </w:pPr>
            <w:r>
              <w:rPr>
                <w:b/>
                <w:bCs/>
              </w:rPr>
              <w:t xml:space="preserve">FR 7</w:t>
            </w:r>
          </w:p>
        </w:tc>
        <w:tc>
          <w:tcPr>
            <w:tcW w:type="dxa" w:w="3000"/>
            <w:tcBorders>
              <w:top w:val="single" w:color="CCCCCC" w:sz="1"/>
              <w:left w:val="single" w:color="CCCCCC" w:sz="1"/>
              <w:bottom w:val="single" w:color="CCCCCC" w:sz="1"/>
              <w:right w:val="single" w:color="CCCCCC" w:sz="1"/>
            </w:tcBorders>
          </w:tcPr>
          <w:p>
            <w:r>
              <w:rPr>
                <w:b/>
                <w:bCs/>
              </w:rPr>
              <w:t xml:space="preserve">Resource Availability</w:t>
            </w:r>
          </w:p>
        </w:tc>
        <w:tc>
          <w:tcPr>
            <w:tcW w:type="dxa" w:w="5000"/>
            <w:tcBorders>
              <w:top w:val="single" w:color="CCCCCC" w:sz="1"/>
              <w:left w:val="single" w:color="CCCCCC" w:sz="1"/>
              <w:bottom w:val="single" w:color="CCCCCC" w:sz="1"/>
              <w:right w:val="single" w:color="CCCCCC" w:sz="1"/>
            </w:tcBorders>
          </w:tcPr>
          <w:p>
            <w:r>
              <w:t xml:space="preserve">Ensure availability of the control system against degradation or denial of essential services</w:t>
            </w:r>
          </w:p>
        </w:tc>
      </w:tr>
    </w:tbl>
    <w:p>
      <w:pPr>
        <w:spacing w:after="200"/>
      </w:pPr>
    </w:p>
    <w:p>
      <w:pPr>
        <w:pStyle w:val="Heading2"/>
      </w:pPr>
      <w:r>
        <w:t xml:space="preserve">4.1 System Requirements (SR) and Requirement Enhancements (RE)</w:t>
      </w:r>
    </w:p>
    <w:p>
      <w:pPr>
        <w:spacing w:after="120"/>
      </w:pPr>
      <w:r>
        <w:t xml:space="preserve">Each Foundational Requirement contains multiple System Requirements (SRs) and Requirement Enhancements (REs). IEC 62443-3-3 Annex B provides a comprehensive mapping of SRs and REs to security levels.</w:t>
      </w:r>
    </w:p>
    <w:p>
      <w:pPr>
        <w:pStyle w:val="ListParagraph"/>
        <w:numPr>
          <w:ilvl w:val="0"/>
          <w:numId w:val="2"/>
        </w:numPr>
      </w:pPr>
      <w:r>
        <w:rPr>
          <w:b/>
          <w:bCs/>
        </w:rPr>
        <w:t xml:space="preserve">System Requirements (SR): </w:t>
      </w:r>
      <w:r>
        <w:t xml:space="preserve">Baseline requirements for system hardening against each FR</w:t>
      </w:r>
    </w:p>
    <w:p>
      <w:pPr>
        <w:pStyle w:val="ListParagraph"/>
        <w:numPr>
          <w:ilvl w:val="0"/>
          <w:numId w:val="2"/>
        </w:numPr>
      </w:pPr>
      <w:r>
        <w:rPr>
          <w:b/>
          <w:bCs/>
        </w:rPr>
        <w:t xml:space="preserve">Requirement Enhancements (RE): </w:t>
      </w:r>
      <w:r>
        <w:t xml:space="preserve">Additional requirements to strengthen security beyond baseline</w:t>
      </w:r>
    </w:p>
    <w:p>
      <w:pPr>
        <w:spacing w:after="120"/>
      </w:pPr>
      <w:r>
        <w:rPr>
          <w:i/>
          <w:iCs/>
        </w:rPr>
        <w:t xml:space="preserve">Note: </w:t>
      </w:r>
      <w:r>
        <w:t xml:space="preserve">There are significant gaps between SL1 and SL2, with a good balance maintained between SL2 and SL3. SL4 requirements are extensive and comparable to safety-critical SIL4 requirements.</w:t>
      </w:r>
    </w:p>
    <w:p>
      <w:r>
        <w:br w:type="page"/>
      </w:r>
    </w:p>
    <w:p>
      <w:pPr>
        <w:pStyle w:val="Heading1"/>
      </w:pPr>
      <w:r>
        <w:t xml:space="preserve">5. ZONES AND CONDUITS (ZCR)</w:t>
      </w:r>
    </w:p>
    <w:p>
      <w:pPr>
        <w:spacing w:after="200"/>
      </w:pPr>
      <w:r>
        <w:t xml:space="preserve">The zone and conduit model is fundamental to IEC 62443 and provides the framework for network segmentation and defense-in-depth. IEC 62443-3-2 establishes requirements for partitioning an IACS into zones and conduits based on risk assessment.</w:t>
      </w:r>
    </w:p>
    <w:p>
      <w:pPr>
        <w:pStyle w:val="Heading2"/>
      </w:pPr>
      <w:r>
        <w:t xml:space="preserve">5.1 Core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8F4FD" w:val="clear"/>
          </w:tcPr>
          <w:p>
            <w:r>
              <w:rPr>
                <w:b/>
                <w:bCs/>
                <w:color w:val="1F4788"/>
                <w:sz w:val="26"/>
                <w:szCs w:val="26"/>
              </w:rPr>
              <w:t xml:space="preserve">ZONE</w:t>
            </w:r>
          </w:p>
          <w:p>
            <w:r>
              <w:t xml:space="preserve">A logical or physical grouping of assets (physical or logical) that share common security requirements. Zones divide a system into homogeneous areas by grouping assets with the same Security Level (SL) requirements.</w:t>
            </w:r>
          </w:p>
          <w:p>
            <w:pPr>
              <w:spacing w:before="120"/>
            </w:pPr>
            <w:r>
              <w:rPr>
                <w:b/>
                <w:bCs/>
              </w:rPr>
              <w:t xml:space="preserve">Key Characteristics:</w:t>
            </w:r>
          </w:p>
          <w:p>
            <w:pPr>
              <w:pStyle w:val="ListParagraph"/>
              <w:numPr>
                <w:ilvl w:val="0"/>
                <w:numId w:val="2"/>
              </w:numPr>
            </w:pPr>
            <w:r>
              <w:t xml:space="preserve">Zones have defined boundaries separating internal from external elements</w:t>
            </w:r>
          </w:p>
          <w:p>
            <w:pPr>
              <w:pStyle w:val="ListParagraph"/>
              <w:numPr>
                <w:ilvl w:val="0"/>
                <w:numId w:val="2"/>
              </w:numPr>
            </w:pPr>
            <w:r>
              <w:t xml:space="preserve">Zones can contain sub-zones enabling defense-in-depth</w:t>
            </w:r>
          </w:p>
          <w:p>
            <w:pPr>
              <w:pStyle w:val="ListParagraph"/>
              <w:numPr>
                <w:ilvl w:val="0"/>
                <w:numId w:val="2"/>
              </w:numPr>
            </w:pPr>
            <w:r>
              <w:t xml:space="preserve">All assets in a zone share the same cybersecurity requirements</w:t>
            </w:r>
          </w:p>
          <w:p>
            <w:pPr>
              <w:pStyle w:val="ListParagraph"/>
              <w:numPr>
                <w:ilvl w:val="0"/>
                <w:numId w:val="2"/>
              </w:numPr>
            </w:pPr>
            <w:r>
              <w:t xml:space="preserve">Each zone has an assigned Security Level Target (SL-T)</w:t>
            </w:r>
          </w:p>
        </w:tc>
      </w:tr>
    </w:tbl>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EF5E7" w:val="clear"/>
          </w:tcPr>
          <w:p>
            <w:r>
              <w:rPr>
                <w:b/>
                <w:bCs/>
                <w:color w:val="FFC000"/>
                <w:sz w:val="26"/>
                <w:szCs w:val="26"/>
              </w:rPr>
              <w:t xml:space="preserve">CONDUIT</w:t>
            </w:r>
          </w:p>
          <w:p>
            <w:r>
              <w:t xml:space="preserve">A logical or physical grouping of communication channels connecting two or more zones that share common security requirements. Conduits control the access to zones and secure the integrity of network traffic.</w:t>
            </w:r>
          </w:p>
          <w:p>
            <w:pPr>
              <w:spacing w:before="120"/>
            </w:pPr>
            <w:r>
              <w:rPr>
                <w:b/>
                <w:bCs/>
              </w:rPr>
              <w:t xml:space="preserve">Key Characteristics:</w:t>
            </w:r>
          </w:p>
          <w:p>
            <w:pPr>
              <w:pStyle w:val="ListParagraph"/>
              <w:numPr>
                <w:ilvl w:val="0"/>
                <w:numId w:val="2"/>
              </w:numPr>
            </w:pPr>
            <w:r>
              <w:t xml:space="preserve">Conduits provide security functions enabling secure communication</w:t>
            </w:r>
          </w:p>
          <w:p>
            <w:pPr>
              <w:pStyle w:val="ListParagraph"/>
              <w:numPr>
                <w:ilvl w:val="0"/>
                <w:numId w:val="2"/>
              </w:numPr>
            </w:pPr>
            <w:r>
              <w:t xml:space="preserve">Conduits allow zones with different security levels to coexist</w:t>
            </w:r>
          </w:p>
          <w:p>
            <w:pPr>
              <w:pStyle w:val="ListParagraph"/>
              <w:numPr>
                <w:ilvl w:val="0"/>
                <w:numId w:val="2"/>
              </w:numPr>
            </w:pPr>
            <w:r>
              <w:t xml:space="preserve">A conduit cannot have sub-conduits (unlike zones)</w:t>
            </w:r>
          </w:p>
          <w:p>
            <w:pPr>
              <w:pStyle w:val="ListParagraph"/>
              <w:numPr>
                <w:ilvl w:val="0"/>
                <w:numId w:val="2"/>
              </w:numPr>
            </w:pPr>
            <w:r>
              <w:t xml:space="preserve">A zone can have more than one conduit</w:t>
            </w:r>
          </w:p>
        </w:tc>
      </w:tr>
    </w:tbl>
    <w:p>
      <w:pPr>
        <w:spacing w:after="200"/>
      </w:pPr>
    </w:p>
    <w:p>
      <w:pPr>
        <w:pStyle w:val="Heading2"/>
      </w:pPr>
      <w:r>
        <w:t xml:space="preserve">5.2 Zone Partitioning Criteria</w:t>
      </w:r>
    </w:p>
    <w:p>
      <w:pPr>
        <w:spacing w:after="120"/>
      </w:pPr>
      <w:r>
        <w:t xml:space="preserve">IEC 62443-3-2 specifies the following criteria for partitioning a System under Consideration (SuC) into zones:</w:t>
      </w:r>
    </w:p>
    <w:p>
      <w:pPr>
        <w:pStyle w:val="ListParagraph"/>
        <w:numPr>
          <w:ilvl w:val="0"/>
          <w:numId w:val="3"/>
        </w:numPr>
      </w:pPr>
      <w:r>
        <w:rPr>
          <w:b/>
          <w:bCs/>
        </w:rPr>
        <w:t xml:space="preserve">Risk to assets: </w:t>
      </w:r>
      <w:r>
        <w:t xml:space="preserve">Integrity, availability, and confidentiality requirements</w:t>
      </w:r>
    </w:p>
    <w:p>
      <w:pPr>
        <w:pStyle w:val="ListParagraph"/>
        <w:numPr>
          <w:ilvl w:val="0"/>
          <w:numId w:val="3"/>
        </w:numPr>
      </w:pPr>
      <w:r>
        <w:rPr>
          <w:b/>
          <w:bCs/>
        </w:rPr>
        <w:t xml:space="preserve">Interface types: </w:t>
      </w:r>
      <w:r>
        <w:t xml:space="preserve">Types of connections (e.g., wireless vs. wired)</w:t>
      </w:r>
    </w:p>
    <w:p>
      <w:pPr>
        <w:pStyle w:val="ListParagraph"/>
        <w:numPr>
          <w:ilvl w:val="0"/>
          <w:numId w:val="3"/>
        </w:numPr>
      </w:pPr>
      <w:r>
        <w:rPr>
          <w:b/>
          <w:bCs/>
        </w:rPr>
        <w:t xml:space="preserve">Location: </w:t>
      </w:r>
      <w:r>
        <w:t xml:space="preserve">Physical or logical location of assets</w:t>
      </w:r>
    </w:p>
    <w:p>
      <w:pPr>
        <w:pStyle w:val="ListParagraph"/>
        <w:numPr>
          <w:ilvl w:val="0"/>
          <w:numId w:val="3"/>
        </w:numPr>
      </w:pPr>
      <w:r>
        <w:rPr>
          <w:b/>
          <w:bCs/>
        </w:rPr>
        <w:t xml:space="preserve">Access requirements: </w:t>
      </w:r>
      <w:r>
        <w:t xml:space="preserve">Who needs access and how</w:t>
      </w:r>
    </w:p>
    <w:p>
      <w:pPr>
        <w:pStyle w:val="ListParagraph"/>
        <w:numPr>
          <w:ilvl w:val="0"/>
          <w:numId w:val="3"/>
        </w:numPr>
      </w:pPr>
      <w:r>
        <w:rPr>
          <w:b/>
          <w:bCs/>
        </w:rPr>
        <w:t xml:space="preserve">Operational function: </w:t>
      </w:r>
      <w:r>
        <w:t xml:space="preserve">What the assets do</w:t>
      </w:r>
    </w:p>
    <w:p>
      <w:pPr>
        <w:pStyle w:val="ListParagraph"/>
        <w:numPr>
          <w:ilvl w:val="0"/>
          <w:numId w:val="3"/>
        </w:numPr>
      </w:pPr>
      <w:r>
        <w:rPr>
          <w:b/>
          <w:bCs/>
        </w:rPr>
        <w:t xml:space="preserve">Organizational responsibility: </w:t>
      </w:r>
      <w:r>
        <w:t xml:space="preserve">Who manages each asset</w:t>
      </w:r>
    </w:p>
    <w:p>
      <w:pPr>
        <w:pStyle w:val="ListParagraph"/>
        <w:numPr>
          <w:ilvl w:val="0"/>
          <w:numId w:val="3"/>
        </w:numPr>
      </w:pPr>
      <w:r>
        <w:rPr>
          <w:b/>
          <w:bCs/>
        </w:rPr>
        <w:t xml:space="preserve">Safety aspects: </w:t>
      </w:r>
      <w:r>
        <w:t xml:space="preserve">Safety-related vs. non-safety assets</w:t>
      </w:r>
    </w:p>
    <w:p>
      <w:pPr>
        <w:pStyle w:val="ListParagraph"/>
        <w:numPr>
          <w:ilvl w:val="0"/>
          <w:numId w:val="3"/>
        </w:numPr>
      </w:pPr>
      <w:r>
        <w:rPr>
          <w:b/>
          <w:bCs/>
        </w:rPr>
        <w:t xml:space="preserve">Technology lifecycle: </w:t>
      </w:r>
      <w:r>
        <w:t xml:space="preserve">Product lifecycle, obsolescence considerations</w:t>
      </w:r>
    </w:p>
    <w:p>
      <w:pPr>
        <w:pStyle w:val="Heading2"/>
      </w:pPr>
      <w:r>
        <w:t xml:space="preserve">5.3 Zone Design Principles</w:t>
      </w:r>
    </w:p>
    <w:p>
      <w:pPr>
        <w:pStyle w:val="ListParagraph"/>
        <w:numPr>
          <w:ilvl w:val="0"/>
          <w:numId w:val="2"/>
        </w:numPr>
      </w:pPr>
      <w:r>
        <w:t xml:space="preserve">Business assets (IT) and control assets (OT) should be in </w:t>
      </w:r>
      <w:r>
        <w:rPr>
          <w:b/>
          <w:bCs/>
        </w:rPr>
        <w:t xml:space="preserve">separate zones</w:t>
      </w:r>
    </w:p>
    <w:p>
      <w:pPr>
        <w:pStyle w:val="ListParagraph"/>
        <w:numPr>
          <w:ilvl w:val="0"/>
          <w:numId w:val="2"/>
        </w:numPr>
      </w:pPr>
      <w:r>
        <w:rPr>
          <w:b/>
          <w:bCs/>
        </w:rPr>
        <w:t xml:space="preserve">Safety-related assets </w:t>
      </w:r>
      <w:r>
        <w:t xml:space="preserve">shall be in dedicated zones, logically or physically separated</w:t>
      </w:r>
    </w:p>
    <w:p>
      <w:pPr>
        <w:pStyle w:val="ListParagraph"/>
        <w:numPr>
          <w:ilvl w:val="0"/>
          <w:numId w:val="2"/>
        </w:numPr>
      </w:pPr>
      <w:r>
        <w:t xml:space="preserve">Temporarily connected devices should be in </w:t>
      </w:r>
      <w:r>
        <w:rPr>
          <w:b/>
          <w:bCs/>
        </w:rPr>
        <w:t xml:space="preserve">separate zones</w:t>
      </w:r>
    </w:p>
    <w:p>
      <w:pPr>
        <w:pStyle w:val="ListParagraph"/>
        <w:numPr>
          <w:ilvl w:val="0"/>
          <w:numId w:val="2"/>
        </w:numPr>
      </w:pPr>
      <w:r>
        <w:rPr>
          <w:b/>
          <w:bCs/>
        </w:rPr>
        <w:t xml:space="preserve">Wireless devices </w:t>
      </w:r>
      <w:r>
        <w:t xml:space="preserve">should be in zones separate from wired devices</w:t>
      </w:r>
    </w:p>
    <w:p>
      <w:pPr>
        <w:pStyle w:val="ListParagraph"/>
        <w:numPr>
          <w:ilvl w:val="0"/>
          <w:numId w:val="2"/>
        </w:numPr>
      </w:pPr>
      <w:r>
        <w:t xml:space="preserve">Remote access devices should be grouped into </w:t>
      </w:r>
      <w:r>
        <w:rPr>
          <w:b/>
          <w:bCs/>
        </w:rPr>
        <w:t xml:space="preserve">separate zones</w:t>
      </w:r>
    </w:p>
    <w:p>
      <w:pPr>
        <w:pStyle w:val="ListParagraph"/>
        <w:numPr>
          <w:ilvl w:val="0"/>
          <w:numId w:val="2"/>
        </w:numPr>
      </w:pPr>
      <w:r>
        <w:t xml:space="preserve">Zones should contain </w:t>
      </w:r>
      <w:r>
        <w:rPr>
          <w:b/>
          <w:bCs/>
        </w:rPr>
        <w:t xml:space="preserve">security devices at perimeter edges</w:t>
      </w:r>
    </w:p>
    <w:p>
      <w:r>
        <w:br w:type="page"/>
      </w:r>
    </w:p>
    <w:p>
      <w:pPr>
        <w:pStyle w:val="Heading1"/>
      </w:pPr>
      <w:r>
        <w:t xml:space="preserve">6. RISK ASSESSMENT PROCESS</w:t>
      </w:r>
    </w:p>
    <w:p>
      <w:pPr>
        <w:spacing w:after="200"/>
      </w:pPr>
      <w:r>
        <w:t xml:space="preserve">IEC 62443-3-2 defines a structured risk assessment methodology consisting of two main phases: Initial Risk Assessment and Detailed Risk Assessment. This risk-based approach ensures security measures are proportionate to actual risks.</w:t>
      </w:r>
    </w:p>
    <w:p>
      <w:pPr>
        <w:pStyle w:val="Heading2"/>
      </w:pPr>
      <w:r>
        <w:t xml:space="preserve">6.1 Zone and Conduit Requirements (ZCR) Process Overview</w:t>
      </w:r>
    </w:p>
    <w:p>
      <w:pPr>
        <w:spacing w:after="120"/>
      </w:pPr>
      <w:r>
        <w:t xml:space="preserve">The ZCR process follows nine key steps from identification through operation: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Step</w:t>
            </w:r>
          </w:p>
        </w:tc>
        <w:tc>
          <w:tcPr>
            <w:tcW w:type="dxa" w:w="26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Activity</w:t>
            </w:r>
          </w:p>
        </w:tc>
        <w:tc>
          <w:tcPr>
            <w:tcW w:type="dxa" w:w="50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Output</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ZCR 1</w:t>
            </w:r>
          </w:p>
        </w:tc>
        <w:tc>
          <w:tcPr>
            <w:tcW w:type="dxa" w:w="2600"/>
            <w:tcBorders>
              <w:top w:val="single" w:color="CCCCCC" w:sz="1"/>
              <w:left w:val="single" w:color="CCCCCC" w:sz="1"/>
              <w:bottom w:val="single" w:color="CCCCCC" w:sz="1"/>
              <w:right w:val="single" w:color="CCCCCC" w:sz="1"/>
            </w:tcBorders>
          </w:tcPr>
          <w:p>
            <w:r>
              <w:t xml:space="preserve">Identify Assets &amp; SuC</w:t>
            </w:r>
          </w:p>
        </w:tc>
        <w:tc>
          <w:tcPr>
            <w:tcW w:type="dxa" w:w="5000"/>
            <w:tcBorders>
              <w:top w:val="single" w:color="CCCCCC" w:sz="1"/>
              <w:left w:val="single" w:color="CCCCCC" w:sz="1"/>
              <w:bottom w:val="single" w:color="CCCCCC" w:sz="1"/>
              <w:right w:val="single" w:color="CCCCCC" w:sz="1"/>
            </w:tcBorders>
          </w:tcPr>
          <w:p>
            <w:r>
              <w:t xml:space="preserve">Asset inventory, system boundaries, proposal zone model</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ZCR 2</w:t>
            </w:r>
          </w:p>
        </w:tc>
        <w:tc>
          <w:tcPr>
            <w:tcW w:type="dxa" w:w="2600"/>
            <w:tcBorders>
              <w:top w:val="single" w:color="CCCCCC" w:sz="1"/>
              <w:left w:val="single" w:color="CCCCCC" w:sz="1"/>
              <w:bottom w:val="single" w:color="CCCCCC" w:sz="1"/>
              <w:right w:val="single" w:color="CCCCCC" w:sz="1"/>
            </w:tcBorders>
          </w:tcPr>
          <w:p>
            <w:r>
              <w:t xml:space="preserve">Initial Risk Assessment</w:t>
            </w:r>
          </w:p>
        </w:tc>
        <w:tc>
          <w:tcPr>
            <w:tcW w:type="dxa" w:w="5000"/>
            <w:tcBorders>
              <w:top w:val="single" w:color="CCCCCC" w:sz="1"/>
              <w:left w:val="single" w:color="CCCCCC" w:sz="1"/>
              <w:bottom w:val="single" w:color="CCCCCC" w:sz="1"/>
              <w:right w:val="single" w:color="CCCCCC" w:sz="1"/>
            </w:tcBorders>
          </w:tcPr>
          <w:p>
            <w:r>
              <w:t xml:space="preserve">Corporate risk identification, impact evaluation</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ZCR 3</w:t>
            </w:r>
          </w:p>
        </w:tc>
        <w:tc>
          <w:tcPr>
            <w:tcW w:type="dxa" w:w="2600"/>
            <w:tcBorders>
              <w:top w:val="single" w:color="CCCCCC" w:sz="1"/>
              <w:left w:val="single" w:color="CCCCCC" w:sz="1"/>
              <w:bottom w:val="single" w:color="CCCCCC" w:sz="1"/>
              <w:right w:val="single" w:color="CCCCCC" w:sz="1"/>
            </w:tcBorders>
          </w:tcPr>
          <w:p>
            <w:r>
              <w:t xml:space="preserve">Partition into Zones</w:t>
            </w:r>
          </w:p>
        </w:tc>
        <w:tc>
          <w:tcPr>
            <w:tcW w:type="dxa" w:w="5000"/>
            <w:tcBorders>
              <w:top w:val="single" w:color="CCCCCC" w:sz="1"/>
              <w:left w:val="single" w:color="CCCCCC" w:sz="1"/>
              <w:bottom w:val="single" w:color="CCCCCC" w:sz="1"/>
              <w:right w:val="single" w:color="CCCCCC" w:sz="1"/>
            </w:tcBorders>
          </w:tcPr>
          <w:p>
            <w:r>
              <w:t xml:space="preserve">Zone/conduit definitions, SL-T proposals, communication matrix</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ZCR 4</w:t>
            </w:r>
          </w:p>
        </w:tc>
        <w:tc>
          <w:tcPr>
            <w:tcW w:type="dxa" w:w="2600"/>
            <w:tcBorders>
              <w:top w:val="single" w:color="CCCCCC" w:sz="1"/>
              <w:left w:val="single" w:color="CCCCCC" w:sz="1"/>
              <w:bottom w:val="single" w:color="CCCCCC" w:sz="1"/>
              <w:right w:val="single" w:color="CCCCCC" w:sz="1"/>
            </w:tcBorders>
          </w:tcPr>
          <w:p>
            <w:r>
              <w:t xml:space="preserve">High-Level Risk Assessment</w:t>
            </w:r>
          </w:p>
        </w:tc>
        <w:tc>
          <w:tcPr>
            <w:tcW w:type="dxa" w:w="5000"/>
            <w:tcBorders>
              <w:top w:val="single" w:color="CCCCCC" w:sz="1"/>
              <w:left w:val="single" w:color="CCCCCC" w:sz="1"/>
              <w:bottom w:val="single" w:color="CCCCCC" w:sz="1"/>
              <w:right w:val="single" w:color="CCCCCC" w:sz="1"/>
            </w:tcBorders>
          </w:tcPr>
          <w:p>
            <w:r>
              <w:t xml:space="preserve">Verified high-level zone model, threat landscape</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ZCR 5</w:t>
            </w:r>
          </w:p>
        </w:tc>
        <w:tc>
          <w:tcPr>
            <w:tcW w:type="dxa" w:w="2600"/>
            <w:tcBorders>
              <w:top w:val="single" w:color="CCCCCC" w:sz="1"/>
              <w:left w:val="single" w:color="CCCCCC" w:sz="1"/>
              <w:bottom w:val="single" w:color="CCCCCC" w:sz="1"/>
              <w:right w:val="single" w:color="CCCCCC" w:sz="1"/>
            </w:tcBorders>
          </w:tcPr>
          <w:p>
            <w:r>
              <w:t xml:space="preserve">Detailed Risk Assessment</w:t>
            </w:r>
          </w:p>
        </w:tc>
        <w:tc>
          <w:tcPr>
            <w:tcW w:type="dxa" w:w="5000"/>
            <w:tcBorders>
              <w:top w:val="single" w:color="CCCCCC" w:sz="1"/>
              <w:left w:val="single" w:color="CCCCCC" w:sz="1"/>
              <w:bottom w:val="single" w:color="CCCCCC" w:sz="1"/>
              <w:right w:val="single" w:color="CCCCCC" w:sz="1"/>
            </w:tcBorders>
          </w:tcPr>
          <w:p>
            <w:r>
              <w:t xml:space="preserve">Final zone model, countermeasures, residual risk assessment</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ZCR 6</w:t>
            </w:r>
          </w:p>
        </w:tc>
        <w:tc>
          <w:tcPr>
            <w:tcW w:type="dxa" w:w="2600"/>
            <w:tcBorders>
              <w:top w:val="single" w:color="CCCCCC" w:sz="1"/>
              <w:left w:val="single" w:color="CCCCCC" w:sz="1"/>
              <w:bottom w:val="single" w:color="CCCCCC" w:sz="1"/>
              <w:right w:val="single" w:color="CCCCCC" w:sz="1"/>
            </w:tcBorders>
          </w:tcPr>
          <w:p>
            <w:r>
              <w:t xml:space="preserve">Document Requirements</w:t>
            </w:r>
          </w:p>
        </w:tc>
        <w:tc>
          <w:tcPr>
            <w:tcW w:type="dxa" w:w="5000"/>
            <w:tcBorders>
              <w:top w:val="single" w:color="CCCCCC" w:sz="1"/>
              <w:left w:val="single" w:color="CCCCCC" w:sz="1"/>
              <w:bottom w:val="single" w:color="CCCCCC" w:sz="1"/>
              <w:right w:val="single" w:color="CCCCCC" w:sz="1"/>
            </w:tcBorders>
          </w:tcPr>
          <w:p>
            <w:r>
              <w:t xml:space="preserve">Cybersecurity Requirements Specification (CRS)</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ZCR 7</w:t>
            </w:r>
          </w:p>
        </w:tc>
        <w:tc>
          <w:tcPr>
            <w:tcW w:type="dxa" w:w="2600"/>
            <w:tcBorders>
              <w:top w:val="single" w:color="CCCCCC" w:sz="1"/>
              <w:left w:val="single" w:color="CCCCCC" w:sz="1"/>
              <w:bottom w:val="single" w:color="CCCCCC" w:sz="1"/>
              <w:right w:val="single" w:color="CCCCCC" w:sz="1"/>
            </w:tcBorders>
          </w:tcPr>
          <w:p>
            <w:r>
              <w:t xml:space="preserve">Approval</w:t>
            </w:r>
          </w:p>
        </w:tc>
        <w:tc>
          <w:tcPr>
            <w:tcW w:type="dxa" w:w="5000"/>
            <w:tcBorders>
              <w:top w:val="single" w:color="CCCCCC" w:sz="1"/>
              <w:left w:val="single" w:color="CCCCCC" w:sz="1"/>
              <w:bottom w:val="single" w:color="CCCCCC" w:sz="1"/>
              <w:right w:val="single" w:color="CCCCCC" w:sz="1"/>
            </w:tcBorders>
          </w:tcPr>
          <w:p>
            <w:r>
              <w:t xml:space="preserve">Stakeholder sign-off, resource commitment</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ZCR 8</w:t>
            </w:r>
          </w:p>
        </w:tc>
        <w:tc>
          <w:tcPr>
            <w:tcW w:type="dxa" w:w="2600"/>
            <w:tcBorders>
              <w:top w:val="single" w:color="CCCCCC" w:sz="1"/>
              <w:left w:val="single" w:color="CCCCCC" w:sz="1"/>
              <w:bottom w:val="single" w:color="CCCCCC" w:sz="1"/>
              <w:right w:val="single" w:color="CCCCCC" w:sz="1"/>
            </w:tcBorders>
          </w:tcPr>
          <w:p>
            <w:r>
              <w:t xml:space="preserve">Migration</w:t>
            </w:r>
          </w:p>
        </w:tc>
        <w:tc>
          <w:tcPr>
            <w:tcW w:type="dxa" w:w="5000"/>
            <w:tcBorders>
              <w:top w:val="single" w:color="CCCCCC" w:sz="1"/>
              <w:left w:val="single" w:color="CCCCCC" w:sz="1"/>
              <w:bottom w:val="single" w:color="CCCCCC" w:sz="1"/>
              <w:right w:val="single" w:color="CCCCCC" w:sz="1"/>
            </w:tcBorders>
          </w:tcPr>
          <w:p>
            <w:r>
              <w:t xml:space="preserve">Implementation of security architecture</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ZCR 9</w:t>
            </w:r>
          </w:p>
        </w:tc>
        <w:tc>
          <w:tcPr>
            <w:tcW w:type="dxa" w:w="2600"/>
            <w:tcBorders>
              <w:top w:val="single" w:color="CCCCCC" w:sz="1"/>
              <w:left w:val="single" w:color="CCCCCC" w:sz="1"/>
              <w:bottom w:val="single" w:color="CCCCCC" w:sz="1"/>
              <w:right w:val="single" w:color="CCCCCC" w:sz="1"/>
            </w:tcBorders>
          </w:tcPr>
          <w:p>
            <w:r>
              <w:t xml:space="preserve">Operation/Run</w:t>
            </w:r>
          </w:p>
        </w:tc>
        <w:tc>
          <w:tcPr>
            <w:tcW w:type="dxa" w:w="5000"/>
            <w:tcBorders>
              <w:top w:val="single" w:color="CCCCCC" w:sz="1"/>
              <w:left w:val="single" w:color="CCCCCC" w:sz="1"/>
              <w:bottom w:val="single" w:color="CCCCCC" w:sz="1"/>
              <w:right w:val="single" w:color="CCCCCC" w:sz="1"/>
            </w:tcBorders>
          </w:tcPr>
          <w:p>
            <w:r>
              <w:t xml:space="preserve">Continuous monitoring and review</w:t>
            </w:r>
          </w:p>
        </w:tc>
      </w:tr>
    </w:tbl>
    <w:p>
      <w:pPr>
        <w:spacing w:after="200"/>
      </w:pPr>
    </w:p>
    <w:p>
      <w:pPr>
        <w:pStyle w:val="Heading2"/>
      </w:pPr>
      <w:r>
        <w:t xml:space="preserve">6.2 Initial Risk Assessment (IRA)</w:t>
      </w:r>
    </w:p>
    <w:p>
      <w:pPr>
        <w:spacing w:after="120"/>
      </w:pPr>
      <w:r>
        <w:t xml:space="preserve">The Initial Risk Assessment is the starting point for risk analysis. Its purpose is to:</w:t>
      </w:r>
    </w:p>
    <w:p>
      <w:pPr>
        <w:pStyle w:val="ListParagraph"/>
        <w:numPr>
          <w:ilvl w:val="0"/>
          <w:numId w:val="2"/>
        </w:numPr>
      </w:pPr>
      <w:r>
        <w:t xml:space="preserve">Define the scope of future assessments</w:t>
      </w:r>
    </w:p>
    <w:p>
      <w:pPr>
        <w:pStyle w:val="ListParagraph"/>
        <w:numPr>
          <w:ilvl w:val="0"/>
          <w:numId w:val="2"/>
        </w:numPr>
      </w:pPr>
      <w:r>
        <w:t xml:space="preserve">Establish the zone and conduit diagram</w:t>
      </w:r>
    </w:p>
    <w:p>
      <w:pPr>
        <w:pStyle w:val="ListParagraph"/>
        <w:numPr>
          <w:ilvl w:val="0"/>
          <w:numId w:val="2"/>
        </w:numPr>
      </w:pPr>
      <w:r>
        <w:t xml:space="preserve">Establish initial security level targets for devices</w:t>
      </w:r>
    </w:p>
    <w:p>
      <w:pPr>
        <w:pStyle w:val="ListParagraph"/>
        <w:numPr>
          <w:ilvl w:val="0"/>
          <w:numId w:val="2"/>
        </w:numPr>
      </w:pPr>
      <w:r>
        <w:t xml:space="preserve">Identify high-risk areas for further analysis</w:t>
      </w:r>
    </w:p>
    <w:p>
      <w:pPr>
        <w:spacing w:before="120" w:after="200"/>
      </w:pPr>
      <w:r>
        <w:rPr>
          <w:i/>
          <w:iCs/>
        </w:rPr>
        <w:t xml:space="preserve">Key principle: </w:t>
      </w:r>
      <w:r>
        <w:t xml:space="preserve">The IRA assumes a threat likelihood of one and focuses on evaluating the worst-case scenario if a cyber asset is compromised.</w:t>
      </w:r>
    </w:p>
    <w:p>
      <w:pPr>
        <w:pStyle w:val="Heading2"/>
      </w:pPr>
      <w:r>
        <w:t xml:space="preserve">6.3 Detailed Risk Assessment (DRA)</w:t>
      </w:r>
    </w:p>
    <w:p>
      <w:pPr>
        <w:spacing w:after="120"/>
      </w:pPr>
      <w:r>
        <w:t xml:space="preserve">The Detailed Risk Assessment provides a robust understanding of threats and countermeasures. It involves:</w:t>
      </w:r>
    </w:p>
    <w:p>
      <w:pPr>
        <w:pStyle w:val="ListParagraph"/>
        <w:numPr>
          <w:ilvl w:val="0"/>
          <w:numId w:val="4"/>
        </w:numPr>
      </w:pPr>
      <w:r>
        <w:rPr>
          <w:b/>
          <w:bCs/>
        </w:rPr>
        <w:t xml:space="preserve">Threat identification: </w:t>
      </w:r>
      <w:r>
        <w:t xml:space="preserve">Record all assets, threat agents, and threat actions</w:t>
      </w:r>
    </w:p>
    <w:p>
      <w:pPr>
        <w:pStyle w:val="ListParagraph"/>
        <w:numPr>
          <w:ilvl w:val="0"/>
          <w:numId w:val="4"/>
        </w:numPr>
      </w:pPr>
      <w:r>
        <w:rPr>
          <w:b/>
          <w:bCs/>
        </w:rPr>
        <w:t xml:space="preserve">Vulnerability identification: </w:t>
      </w:r>
      <w:r>
        <w:t xml:space="preserve">Identify credible vulnerabilities through independent review</w:t>
      </w:r>
    </w:p>
    <w:p>
      <w:pPr>
        <w:pStyle w:val="ListParagraph"/>
        <w:numPr>
          <w:ilvl w:val="0"/>
          <w:numId w:val="4"/>
        </w:numPr>
      </w:pPr>
      <w:r>
        <w:rPr>
          <w:b/>
          <w:bCs/>
        </w:rPr>
        <w:t xml:space="preserve">Unmitigated risk determination: </w:t>
      </w:r>
      <w:r>
        <w:t xml:space="preserve">Assess risk before applying countermeasures</w:t>
      </w:r>
    </w:p>
    <w:p>
      <w:pPr>
        <w:pStyle w:val="ListParagraph"/>
        <w:numPr>
          <w:ilvl w:val="0"/>
          <w:numId w:val="4"/>
        </w:numPr>
      </w:pPr>
      <w:r>
        <w:rPr>
          <w:b/>
          <w:bCs/>
        </w:rPr>
        <w:t xml:space="preserve">Security level target assignment: </w:t>
      </w:r>
      <w:r>
        <w:t xml:space="preserve">Assign SL-T to each zone/conduit for each FR</w:t>
      </w:r>
    </w:p>
    <w:p>
      <w:pPr>
        <w:pStyle w:val="ListParagraph"/>
        <w:numPr>
          <w:ilvl w:val="0"/>
          <w:numId w:val="4"/>
        </w:numPr>
      </w:pPr>
      <w:r>
        <w:rPr>
          <w:b/>
          <w:bCs/>
        </w:rPr>
        <w:t xml:space="preserve">Countermeasure identification: </w:t>
      </w:r>
      <w:r>
        <w:t xml:space="preserve">Evaluate existing and required countermeasures</w:t>
      </w:r>
    </w:p>
    <w:p>
      <w:pPr>
        <w:pStyle w:val="ListParagraph"/>
        <w:numPr>
          <w:ilvl w:val="0"/>
          <w:numId w:val="4"/>
        </w:numPr>
      </w:pPr>
      <w:r>
        <w:rPr>
          <w:b/>
          <w:bCs/>
        </w:rPr>
        <w:t xml:space="preserve">Residual risk determination: </w:t>
      </w:r>
      <w:r>
        <w:t xml:space="preserve">Calculate remaining risk after countermeasures</w:t>
      </w:r>
    </w:p>
    <w:p>
      <w:r>
        <w:br w:type="page"/>
      </w:r>
    </w:p>
    <w:p>
      <w:pPr>
        <w:pStyle w:val="Heading1"/>
      </w:pPr>
      <w:r>
        <w:t xml:space="preserve">7. PURDUE REFERENCE MODEL</w:t>
      </w:r>
    </w:p>
    <w:p>
      <w:pPr>
        <w:spacing w:after="200"/>
      </w:pPr>
      <w:r>
        <w:t xml:space="preserve">IEC 62443 references the Purdue Enterprise Reference Architecture (PERA) as a conceptual framework for describing how data flows through industrial networks. While PERA was not designed as a cybersecurity model, it provides useful context for zone and conduit design.</w:t>
      </w:r>
    </w:p>
    <w:p>
      <w:pPr>
        <w:pStyle w:val="Heading2"/>
      </w:pPr>
      <w:r>
        <w:t xml:space="preserve">7.1 Purdue Model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rPr>
          <w:tblHeader/>
        </w:trPr>
        <w:tc>
          <w:tcPr>
            <w:tcW w:type="dxa" w:w="15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Level</w:t>
            </w:r>
          </w:p>
        </w:tc>
        <w:tc>
          <w:tcPr>
            <w:tcW w:type="dxa" w:w="25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Name</w:t>
            </w:r>
          </w:p>
        </w:tc>
        <w:tc>
          <w:tcPr>
            <w:tcW w:type="dxa" w:w="50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Description</w:t>
            </w:r>
          </w:p>
        </w:tc>
      </w:tr>
      <w:tr>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Level 5</w:t>
            </w:r>
          </w:p>
        </w:tc>
        <w:tc>
          <w:tcPr>
            <w:tcW w:type="dxa" w:w="2500"/>
            <w:tcBorders>
              <w:top w:val="single" w:color="CCCCCC" w:sz="1"/>
              <w:left w:val="single" w:color="CCCCCC" w:sz="1"/>
              <w:bottom w:val="single" w:color="CCCCCC" w:sz="1"/>
              <w:right w:val="single" w:color="CCCCCC" w:sz="1"/>
            </w:tcBorders>
          </w:tcPr>
          <w:p>
            <w:r>
              <w:t xml:space="preserve">Enterprise Network</w:t>
            </w:r>
          </w:p>
        </w:tc>
        <w:tc>
          <w:tcPr>
            <w:tcW w:type="dxa" w:w="5000"/>
            <w:tcBorders>
              <w:top w:val="single" w:color="CCCCCC" w:sz="1"/>
              <w:left w:val="single" w:color="CCCCCC" w:sz="1"/>
              <w:bottom w:val="single" w:color="CCCCCC" w:sz="1"/>
              <w:right w:val="single" w:color="CCCCCC" w:sz="1"/>
            </w:tcBorders>
          </w:tcPr>
          <w:p>
            <w:r>
              <w:t xml:space="preserve">Corporate IT systems, business applications, internet connectivity</w:t>
            </w:r>
          </w:p>
        </w:tc>
      </w:tr>
      <w:tr>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Level 4</w:t>
            </w:r>
          </w:p>
        </w:tc>
        <w:tc>
          <w:tcPr>
            <w:tcW w:type="dxa" w:w="2500"/>
            <w:tcBorders>
              <w:top w:val="single" w:color="CCCCCC" w:sz="1"/>
              <w:left w:val="single" w:color="CCCCCC" w:sz="1"/>
              <w:bottom w:val="single" w:color="CCCCCC" w:sz="1"/>
              <w:right w:val="single" w:color="CCCCCC" w:sz="1"/>
            </w:tcBorders>
          </w:tcPr>
          <w:p>
            <w:r>
              <w:t xml:space="preserve">Site Business Planning</w:t>
            </w:r>
          </w:p>
        </w:tc>
        <w:tc>
          <w:tcPr>
            <w:tcW w:type="dxa" w:w="5000"/>
            <w:tcBorders>
              <w:top w:val="single" w:color="CCCCCC" w:sz="1"/>
              <w:left w:val="single" w:color="CCCCCC" w:sz="1"/>
              <w:bottom w:val="single" w:color="CCCCCC" w:sz="1"/>
              <w:right w:val="single" w:color="CCCCCC" w:sz="1"/>
            </w:tcBorders>
          </w:tcPr>
          <w:p>
            <w:r>
              <w:t xml:space="preserve">Site-level business systems, scheduling, logistics</w:t>
            </w:r>
          </w:p>
        </w:tc>
      </w:tr>
      <w:tr>
        <w:tc>
          <w:tcPr>
            <w:tcW w:type="dxa" w:w="1500"/>
            <w:tcBorders>
              <w:top w:val="single" w:color="CCCCCC" w:sz="1"/>
              <w:left w:val="single" w:color="CCCCCC" w:sz="1"/>
              <w:bottom w:val="single" w:color="CCCCCC" w:sz="1"/>
              <w:right w:val="single" w:color="CCCCCC" w:sz="1"/>
            </w:tcBorders>
            <w:shd w:fill="FEF5E7" w:val="clear"/>
          </w:tcPr>
          <w:p>
            <w:pPr>
              <w:jc w:val="center"/>
            </w:pPr>
            <w:r>
              <w:rPr>
                <w:b/>
                <w:bCs/>
              </w:rPr>
              <w:t xml:space="preserve">Level 3.5</w:t>
            </w:r>
          </w:p>
        </w:tc>
        <w:tc>
          <w:tcPr>
            <w:tcW w:type="dxa" w:w="2500"/>
            <w:tcBorders>
              <w:top w:val="single" w:color="CCCCCC" w:sz="1"/>
              <w:left w:val="single" w:color="CCCCCC" w:sz="1"/>
              <w:bottom w:val="single" w:color="CCCCCC" w:sz="1"/>
              <w:right w:val="single" w:color="CCCCCC" w:sz="1"/>
            </w:tcBorders>
          </w:tcPr>
          <w:p>
            <w:r>
              <w:rPr>
                <w:b/>
                <w:bCs/>
              </w:rPr>
              <w:t xml:space="preserve">DMZ (Industrial)</w:t>
            </w:r>
          </w:p>
        </w:tc>
        <w:tc>
          <w:tcPr>
            <w:tcW w:type="dxa" w:w="5000"/>
            <w:tcBorders>
              <w:top w:val="single" w:color="CCCCCC" w:sz="1"/>
              <w:left w:val="single" w:color="CCCCCC" w:sz="1"/>
              <w:bottom w:val="single" w:color="CCCCCC" w:sz="1"/>
              <w:right w:val="single" w:color="CCCCCC" w:sz="1"/>
            </w:tcBorders>
          </w:tcPr>
          <w:p>
            <w:r>
              <w:t xml:space="preserve">Demilitarized zone between IT and OT; security controls, data historians</w:t>
            </w:r>
          </w:p>
        </w:tc>
      </w:tr>
      <w:tr>
        <w:tc>
          <w:tcPr>
            <w:tcW w:type="dxa" w:w="1500"/>
            <w:tcBorders>
              <w:top w:val="single" w:color="CCCCCC" w:sz="1"/>
              <w:left w:val="single" w:color="CCCCCC" w:sz="1"/>
              <w:bottom w:val="single" w:color="CCCCCC" w:sz="1"/>
              <w:right w:val="single" w:color="CCCCCC" w:sz="1"/>
            </w:tcBorders>
            <w:shd w:fill="E8F8E8" w:val="clear"/>
          </w:tcPr>
          <w:p>
            <w:pPr>
              <w:jc w:val="center"/>
            </w:pPr>
            <w:r>
              <w:rPr>
                <w:b/>
                <w:bCs/>
              </w:rPr>
              <w:t xml:space="preserve">Level 3</w:t>
            </w:r>
          </w:p>
        </w:tc>
        <w:tc>
          <w:tcPr>
            <w:tcW w:type="dxa" w:w="2500"/>
            <w:tcBorders>
              <w:top w:val="single" w:color="CCCCCC" w:sz="1"/>
              <w:left w:val="single" w:color="CCCCCC" w:sz="1"/>
              <w:bottom w:val="single" w:color="CCCCCC" w:sz="1"/>
              <w:right w:val="single" w:color="CCCCCC" w:sz="1"/>
            </w:tcBorders>
          </w:tcPr>
          <w:p>
            <w:r>
              <w:t xml:space="preserve">Site Operations</w:t>
            </w:r>
          </w:p>
        </w:tc>
        <w:tc>
          <w:tcPr>
            <w:tcW w:type="dxa" w:w="5000"/>
            <w:tcBorders>
              <w:top w:val="single" w:color="CCCCCC" w:sz="1"/>
              <w:left w:val="single" w:color="CCCCCC" w:sz="1"/>
              <w:bottom w:val="single" w:color="CCCCCC" w:sz="1"/>
              <w:right w:val="single" w:color="CCCCCC" w:sz="1"/>
            </w:tcBorders>
          </w:tcPr>
          <w:p>
            <w:r>
              <w:t xml:space="preserve">SCADA, HMI, data historian, engineering workstations</w:t>
            </w:r>
          </w:p>
        </w:tc>
      </w:tr>
      <w:tr>
        <w:tc>
          <w:tcPr>
            <w:tcW w:type="dxa" w:w="1500"/>
            <w:tcBorders>
              <w:top w:val="single" w:color="CCCCCC" w:sz="1"/>
              <w:left w:val="single" w:color="CCCCCC" w:sz="1"/>
              <w:bottom w:val="single" w:color="CCCCCC" w:sz="1"/>
              <w:right w:val="single" w:color="CCCCCC" w:sz="1"/>
            </w:tcBorders>
            <w:shd w:fill="E8F8E8" w:val="clear"/>
          </w:tcPr>
          <w:p>
            <w:pPr>
              <w:jc w:val="center"/>
            </w:pPr>
            <w:r>
              <w:rPr>
                <w:b/>
                <w:bCs/>
              </w:rPr>
              <w:t xml:space="preserve">Level 2</w:t>
            </w:r>
          </w:p>
        </w:tc>
        <w:tc>
          <w:tcPr>
            <w:tcW w:type="dxa" w:w="2500"/>
            <w:tcBorders>
              <w:top w:val="single" w:color="CCCCCC" w:sz="1"/>
              <w:left w:val="single" w:color="CCCCCC" w:sz="1"/>
              <w:bottom w:val="single" w:color="CCCCCC" w:sz="1"/>
              <w:right w:val="single" w:color="CCCCCC" w:sz="1"/>
            </w:tcBorders>
          </w:tcPr>
          <w:p>
            <w:r>
              <w:t xml:space="preserve">Area Supervisory Control</w:t>
            </w:r>
          </w:p>
        </w:tc>
        <w:tc>
          <w:tcPr>
            <w:tcW w:type="dxa" w:w="5000"/>
            <w:tcBorders>
              <w:top w:val="single" w:color="CCCCCC" w:sz="1"/>
              <w:left w:val="single" w:color="CCCCCC" w:sz="1"/>
              <w:bottom w:val="single" w:color="CCCCCC" w:sz="1"/>
              <w:right w:val="single" w:color="CCCCCC" w:sz="1"/>
            </w:tcBorders>
          </w:tcPr>
          <w:p>
            <w:r>
              <w:t xml:space="preserve">Local HMIs, area control systems</w:t>
            </w:r>
          </w:p>
        </w:tc>
      </w:tr>
      <w:tr>
        <w:tc>
          <w:tcPr>
            <w:tcW w:type="dxa" w:w="1500"/>
            <w:tcBorders>
              <w:top w:val="single" w:color="CCCCCC" w:sz="1"/>
              <w:left w:val="single" w:color="CCCCCC" w:sz="1"/>
              <w:bottom w:val="single" w:color="CCCCCC" w:sz="1"/>
              <w:right w:val="single" w:color="CCCCCC" w:sz="1"/>
            </w:tcBorders>
            <w:shd w:fill="E8F8E8" w:val="clear"/>
          </w:tcPr>
          <w:p>
            <w:pPr>
              <w:jc w:val="center"/>
            </w:pPr>
            <w:r>
              <w:rPr>
                <w:b/>
                <w:bCs/>
              </w:rPr>
              <w:t xml:space="preserve">Level 1</w:t>
            </w:r>
          </w:p>
        </w:tc>
        <w:tc>
          <w:tcPr>
            <w:tcW w:type="dxa" w:w="2500"/>
            <w:tcBorders>
              <w:top w:val="single" w:color="CCCCCC" w:sz="1"/>
              <w:left w:val="single" w:color="CCCCCC" w:sz="1"/>
              <w:bottom w:val="single" w:color="CCCCCC" w:sz="1"/>
              <w:right w:val="single" w:color="CCCCCC" w:sz="1"/>
            </w:tcBorders>
          </w:tcPr>
          <w:p>
            <w:r>
              <w:t xml:space="preserve">Basic Control</w:t>
            </w:r>
          </w:p>
        </w:tc>
        <w:tc>
          <w:tcPr>
            <w:tcW w:type="dxa" w:w="5000"/>
            <w:tcBorders>
              <w:top w:val="single" w:color="CCCCCC" w:sz="1"/>
              <w:left w:val="single" w:color="CCCCCC" w:sz="1"/>
              <w:bottom w:val="single" w:color="CCCCCC" w:sz="1"/>
              <w:right w:val="single" w:color="CCCCCC" w:sz="1"/>
            </w:tcBorders>
          </w:tcPr>
          <w:p>
            <w:r>
              <w:t xml:space="preserve">PLCs, RTUs, DCS controllers, intelligent devices</w:t>
            </w:r>
          </w:p>
        </w:tc>
      </w:tr>
      <w:tr>
        <w:tc>
          <w:tcPr>
            <w:tcW w:type="dxa" w:w="1500"/>
            <w:tcBorders>
              <w:top w:val="single" w:color="CCCCCC" w:sz="1"/>
              <w:left w:val="single" w:color="CCCCCC" w:sz="1"/>
              <w:bottom w:val="single" w:color="CCCCCC" w:sz="1"/>
              <w:right w:val="single" w:color="CCCCCC" w:sz="1"/>
            </w:tcBorders>
            <w:shd w:fill="E8F8E8" w:val="clear"/>
          </w:tcPr>
          <w:p>
            <w:pPr>
              <w:jc w:val="center"/>
            </w:pPr>
            <w:r>
              <w:rPr>
                <w:b/>
                <w:bCs/>
              </w:rPr>
              <w:t xml:space="preserve">Level 0</w:t>
            </w:r>
          </w:p>
        </w:tc>
        <w:tc>
          <w:tcPr>
            <w:tcW w:type="dxa" w:w="2500"/>
            <w:tcBorders>
              <w:top w:val="single" w:color="CCCCCC" w:sz="1"/>
              <w:left w:val="single" w:color="CCCCCC" w:sz="1"/>
              <w:bottom w:val="single" w:color="CCCCCC" w:sz="1"/>
              <w:right w:val="single" w:color="CCCCCC" w:sz="1"/>
            </w:tcBorders>
          </w:tcPr>
          <w:p>
            <w:r>
              <w:t xml:space="preserve">Physical Process</w:t>
            </w:r>
          </w:p>
        </w:tc>
        <w:tc>
          <w:tcPr>
            <w:tcW w:type="dxa" w:w="5000"/>
            <w:tcBorders>
              <w:top w:val="single" w:color="CCCCCC" w:sz="1"/>
              <w:left w:val="single" w:color="CCCCCC" w:sz="1"/>
              <w:bottom w:val="single" w:color="CCCCCC" w:sz="1"/>
              <w:right w:val="single" w:color="CCCCCC" w:sz="1"/>
            </w:tcBorders>
          </w:tcPr>
          <w:p>
            <w:r>
              <w:t xml:space="preserve">Field devices, sensors, actuators, valves, pumps</w:t>
            </w:r>
          </w:p>
        </w:tc>
      </w:tr>
    </w:tbl>
    <w:p>
      <w:pPr>
        <w:spacing w:after="200"/>
      </w:pPr>
    </w:p>
    <w:p>
      <w:pPr>
        <w:pStyle w:val="Heading2"/>
      </w:pPr>
      <w:r>
        <w:t xml:space="preserve">7.2 Purdue Model vs. Zones and Conduits</w:t>
      </w:r>
    </w:p>
    <w:p>
      <w:pPr>
        <w:spacing w:after="120"/>
      </w:pPr>
      <w:r>
        <w:rPr>
          <w:b/>
          <w:bCs/>
        </w:rPr>
        <w:t xml:space="preserve">Important distinction: </w:t>
      </w:r>
      <w:r>
        <w:t xml:space="preserve">The Purdue hierarchy is a </w:t>
      </w:r>
      <w:r>
        <w:rPr>
          <w:i/>
          <w:iCs/>
        </w:rPr>
        <w:t xml:space="preserve">functional/logical hierarchy</w:t>
      </w:r>
      <w:r>
        <w:t xml:space="preserve"> rather than a physical one. IEC 62443 zones and conduits provide a more flexible approach to segmentation that can accommodate modern architectures including IIoT and cloud services.</w:t>
      </w:r>
    </w:p>
    <w:p>
      <w:pPr>
        <w:spacing w:after="200"/>
      </w:pPr>
      <w:r>
        <w:t xml:space="preserve">The zone and conduit model is now emphasized over strict Purdue levels in recent editions of IEC 62443-1-1, as it allows for risk-based partitioning regardless of physical hierarchy.</w:t>
      </w:r>
    </w:p>
    <w:p>
      <w:r>
        <w:br w:type="page"/>
      </w:r>
    </w:p>
    <w:p>
      <w:pPr>
        <w:pStyle w:val="Heading1"/>
      </w:pPr>
      <w:r>
        <w:t xml:space="preserve">8. APPLICATION TO CRL PROJECT</w:t>
      </w:r>
    </w:p>
    <w:p>
      <w:pPr>
        <w:spacing w:after="200"/>
      </w:pPr>
      <w:r>
        <w:t xml:space="preserve">This section summarizes how the IEC 62443 concepts apply to the CRL IEC-62443 Cybersecurity Project and its 14 Systems Under Consideration (SUC).</w:t>
      </w:r>
    </w:p>
    <w:p>
      <w:pPr>
        <w:pStyle w:val="Heading2"/>
      </w:pPr>
      <w:r>
        <w:t xml:space="preserve">8.1 Alignment with Project Phases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CRL Phase</w:t>
            </w:r>
          </w:p>
        </w:tc>
        <w:tc>
          <w:tcPr>
            <w:tcW w:type="dxa" w:w="25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IEC 62443 Process</w:t>
            </w:r>
          </w:p>
        </w:tc>
        <w:tc>
          <w:tcPr>
            <w:tcW w:type="dxa" w:w="4500"/>
            <w:tcBorders>
              <w:top w:val="single" w:color="CCCCCC" w:sz="1"/>
              <w:left w:val="single" w:color="CCCCCC" w:sz="1"/>
              <w:bottom w:val="single" w:color="CCCCCC" w:sz="1"/>
              <w:right w:val="single" w:color="CCCCCC" w:sz="1"/>
            </w:tcBorders>
            <w:shd w:fill="1F4788" w:val="clear"/>
          </w:tcPr>
          <w:p>
            <w:pPr>
              <w:jc w:val="center"/>
            </w:pPr>
            <w:r>
              <w:rPr>
                <w:b/>
                <w:bCs/>
                <w:color w:val="FFFFFF"/>
              </w:rPr>
              <w:t xml:space="preserve">Key Deliverables</w:t>
            </w:r>
          </w:p>
        </w:tc>
      </w:tr>
      <w:tr>
        <w:tc>
          <w:tcPr>
            <w:tcW w:type="dxa" w:w="2000"/>
            <w:tcBorders>
              <w:top w:val="single" w:color="CCCCCC" w:sz="1"/>
              <w:left w:val="single" w:color="CCCCCC" w:sz="1"/>
              <w:bottom w:val="single" w:color="CCCCCC" w:sz="1"/>
              <w:right w:val="single" w:color="CCCCCC" w:sz="1"/>
            </w:tcBorders>
          </w:tcPr>
          <w:p>
            <w:r>
              <w:rPr>
                <w:b/>
                <w:bCs/>
              </w:rPr>
              <w:t xml:space="preserve">Phase 1</w:t>
            </w:r>
          </w:p>
        </w:tc>
        <w:tc>
          <w:tcPr>
            <w:tcW w:type="dxa" w:w="2500"/>
            <w:tcBorders>
              <w:top w:val="single" w:color="CCCCCC" w:sz="1"/>
              <w:left w:val="single" w:color="CCCCCC" w:sz="1"/>
              <w:bottom w:val="single" w:color="CCCCCC" w:sz="1"/>
              <w:right w:val="single" w:color="CCCCCC" w:sz="1"/>
            </w:tcBorders>
          </w:tcPr>
          <w:p>
            <w:r>
              <w:t xml:space="preserve">ZCR 1: Asset Identification</w:t>
            </w:r>
          </w:p>
        </w:tc>
        <w:tc>
          <w:tcPr>
            <w:tcW w:type="dxa" w:w="4500"/>
            <w:tcBorders>
              <w:top w:val="single" w:color="CCCCCC" w:sz="1"/>
              <w:left w:val="single" w:color="CCCCCC" w:sz="1"/>
              <w:bottom w:val="single" w:color="CCCCCC" w:sz="1"/>
              <w:right w:val="single" w:color="CCCCCC" w:sz="1"/>
            </w:tcBorders>
          </w:tcPr>
          <w:p>
            <w:r>
              <w:t xml:space="preserve">Clear SUC definition, Out of Scope systems, CSMP structure</w:t>
            </w:r>
          </w:p>
        </w:tc>
      </w:tr>
      <w:tr>
        <w:tc>
          <w:tcPr>
            <w:tcW w:type="dxa" w:w="2000"/>
            <w:tcBorders>
              <w:top w:val="single" w:color="CCCCCC" w:sz="1"/>
              <w:left w:val="single" w:color="CCCCCC" w:sz="1"/>
              <w:bottom w:val="single" w:color="CCCCCC" w:sz="1"/>
              <w:right w:val="single" w:color="CCCCCC" w:sz="1"/>
            </w:tcBorders>
          </w:tcPr>
          <w:p>
            <w:r>
              <w:rPr>
                <w:b/>
                <w:bCs/>
              </w:rPr>
              <w:t xml:space="preserve">Phase 2</w:t>
            </w:r>
          </w:p>
        </w:tc>
        <w:tc>
          <w:tcPr>
            <w:tcW w:type="dxa" w:w="2500"/>
            <w:tcBorders>
              <w:top w:val="single" w:color="CCCCCC" w:sz="1"/>
              <w:left w:val="single" w:color="CCCCCC" w:sz="1"/>
              <w:bottom w:val="single" w:color="CCCCCC" w:sz="1"/>
              <w:right w:val="single" w:color="CCCCCC" w:sz="1"/>
            </w:tcBorders>
          </w:tcPr>
          <w:p>
            <w:r>
              <w:t xml:space="preserve">ZCR 2-4: Risk Assessment</w:t>
            </w:r>
          </w:p>
        </w:tc>
        <w:tc>
          <w:tcPr>
            <w:tcW w:type="dxa" w:w="4500"/>
            <w:tcBorders>
              <w:top w:val="single" w:color="CCCCCC" w:sz="1"/>
              <w:left w:val="single" w:color="CCCCCC" w:sz="1"/>
              <w:bottom w:val="single" w:color="CCCCCC" w:sz="1"/>
              <w:right w:val="single" w:color="CCCCCC" w:sz="1"/>
            </w:tcBorders>
          </w:tcPr>
          <w:p>
            <w:r>
              <w:t xml:space="preserve">Zone &amp; Conduit diagrams, SL-T assignments, Draft CSMP</w:t>
            </w:r>
          </w:p>
        </w:tc>
      </w:tr>
      <w:tr>
        <w:tc>
          <w:tcPr>
            <w:tcW w:type="dxa" w:w="2000"/>
            <w:tcBorders>
              <w:top w:val="single" w:color="CCCCCC" w:sz="1"/>
              <w:left w:val="single" w:color="CCCCCC" w:sz="1"/>
              <w:bottom w:val="single" w:color="CCCCCC" w:sz="1"/>
              <w:right w:val="single" w:color="CCCCCC" w:sz="1"/>
            </w:tcBorders>
          </w:tcPr>
          <w:p>
            <w:r>
              <w:rPr>
                <w:b/>
                <w:bCs/>
              </w:rPr>
              <w:t xml:space="preserve">Phase 3</w:t>
            </w:r>
          </w:p>
        </w:tc>
        <w:tc>
          <w:tcPr>
            <w:tcW w:type="dxa" w:w="2500"/>
            <w:tcBorders>
              <w:top w:val="single" w:color="CCCCCC" w:sz="1"/>
              <w:left w:val="single" w:color="CCCCCC" w:sz="1"/>
              <w:bottom w:val="single" w:color="CCCCCC" w:sz="1"/>
              <w:right w:val="single" w:color="CCCCCC" w:sz="1"/>
            </w:tcBorders>
          </w:tcPr>
          <w:p>
            <w:r>
              <w:t xml:space="preserve">ZCR 5: Detailed Assessment</w:t>
            </w:r>
          </w:p>
        </w:tc>
        <w:tc>
          <w:tcPr>
            <w:tcW w:type="dxa" w:w="4500"/>
            <w:tcBorders>
              <w:top w:val="single" w:color="CCCCCC" w:sz="1"/>
              <w:left w:val="single" w:color="CCCCCC" w:sz="1"/>
              <w:bottom w:val="single" w:color="CCCCCC" w:sz="1"/>
              <w:right w:val="single" w:color="CCCCCC" w:sz="1"/>
            </w:tcBorders>
          </w:tcPr>
          <w:p>
            <w:r>
              <w:t xml:space="preserve">Workshop outcomes, Updated DRA, Asset Register with SL requirements</w:t>
            </w:r>
          </w:p>
        </w:tc>
      </w:tr>
      <w:tr>
        <w:tc>
          <w:tcPr>
            <w:tcW w:type="dxa" w:w="2000"/>
            <w:tcBorders>
              <w:top w:val="single" w:color="CCCCCC" w:sz="1"/>
              <w:left w:val="single" w:color="CCCCCC" w:sz="1"/>
              <w:bottom w:val="single" w:color="CCCCCC" w:sz="1"/>
              <w:right w:val="single" w:color="CCCCCC" w:sz="1"/>
            </w:tcBorders>
          </w:tcPr>
          <w:p>
            <w:r>
              <w:rPr>
                <w:b/>
                <w:bCs/>
              </w:rPr>
              <w:t xml:space="preserve">Phase 4</w:t>
            </w:r>
          </w:p>
        </w:tc>
        <w:tc>
          <w:tcPr>
            <w:tcW w:type="dxa" w:w="2500"/>
            <w:tcBorders>
              <w:top w:val="single" w:color="CCCCCC" w:sz="1"/>
              <w:left w:val="single" w:color="CCCCCC" w:sz="1"/>
              <w:bottom w:val="single" w:color="CCCCCC" w:sz="1"/>
              <w:right w:val="single" w:color="CCCCCC" w:sz="1"/>
            </w:tcBorders>
          </w:tcPr>
          <w:p>
            <w:r>
              <w:t xml:space="preserve">ZCR 6-7: Documentation</w:t>
            </w:r>
          </w:p>
        </w:tc>
        <w:tc>
          <w:tcPr>
            <w:tcW w:type="dxa" w:w="4500"/>
            <w:tcBorders>
              <w:top w:val="single" w:color="CCCCCC" w:sz="1"/>
              <w:left w:val="single" w:color="CCCCCC" w:sz="1"/>
              <w:bottom w:val="single" w:color="CCCCCC" w:sz="1"/>
              <w:right w:val="single" w:color="CCCCCC" w:sz="1"/>
            </w:tcBorders>
          </w:tcPr>
          <w:p>
            <w:r>
              <w:t xml:space="preserve">Final CSMP, Risk Ledger, Handover Plan</w:t>
            </w:r>
          </w:p>
        </w:tc>
      </w:tr>
      <w:tr>
        <w:tc>
          <w:tcPr>
            <w:tcW w:type="dxa" w:w="2000"/>
            <w:tcBorders>
              <w:top w:val="single" w:color="CCCCCC" w:sz="1"/>
              <w:left w:val="single" w:color="CCCCCC" w:sz="1"/>
              <w:bottom w:val="single" w:color="CCCCCC" w:sz="1"/>
              <w:right w:val="single" w:color="CCCCCC" w:sz="1"/>
            </w:tcBorders>
          </w:tcPr>
          <w:p>
            <w:r>
              <w:rPr>
                <w:b/>
                <w:bCs/>
              </w:rPr>
              <w:t xml:space="preserve">Phase 5</w:t>
            </w:r>
          </w:p>
        </w:tc>
        <w:tc>
          <w:tcPr>
            <w:tcW w:type="dxa" w:w="2500"/>
            <w:tcBorders>
              <w:top w:val="single" w:color="CCCCCC" w:sz="1"/>
              <w:left w:val="single" w:color="CCCCCC" w:sz="1"/>
              <w:bottom w:val="single" w:color="CCCCCC" w:sz="1"/>
              <w:right w:val="single" w:color="CCCCCC" w:sz="1"/>
            </w:tcBorders>
          </w:tcPr>
          <w:p>
            <w:r>
              <w:t xml:space="preserve">Validation &amp; Verification</w:t>
            </w:r>
          </w:p>
        </w:tc>
        <w:tc>
          <w:tcPr>
            <w:tcW w:type="dxa" w:w="4500"/>
            <w:tcBorders>
              <w:top w:val="single" w:color="CCCCCC" w:sz="1"/>
              <w:left w:val="single" w:color="CCCCCC" w:sz="1"/>
              <w:bottom w:val="single" w:color="CCCCCC" w:sz="1"/>
              <w:right w:val="single" w:color="CCCCCC" w:sz="1"/>
            </w:tcBorders>
          </w:tcPr>
          <w:p>
            <w:r>
              <w:t xml:space="preserve">Unit testing, Executive reports, Remediation plans</w:t>
            </w:r>
          </w:p>
        </w:tc>
      </w:tr>
    </w:tbl>
    <w:p>
      <w:pPr>
        <w:spacing w:after="200"/>
      </w:pPr>
    </w:p>
    <w:p>
      <w:pPr>
        <w:pStyle w:val="Heading2"/>
      </w:pPr>
      <w:r>
        <w:t xml:space="preserve">8.2 Key Recommendations for CRL</w:t>
      </w:r>
    </w:p>
    <w:p>
      <w:pPr>
        <w:pStyle w:val="ListParagraph"/>
        <w:numPr>
          <w:ilvl w:val="0"/>
          <w:numId w:val="5"/>
        </w:numPr>
      </w:pPr>
      <w:r>
        <w:rPr>
          <w:b/>
          <w:bCs/>
        </w:rPr>
        <w:t xml:space="preserve">Establish SL-T vector for each SUC: </w:t>
      </w:r>
      <w:r>
        <w:t xml:space="preserve">Define target security levels for each of the 7 FRs per system</w:t>
      </w:r>
    </w:p>
    <w:p>
      <w:pPr>
        <w:pStyle w:val="ListParagraph"/>
        <w:numPr>
          <w:ilvl w:val="0"/>
          <w:numId w:val="5"/>
        </w:numPr>
      </w:pPr>
      <w:r>
        <w:rPr>
          <w:b/>
          <w:bCs/>
        </w:rPr>
        <w:t xml:space="preserve">Apply zone criticality (ZC) levels: </w:t>
      </w:r>
      <w:r>
        <w:t xml:space="preserve">Use communication matrix to validate data flows</w:t>
      </w:r>
    </w:p>
    <w:p>
      <w:pPr>
        <w:pStyle w:val="ListParagraph"/>
        <w:numPr>
          <w:ilvl w:val="0"/>
          <w:numId w:val="5"/>
        </w:numPr>
      </w:pPr>
      <w:r>
        <w:rPr>
          <w:b/>
          <w:bCs/>
        </w:rPr>
        <w:t xml:space="preserve">Separate safety-related systems: </w:t>
      </w:r>
      <w:r>
        <w:t xml:space="preserve">Ensure TVCS and other safety systems are in dedicated zones</w:t>
      </w:r>
    </w:p>
    <w:p>
      <w:pPr>
        <w:pStyle w:val="ListParagraph"/>
        <w:numPr>
          <w:ilvl w:val="0"/>
          <w:numId w:val="5"/>
        </w:numPr>
      </w:pPr>
      <w:r>
        <w:rPr>
          <w:b/>
          <w:bCs/>
        </w:rPr>
        <w:t xml:space="preserve">Document compensating countermeasures: </w:t>
      </w:r>
      <w:r>
        <w:t xml:space="preserve">Where SL-C &lt; SL-T, identify and document compensating controls</w:t>
      </w:r>
    </w:p>
    <w:p>
      <w:pPr>
        <w:pStyle w:val="ListParagraph"/>
        <w:numPr>
          <w:ilvl w:val="0"/>
          <w:numId w:val="5"/>
        </w:numPr>
      </w:pPr>
      <w:r>
        <w:rPr>
          <w:b/>
          <w:bCs/>
        </w:rPr>
        <w:t xml:space="preserve">Align with AT/KR frameworks: </w:t>
      </w:r>
      <w:r>
        <w:t xml:space="preserve">Map IEC 62443 requirements to existing NIST-based approaches</w:t>
      </w:r>
    </w:p>
    <w:p>
      <w:r>
        <w:br w:type="page"/>
      </w:r>
    </w:p>
    <w:p>
      <w:pPr>
        <w:pStyle w:val="Heading1"/>
      </w:pPr>
      <w:r>
        <w:t xml:space="preserve">9. REFERENCES AND SOURCES</w:t>
      </w:r>
    </w:p>
    <w:p>
      <w:pPr>
        <w:pStyle w:val="Heading2"/>
      </w:pPr>
      <w:r>
        <w:t xml:space="preserve">9.1 Primary Standards</w:t>
      </w:r>
    </w:p>
    <w:p>
      <w:pPr>
        <w:pStyle w:val="ListParagraph"/>
        <w:numPr>
          <w:ilvl w:val="0"/>
          <w:numId w:val="2"/>
        </w:numPr>
      </w:pPr>
      <w:r>
        <w:t xml:space="preserve">IEC 62443-1-1: Terminology, concepts and models</w:t>
      </w:r>
    </w:p>
    <w:p>
      <w:pPr>
        <w:pStyle w:val="ListParagraph"/>
        <w:numPr>
          <w:ilvl w:val="0"/>
          <w:numId w:val="2"/>
        </w:numPr>
      </w:pPr>
      <w:r>
        <w:t xml:space="preserve">IEC 62443-3-2: Security risk assessment for system design</w:t>
      </w:r>
    </w:p>
    <w:p>
      <w:pPr>
        <w:pStyle w:val="ListParagraph"/>
        <w:numPr>
          <w:ilvl w:val="0"/>
          <w:numId w:val="2"/>
        </w:numPr>
      </w:pPr>
      <w:r>
        <w:t xml:space="preserve">IEC 62443-3-3: System security requirements and security levels</w:t>
      </w:r>
    </w:p>
    <w:p>
      <w:pPr>
        <w:pStyle w:val="ListParagraph"/>
        <w:numPr>
          <w:ilvl w:val="0"/>
          <w:numId w:val="2"/>
        </w:numPr>
      </w:pPr>
      <w:r>
        <w:t xml:space="preserve">IEC 62443-4-1: Secure product development lifecycle requirements</w:t>
      </w:r>
    </w:p>
    <w:p>
      <w:pPr>
        <w:pStyle w:val="ListParagraph"/>
        <w:numPr>
          <w:ilvl w:val="0"/>
          <w:numId w:val="2"/>
        </w:numPr>
      </w:pPr>
      <w:r>
        <w:t xml:space="preserve">IEC 62443-4-2: Technical security requirements for IACS components</w:t>
      </w:r>
    </w:p>
    <w:p>
      <w:pPr>
        <w:pStyle w:val="ListParagraph"/>
        <w:numPr>
          <w:ilvl w:val="0"/>
          <w:numId w:val="2"/>
        </w:numPr>
      </w:pPr>
      <w:r>
        <w:t xml:space="preserve">CLC/TS 50701:2021 - Railway applications: Cybersecurity</w:t>
      </w:r>
    </w:p>
    <w:p>
      <w:pPr>
        <w:pStyle w:val="Heading2"/>
      </w:pPr>
      <w:r>
        <w:t xml:space="preserve">9.2 Supplementary Resources</w:t>
      </w:r>
    </w:p>
    <w:p>
      <w:pPr>
        <w:pStyle w:val="ListParagraph"/>
        <w:numPr>
          <w:ilvl w:val="0"/>
          <w:numId w:val="2"/>
        </w:numPr>
      </w:pPr>
      <w:r>
        <w:t xml:space="preserve">ENISA: Zoning and Conduits for Railways - Security Architecture (February 2022)</w:t>
      </w:r>
    </w:p>
    <w:p>
      <w:pPr>
        <w:pStyle w:val="ListParagraph"/>
        <w:numPr>
          <w:ilvl w:val="0"/>
          <w:numId w:val="2"/>
        </w:numPr>
      </w:pPr>
      <w:r>
        <w:t xml:space="preserve">ISA Global Cybersecurity Alliance (ISAGCA) Quick Start Guides</w:t>
      </w:r>
    </w:p>
    <w:p>
      <w:pPr>
        <w:pStyle w:val="ListParagraph"/>
        <w:numPr>
          <w:ilvl w:val="0"/>
          <w:numId w:val="2"/>
        </w:numPr>
      </w:pPr>
      <w:r>
        <w:t xml:space="preserve">NIST SP 800-82: Guide to Industrial Control System (ICS) Security</w:t>
      </w:r>
    </w:p>
    <w:p>
      <w:pPr>
        <w:pStyle w:val="ListParagraph"/>
        <w:numPr>
          <w:ilvl w:val="0"/>
          <w:numId w:val="2"/>
        </w:numPr>
      </w:pPr>
      <w:r>
        <w:t xml:space="preserve">Dragos: Understanding ISA/IEC 62443 - A Guide for OT Security Teams</w:t>
      </w:r>
    </w:p>
    <w:p>
      <w:pPr>
        <w:spacing w:before="400"/>
        <w:jc w:val="center"/>
      </w:pPr>
      <w:r>
        <w:rPr>
          <w:color w:val="666666"/>
          <w:sz w:val="20"/>
          <w:szCs w:val="20"/>
        </w:rPr>
        <w:t xml:space="preserve">— END OF RESEARCH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IEC 62443 Deep Research | CRL Cybersecurity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788"/>
      <w:sz w:val="52"/>
      <w:szCs w:val="52"/>
    </w:rPr>
  </w:style>
  <w:style w:type="paragraph" w:styleId="Heading1">
    <w:name w:val="Heading 1"/>
    <w:basedOn w:val="Normal"/>
    <w:next w:val="Normal"/>
    <w:qFormat/>
    <w:pPr>
      <w:spacing w:before="360" w:after="200"/>
      <w:outlineLvl w:val="0"/>
    </w:pPr>
    <w:rPr>
      <w:rFonts w:ascii="Arial" w:cs="Arial" w:eastAsia="Arial" w:hAnsi="Arial"/>
      <w:b/>
      <w:bCs/>
      <w:color w:val="1F4788"/>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4472C4"/>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2025-12-15T19:05:13.202Z</dcterms:created>
  <dcterms:modified xsi:type="dcterms:W3CDTF">2025-12-15T19:05:13.203Z</dcterms:modified>
</cp:coreProperties>
</file>

<file path=docProps/custom.xml><?xml version="1.0" encoding="utf-8"?>
<Properties xmlns="http://schemas.openxmlformats.org/officeDocument/2006/custom-properties" xmlns:vt="http://schemas.openxmlformats.org/officeDocument/2006/docPropsVTypes"/>
</file>