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numPr>
          <w:ilvl w:val="0"/>
          <w:numId w:val="7"/>
        </w:numPr>
        <w:ind w:left="720" w:hanging="360"/>
      </w:pPr>
      <w:r w:rsidDel="00000000" w:rsidR="00000000" w:rsidRPr="00000000">
        <w:rPr>
          <w:rtl w:val="0"/>
        </w:rPr>
        <w:t xml:space="preserve">Introduction:</w:t>
      </w:r>
    </w:p>
    <w:p w:rsidR="00000000" w:rsidDel="00000000" w:rsidP="00000000" w:rsidRDefault="00000000" w:rsidRPr="00000000" w14:paraId="000000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720" w:right="0" w:firstLine="0"/>
        <w:jc w:val="left"/>
        <w:rPr/>
      </w:pPr>
      <w:r w:rsidDel="00000000" w:rsidR="00000000" w:rsidRPr="00000000">
        <w:rPr>
          <w:rtl w:val="0"/>
        </w:rPr>
      </w:r>
    </w:p>
    <w:p w:rsidR="00000000" w:rsidDel="00000000" w:rsidP="00000000" w:rsidRDefault="00000000" w:rsidRPr="00000000" w14:paraId="00000003">
      <w:pPr>
        <w:ind w:left="720" w:firstLine="0"/>
        <w:rPr/>
      </w:pPr>
      <w:r w:rsidDel="00000000" w:rsidR="00000000" w:rsidRPr="00000000">
        <w:rPr>
          <w:rtl w:val="0"/>
        </w:rPr>
        <w:t xml:space="preserve">The escalating sophistication of cyber threats, coupled with the increasing complexity of modern technological systems, necessitates a robust and multifaceted approach to cybersecurity and asset management. A significant area of concern has emerged within supply chain vulnerabilities, affecting both software and hardware components. These vulnerabilities can serve as entry points for malicious actors, leading to severe security breaches and operational disruptions. To address these challenges, organizations are increasingly recognizing the critical role of transparency in the composition of their systems. Hardware Bill of Materials (HBOM) and Software Bill of Materials (SBOM) have become indispensable tools in achieving this transparency, providing detailed inventories of the components that constitute a system's hardware and software respectively 1. This report delves into a technical approach for leveraging HBOM and SBOM within a hierarchical framework used for building systems. The primary focus is on enhancing the overall cybersecurity posture and improving the efficiency of asset management practices by providing actionable insights for Cybersecurity Architects and Lead System Engineers.</w:t>
      </w:r>
    </w:p>
    <w:p w:rsidR="00000000" w:rsidDel="00000000" w:rsidP="00000000" w:rsidRDefault="00000000" w:rsidRPr="00000000" w14:paraId="000000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720" w:right="0" w:firstLine="0"/>
        <w:jc w:val="left"/>
        <w:rPr/>
      </w:pPr>
      <w:r w:rsidDel="00000000" w:rsidR="00000000" w:rsidRPr="00000000">
        <w:rPr>
          <w:rtl w:val="0"/>
        </w:rPr>
      </w:r>
    </w:p>
    <w:p w:rsidR="00000000" w:rsidDel="00000000" w:rsidP="00000000" w:rsidRDefault="00000000" w:rsidRPr="00000000" w14:paraId="00000005">
      <w:pPr>
        <w:numPr>
          <w:ilvl w:val="0"/>
          <w:numId w:val="7"/>
        </w:numPr>
        <w:ind w:left="720" w:hanging="360"/>
      </w:pPr>
      <w:r w:rsidDel="00000000" w:rsidR="00000000" w:rsidRPr="00000000">
        <w:rPr>
          <w:b w:val="1"/>
          <w:rtl w:val="0"/>
        </w:rPr>
        <w:t xml:space="preserve">Demystifying HBOM and SBOM:</w:t>
      </w:r>
      <w:r w:rsidDel="00000000" w:rsidR="00000000" w:rsidRPr="00000000">
        <w:rPr>
          <w:rtl w:val="0"/>
        </w:rPr>
      </w:r>
    </w:p>
    <w:p w:rsidR="00000000" w:rsidDel="00000000" w:rsidP="00000000" w:rsidRDefault="00000000" w:rsidRPr="00000000" w14:paraId="00000006">
      <w:pPr>
        <w:pStyle w:val="Heading2"/>
        <w:numPr>
          <w:ilvl w:val="0"/>
          <w:numId w:val="14"/>
        </w:numPr>
        <w:ind w:left="720" w:hanging="360"/>
      </w:pPr>
      <w:bookmarkStart w:colFirst="0" w:colLast="0" w:name="_qzt81nw9ce6" w:id="0"/>
      <w:bookmarkEnd w:id="0"/>
      <w:r w:rsidDel="00000000" w:rsidR="00000000" w:rsidRPr="00000000">
        <w:rPr>
          <w:b w:val="1"/>
          <w:rtl w:val="0"/>
        </w:rPr>
        <w:t xml:space="preserve">Hardware Bill of Materials (HBOM): Unveiling Hardware Composition:</w:t>
      </w:r>
      <w:r w:rsidDel="00000000" w:rsidR="00000000" w:rsidRPr="00000000">
        <w:rPr>
          <w:rtl w:val="0"/>
        </w:rPr>
        <w:t xml:space="preserve"> A Hardware Bill of Materials (HBOM) serves as a comprehensive and systematically structured inventory that enumerates all the physical elements essential for the creation of a hardware product 3. This inventory encompasses components, parts, assemblies, and the raw materials utilized in the manufacturing process. Each entry within an HBOM typically includes critical details such as the component's manufacturer, its specific part number, the required quantity, and often information regarding its origin and current lifecycle status 1. The fundamental objective of an HBOM is to establish a clear understanding of the hardware supply chain, thereby enabling organizations to effectively assess and manage both the economic and security risks associated with the potential integration of compromised or untrusted components into their products 1. The development and promotion of the HBOM framework, particularly by entities such as the Cybersecurity and Infrastructure Security Agency (CISA), signifies a growing recognition within the industry and government of the inherent security vulnerabilities that can exist at the hardware level 1. This focus on hardware transparency complements the more historically established emphasis on securing the software supply chain. The framework aims to provide a consistent and repeatable methodology for cataloging hardware components, especially within the Information and Communications Technology (ICT) sector, to improve the identification and management of potential cybersecurity risks 1.</w:t>
      </w:r>
    </w:p>
    <w:p w:rsidR="00000000" w:rsidDel="00000000" w:rsidP="00000000" w:rsidRDefault="00000000" w:rsidRPr="00000000" w14:paraId="00000007">
      <w:pPr>
        <w:numPr>
          <w:ilvl w:val="0"/>
          <w:numId w:val="14"/>
        </w:numPr>
        <w:ind w:left="720" w:hanging="360"/>
      </w:pPr>
      <w:r w:rsidDel="00000000" w:rsidR="00000000" w:rsidRPr="00000000">
        <w:rPr>
          <w:b w:val="1"/>
          <w:rtl w:val="0"/>
        </w:rPr>
        <w:t xml:space="preserve">Software Bill of Materials (SBOM): Illuminating Software Dependencies:</w:t>
      </w:r>
      <w:r w:rsidDel="00000000" w:rsidR="00000000" w:rsidRPr="00000000">
        <w:rPr>
          <w:rtl w:val="0"/>
        </w:rPr>
        <w:t xml:space="preserve"> A Software Bill of Materials (SBOM) is a meticulously organized and detailed list of all the software constituents that comprise a particular software application 2. This inventory includes a wide range of elements such as open-source libraries, third-party components, software modules, and their intricate dependencies. Alongside these components, an SBOM also captures crucial metadata, including version numbers, licensing information, and the current patch status of each element 2. Functioning much like an ingredient list for software, an SBOM provides essential transparency into the inner workings of a software product 8. This transparency empowers organizations to effectively identify potential security vulnerabilities that might reside within these components, diligently manage compliance with software licensing agreements, and ultimately ensure the overall integrity and security of their software supply chain 8. The significance of SBOMs is increasingly being recognized by both governmental bodies and industry stakeholders as a vital tool for bolstering software security 2. By providing a clear and comprehensive understanding of the software components and their relationships, SBOMs enable organizations to proactively identify and manage risks associated with the software they develop and deploy.</w:t>
      </w:r>
    </w:p>
    <w:p w:rsidR="00000000" w:rsidDel="00000000" w:rsidP="00000000" w:rsidRDefault="00000000" w:rsidRPr="00000000" w14:paraId="00000008">
      <w:pPr>
        <w:pStyle w:val="Heading2"/>
        <w:numPr>
          <w:ilvl w:val="0"/>
          <w:numId w:val="14"/>
        </w:numPr>
        <w:ind w:left="720" w:hanging="360"/>
      </w:pPr>
      <w:bookmarkStart w:colFirst="0" w:colLast="0" w:name="_y52z2jijv41j" w:id="1"/>
      <w:bookmarkEnd w:id="1"/>
      <w:r w:rsidDel="00000000" w:rsidR="00000000" w:rsidRPr="00000000">
        <w:rPr>
          <w:b w:val="1"/>
          <w:rtl w:val="0"/>
        </w:rPr>
        <w:t xml:space="preserve">The Synergistic Relationship: HBOM and SBOM for Holistic System Visibility:</w:t>
      </w:r>
      <w:r w:rsidDel="00000000" w:rsidR="00000000" w:rsidRPr="00000000">
        <w:rPr>
          <w:rtl w:val="0"/>
        </w:rPr>
        <w:t xml:space="preserve"> While the Hardware Bill of Materials (HBOM) primarily concentrates on the tangible, physical aspects of a system, and the Software Bill of Materials (SBOM) focuses on its intangible, logical elements, both are indispensable for achieving a complete and thorough understanding of a system's overall composition and its potential security weaknesses 1. By strategically utilizing HBOMs in conjunction with SBOMs, organizations can gain a multi-layered perspective on their systems 1. This comprehensive view enables the identification of risks that might otherwise be overlooked if the focus were solely on either hardware or software. For instance, an SBOM might pinpoint a vulnerable software component, while the corresponding HBOM could reveal that the underlying hardware platform itself is also susceptible to specific types of attacks or has reached a stage in its lifecycle where security updates are no longer available 1. The combined insights derived from both HBOMs and SBOMs are fundamental for implementing effective Cyber Supply Chain Risk Management (C-SCRM) strategies 1. This integrated approach allows for a more thorough assessment and mitigation of risks that span the entire technology stack, from the physical infrastructure to the applications running on it. A truly robust security and asset management strategy necessitates this integrated perspective 1. Treating HBOMs and SBOMs as isolated entities limits the overall visibility into a system's vulnerabilities and hinders the ability to effectively address risks that can manifest across both hardware and software domains.</w:t>
      </w:r>
    </w:p>
    <w:p w:rsidR="00000000" w:rsidDel="00000000" w:rsidP="00000000" w:rsidRDefault="00000000" w:rsidRPr="00000000" w14:paraId="00000009">
      <w:pPr>
        <w:numPr>
          <w:ilvl w:val="0"/>
          <w:numId w:val="3"/>
        </w:numPr>
        <w:spacing w:after="0" w:afterAutospacing="0"/>
        <w:ind w:left="720" w:hanging="360"/>
      </w:pPr>
      <w:r w:rsidDel="00000000" w:rsidR="00000000" w:rsidRPr="00000000">
        <w:rPr>
          <w:b w:val="1"/>
          <w:rtl w:val="0"/>
        </w:rPr>
        <w:t xml:space="preserve">Technical Standards and Data Formats for HBOM and SBOM:</w:t>
      </w:r>
      <w:r w:rsidDel="00000000" w:rsidR="00000000" w:rsidRPr="00000000">
        <w:rPr>
          <w:rtl w:val="0"/>
        </w:rPr>
      </w:r>
    </w:p>
    <w:p w:rsidR="00000000" w:rsidDel="00000000" w:rsidP="00000000" w:rsidRDefault="00000000" w:rsidRPr="00000000" w14:paraId="0000000A">
      <w:pPr>
        <w:pStyle w:val="Heading2"/>
        <w:numPr>
          <w:ilvl w:val="0"/>
          <w:numId w:val="1"/>
        </w:numPr>
        <w:spacing w:after="0" w:afterAutospacing="0" w:before="0" w:beforeAutospacing="0"/>
        <w:ind w:left="720" w:hanging="360"/>
      </w:pPr>
      <w:bookmarkStart w:colFirst="0" w:colLast="0" w:name="_9c97z5rigtou" w:id="2"/>
      <w:bookmarkEnd w:id="2"/>
      <w:r w:rsidDel="00000000" w:rsidR="00000000" w:rsidRPr="00000000">
        <w:rPr>
          <w:b w:val="1"/>
          <w:rtl w:val="0"/>
        </w:rPr>
        <w:t xml:space="preserve">HBOM Standards and Frameworks: Structuring Hardware Information:</w:t>
      </w:r>
      <w:r w:rsidDel="00000000" w:rsidR="00000000" w:rsidRPr="00000000">
        <w:rPr>
          <w:rtl w:val="0"/>
        </w:rPr>
        <w:t xml:space="preserve"> The Cybersecurity and Infrastructure Security Agency (CISA) has developed a foundational Hardware Bill of Materials (HBOM) Framework specifically designed for Supply Chain Risk Management 5. This framework provides a consistent methodology for naming the attributes of hardware components and establishes formats for clearly identifying different types of components. The overarching aim of this initiative is to ensure uniformity and repeatability in the application of HBOMs across the Information and Communications Technology (ICT) sector 1. Recognizing the diverse needs of organizations, the framework is intentionally designed to be flexible, allowing both purchasers and vendors to adapt HBOMs to their specific circumstances and intended use cases. These use cases can include assessments for compliance with regulations, evaluations of security risks, and analyses of component availability 13. A key aspect of the HBOM framework is its provision of guidance on the specific types of information that are most relevant for different use cases. This helps organizations to focus their efforts on capturing and analyzing the data that will provide the most valuable insights for their particular risk management objectives 1. The development of the CISA HBOM framework signifies a crucial step towards bringing standardization to the way hardware component information is documented and exchanged within the industry. This move towards standardization is essential for promoting interoperability between different organizations and for facilitating the development of automated tools capable of analyzing HBOM data efficiently.</w:t>
      </w:r>
    </w:p>
    <w:p w:rsidR="00000000" w:rsidDel="00000000" w:rsidP="00000000" w:rsidRDefault="00000000" w:rsidRPr="00000000" w14:paraId="0000000B">
      <w:pPr>
        <w:pStyle w:val="Heading2"/>
        <w:numPr>
          <w:ilvl w:val="0"/>
          <w:numId w:val="1"/>
        </w:numPr>
        <w:spacing w:after="0" w:afterAutospacing="0" w:before="0" w:beforeAutospacing="0"/>
        <w:ind w:left="720" w:hanging="360"/>
      </w:pPr>
      <w:bookmarkStart w:colFirst="0" w:colLast="0" w:name="_trbuhvpvpli" w:id="3"/>
      <w:bookmarkEnd w:id="3"/>
      <w:r w:rsidDel="00000000" w:rsidR="00000000" w:rsidRPr="00000000">
        <w:rPr>
          <w:b w:val="1"/>
          <w:rtl w:val="0"/>
        </w:rPr>
        <w:t xml:space="preserve">SBOM Standards and Formats: Defining Software Transparency:</w:t>
      </w:r>
      <w:r w:rsidDel="00000000" w:rsidR="00000000" w:rsidRPr="00000000">
        <w:rPr>
          <w:rtl w:val="0"/>
        </w:rPr>
        <w:t xml:space="preserve"> Within the realm of Software Bill of Materials (SBOMs), several well-established standards have emerged to provide structure and consistency. Among these, the Software Package Data Exchange (SPDX) and CycloneDX are the most widely adopted within the industry 1. SPDX, which operates as an open standard under the stewardship of the Linux Foundation, has also achieved recognition as an international standard through the International Organization for Standardization (ISO), specifically as ISO/IEC 5962:2021 18. This ISO accreditation underscores its global acceptance and applicability for communicating detailed information about software components, their associated licenses, and relevant security details. SPDX supports a wide array of data formats, including JavaScript Object Notation (JSON), YAML, Resource Description Framework (RDF/XML), Tag-Value, and even spreadsheets, offering flexibility in how this information can be represented and exchanged 18. CycloneDX, on the other hand, is a project of the Open Worldwide Application Security Project (OWASP) and has also been standardized by Ecma International as ECMA-424 17. This standard is designed with a strong focus on security and provides specifications not only for SBOMs but also for HBOMs and other types of Bills of Materials. CycloneDX is considered a lightweight standard and supports multiple data formats such as XML, JSON, and Protocol Buffers. It also integrates seamlessly with other important specifications like Package URL (PURL) and Common Platform Enumeration (CPE), enhancing its utility for identifying and referencing software components 17. Additionally, Software Identification (SWID) Tags, a standard defined by the National Institute of Standards and Technology (NIST), provide another recognized method for identifying and managing software components within a system 18.</w:t>
      </w:r>
    </w:p>
    <w:p w:rsidR="00000000" w:rsidDel="00000000" w:rsidP="00000000" w:rsidRDefault="00000000" w:rsidRPr="00000000" w14:paraId="0000000C">
      <w:pPr>
        <w:pStyle w:val="Heading2"/>
        <w:numPr>
          <w:ilvl w:val="0"/>
          <w:numId w:val="1"/>
        </w:numPr>
        <w:spacing w:after="0" w:afterAutospacing="0" w:before="0" w:beforeAutospacing="0"/>
        <w:ind w:left="720" w:hanging="360"/>
      </w:pPr>
      <w:bookmarkStart w:colFirst="0" w:colLast="0" w:name="_fzws78cu8s91" w:id="4"/>
      <w:bookmarkEnd w:id="4"/>
      <w:r w:rsidDel="00000000" w:rsidR="00000000" w:rsidRPr="00000000">
        <w:rPr>
          <w:b w:val="1"/>
          <w:rtl w:val="0"/>
        </w:rPr>
        <w:t xml:space="preserve">Essential Data Fields: Capturing Critical Information:</w:t>
      </w:r>
      <w:r w:rsidDel="00000000" w:rsidR="00000000" w:rsidRPr="00000000">
        <w:rPr>
          <w:rtl w:val="0"/>
        </w:rPr>
        <w:t xml:space="preserve"> To ensure that Software Bill of Materials (SBOMs) are effective for tracking software components across the supply chain, the National Telecommunications and Information Administration (NTIA) has established a minimum set of data fields that should be included 18. These fundamental elements are: the name of the supplier of the component, the designated name of the component itself, the specific version of the component, any other unique identifiers that can help distinguish it, the relationship it has with other components, the entity that authored the SBOM data, and the timestamp indicating when the SBOM was assembled. While these minimum fields provide a crucial baseline, incorporating recommended data fields can significantly enhance the value of an SBOM, particularly for advanced use cases like vulnerability management and license compliance. Examples of these recommended fields include the cryptographic hash of the software component (which can be used to verify its integrity), detailed license information, and data about the software lifecycle phase of the component 25. For Hardware Bill of Materials (HBOMs), the Defense Logistics Agency (DLA) has specified a Data Item Description (DID) that outlines the required data. This includes minimum fields such as the manufacturer of the component, the manufacturer's part number, the quantity of the component, its function within the product, and a reference designator used for identification on schematics and circuit boards 4. In addition to these minimum requirements, the DLA also recommends including a broader set of data fields in an HBOM to provide more comprehensive information. These recommended fields encompass details like the manufacturer's Cage Code, the physical location of the component on the board, its component type (e.g., surface mount, through-hole), a descriptive text about the component, its serial number (if available), the Mean Time Between Failure (MTBF), the lead time for procurement, and its lifecycle status (e.g., active, obsolete) 4. Defining and consistently including a robust set of data fields, encompassing both the minimum and recommended elements for both SBOMs and HBOMs, is paramount for ensuring the quality and overall utility of these bills of materials 4. Organizations should carefully consider their specific risk management needs and the intended use cases for their HBOMs and SBOMs when deciding on the appropriate level of detail to include.</w:t>
      </w:r>
    </w:p>
    <w:p w:rsidR="00000000" w:rsidDel="00000000" w:rsidP="00000000" w:rsidRDefault="00000000" w:rsidRPr="00000000" w14:paraId="0000000D">
      <w:pPr>
        <w:numPr>
          <w:ilvl w:val="0"/>
          <w:numId w:val="15"/>
        </w:numPr>
        <w:spacing w:after="0" w:afterAutospacing="0"/>
        <w:ind w:left="720" w:hanging="360"/>
      </w:pPr>
      <w:r w:rsidDel="00000000" w:rsidR="00000000" w:rsidRPr="00000000">
        <w:rPr>
          <w:b w:val="1"/>
          <w:rtl w:val="0"/>
        </w:rPr>
        <w:t xml:space="preserve">Integrating HBOM and SBOM into a Hierarchical Asset Management Framework:</w:t>
      </w:r>
      <w:r w:rsidDel="00000000" w:rsidR="00000000" w:rsidRPr="00000000">
        <w:rPr>
          <w:rtl w:val="0"/>
        </w:rPr>
      </w:r>
    </w:p>
    <w:p w:rsidR="00000000" w:rsidDel="00000000" w:rsidP="00000000" w:rsidRDefault="00000000" w:rsidRPr="00000000" w14:paraId="0000000E">
      <w:pPr>
        <w:pStyle w:val="Heading2"/>
        <w:numPr>
          <w:ilvl w:val="0"/>
          <w:numId w:val="13"/>
        </w:numPr>
        <w:spacing w:after="0" w:afterAutospacing="0" w:before="0" w:beforeAutospacing="0"/>
        <w:ind w:left="720" w:hanging="360"/>
      </w:pPr>
      <w:bookmarkStart w:colFirst="0" w:colLast="0" w:name="_xpkuxs5s3pgd" w:id="5"/>
      <w:bookmarkEnd w:id="5"/>
      <w:r w:rsidDel="00000000" w:rsidR="00000000" w:rsidRPr="00000000">
        <w:rPr>
          <w:b w:val="1"/>
          <w:rtl w:val="0"/>
        </w:rPr>
        <w:t xml:space="preserve">Representing System Hierarchy in BOM Data:</w:t>
      </w:r>
      <w:r w:rsidDel="00000000" w:rsidR="00000000" w:rsidRPr="00000000">
        <w:rPr>
          <w:rtl w:val="0"/>
        </w:rPr>
        <w:t xml:space="preserve"> A fundamental advantage of utilizing Bills of Materials (BOMs) is their inherent ability to represent the hierarchical structure inherent in complex systems 3. By their very nature, BOMs are designed to break down a finished product into its various levels of assembly, starting from the top-level product and descending into sub-assemblies, individual parts, and even raw materials. This multi-level perspective provides a clear and organized view of the system's architecture. In the context of hardware, Hardware Bills of Materials (HBOMs) naturally lend themselves to depicting the physical hierarchy of a product 4. They can illustrate how individual components are assembled into sub-systems, which are then integrated into larger assemblies, ultimately forming the final hardware product. This hierarchical representation is crucial for understanding the physical dependencies and relationships between different hardware elements. Similarly, Software Bills of Materials (SBOMs) can also effectively represent the hierarchical nature of software systems 9. Software applications are often composed of numerous components, libraries, and modules that depend on one another in a nested fashion. An SBOM can capture these intricate dependencies, illustrating how different software elements are interconnected and rely on underlying components to function correctly. This hierarchical view is essential for comprehending the software's architecture and identifying potential cascading effects of vulnerabilities or updates. The inherent support for hierarchical structures within both HBOMs and SBOMs makes them ideally suited for managing assets within complex, multi-layered systems. This capability allows for a detailed breakdown and management of assets at various levels of granularity, providing a comprehensive understanding of the system's composition.</w:t>
      </w:r>
    </w:p>
    <w:p w:rsidR="00000000" w:rsidDel="00000000" w:rsidP="00000000" w:rsidRDefault="00000000" w:rsidRPr="00000000" w14:paraId="0000000F">
      <w:pPr>
        <w:pStyle w:val="Heading2"/>
        <w:numPr>
          <w:ilvl w:val="0"/>
          <w:numId w:val="13"/>
        </w:numPr>
        <w:spacing w:after="0" w:afterAutospacing="0" w:before="0" w:beforeAutospacing="0"/>
        <w:ind w:left="720" w:hanging="360"/>
      </w:pPr>
      <w:bookmarkStart w:colFirst="0" w:colLast="0" w:name="_4qd36wtgy5wt" w:id="6"/>
      <w:bookmarkEnd w:id="6"/>
      <w:r w:rsidDel="00000000" w:rsidR="00000000" w:rsidRPr="00000000">
        <w:rPr>
          <w:b w:val="1"/>
          <w:rtl w:val="0"/>
        </w:rPr>
        <w:t xml:space="preserve">Linking Components Across Different Levels:</w:t>
      </w:r>
      <w:r w:rsidDel="00000000" w:rsidR="00000000" w:rsidRPr="00000000">
        <w:rPr>
          <w:rtl w:val="0"/>
        </w:rPr>
        <w:t xml:space="preserve"> To effectively manage assets within a hierarchical framework, establishing clear and unambiguous linkages between components situated at different levels of the system's architecture is paramount 10. Furthermore, it is equally important to create connections between Hardware Bills of Materials (HBOMs) and Software Bills of Materials (SBOMs) when software components are running on specific hardware. Unique identifiers serve as the cornerstone of this linking process. By assigning a distinct identifier to each hardware and software component, organizations can create a network of relationships that reflects the system's hierarchical structure. For instance, a particular hardware component listed in an HBOM, such as a processor, might have specific firmware or operating system software running on it. The SBOM for this firmware or operating system could then include a reference back to the processor's unique identifier in the HBOM, thereby establishing a clear link between the hardware and the software it hosts. CycloneDX offers a specialized feature called BOM-Link, which is specifically designed to facilitate these kinds of cross-BOM references 33. BOM-Link enables organizations to link components, services, or even vulnerabilities that are documented in one BOM to related information residing in other BOMs. This capability is invaluable for achieving seamless traceability and maintaining a modular approach to managing complex systems. Additionally, CycloneDX's support for external references provides another powerful mechanism for linking BOM objects to resources that exist outside the BOM itself, including other BOM documents. This allows for the creation of a more interconnected and comprehensive view of all the assets within a system.</w:t>
      </w:r>
    </w:p>
    <w:p w:rsidR="00000000" w:rsidDel="00000000" w:rsidP="00000000" w:rsidRDefault="00000000" w:rsidRPr="00000000" w14:paraId="00000010">
      <w:pPr>
        <w:numPr>
          <w:ilvl w:val="0"/>
          <w:numId w:val="13"/>
        </w:numPr>
        <w:ind w:left="720" w:hanging="360"/>
      </w:pPr>
      <w:r w:rsidDel="00000000" w:rsidR="00000000" w:rsidRPr="00000000">
        <w:rPr>
          <w:b w:val="1"/>
          <w:rtl w:val="0"/>
        </w:rPr>
        <w:t xml:space="preserve">Asset Identification and Tagging for Hierarchical Context:</w:t>
      </w:r>
      <w:r w:rsidDel="00000000" w:rsidR="00000000" w:rsidRPr="00000000">
        <w:rPr>
          <w:rtl w:val="0"/>
        </w:rPr>
        <w:t xml:space="preserve"> For effective asset management within a hierarchical framework, a well-defined and consistently applied strategy for asset identification and tagging is indispensable 35. Each individual hardware and software asset, regardless of its position within the system's hierarchy, should be assigned a unique identifier. These identifiers, which can take various forms such as asset tags, serial numbers, or other unique naming conventions, must be meticulously recorded and systematically linked to the corresponding Hardware Bill of Materials (HBOM) and Software Bill of Materials (SBOM) data. This crucial linkage can be effectively maintained within a centralized asset management database or system. By establishing this connection, users gain the ability to effortlessly navigate from a specific asset, at any level of the hierarchy, to the detailed information about its composition as described within the relevant BOMs. Furthermore, the metadata associated with each asset record within the asset management system can be enhanced to include direct pointers or links to the specific HBOM and SBOM files that pertain to that asset 40. This approach creates a centralized point of access for all pertinent information related to a particular asset, providing a holistic view of its hardware and software components.</w:t>
      </w:r>
    </w:p>
    <w:p w:rsidR="00000000" w:rsidDel="00000000" w:rsidP="00000000" w:rsidRDefault="00000000" w:rsidRPr="00000000" w14:paraId="00000011">
      <w:pPr>
        <w:numPr>
          <w:ilvl w:val="0"/>
          <w:numId w:val="10"/>
        </w:numPr>
        <w:ind w:left="720" w:hanging="360"/>
      </w:pPr>
      <w:r w:rsidDel="00000000" w:rsidR="00000000" w:rsidRPr="00000000">
        <w:rPr>
          <w:b w:val="1"/>
          <w:rtl w:val="0"/>
        </w:rPr>
        <w:t xml:space="preserve">Enhancing Cybersecurity with HBOM and SBOM:</w:t>
      </w:r>
      <w:r w:rsidDel="00000000" w:rsidR="00000000" w:rsidRPr="00000000">
        <w:rPr>
          <w:rtl w:val="0"/>
        </w:rPr>
      </w:r>
    </w:p>
    <w:p w:rsidR="00000000" w:rsidDel="00000000" w:rsidP="00000000" w:rsidRDefault="00000000" w:rsidRPr="00000000" w14:paraId="000000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720" w:right="0" w:firstLine="0"/>
        <w:jc w:val="left"/>
        <w:rPr/>
      </w:pPr>
      <w:r w:rsidDel="00000000" w:rsidR="00000000" w:rsidRPr="00000000">
        <w:rPr>
          <w:rtl w:val="0"/>
        </w:rPr>
      </w:r>
    </w:p>
    <w:p w:rsidR="00000000" w:rsidDel="00000000" w:rsidP="00000000" w:rsidRDefault="00000000" w:rsidRPr="00000000" w14:paraId="00000013">
      <w:pPr>
        <w:numPr>
          <w:ilvl w:val="0"/>
          <w:numId w:val="2"/>
        </w:numPr>
        <w:ind w:left="720" w:hanging="360"/>
      </w:pPr>
      <w:r w:rsidDel="00000000" w:rsidR="00000000" w:rsidRPr="00000000">
        <w:rPr>
          <w:b w:val="1"/>
          <w:rtl w:val="0"/>
        </w:rPr>
        <w:t xml:space="preserve">Proactive Vulnerability Identification and Analysis:</w:t>
      </w:r>
      <w:r w:rsidDel="00000000" w:rsidR="00000000" w:rsidRPr="00000000">
        <w:rPr>
          <w:rtl w:val="0"/>
        </w:rPr>
        <w:t xml:space="preserve"> A primary advantage of utilizing Hardware Bills of Materials (HBOMs) and Software Bills of Materials (SBOMs) lies in their ability to provide comprehensive inventories of system components, which in turn enables organizations to proactively identify potential security vulnerabilities 1. This proactive approach involves systematically comparing the detailed lists of hardware and software components, along with their specific versions, against publicly accessible databases that catalog known security vulnerabilities. Prominent examples of such databases include the National Vulnerability Database (NVD) and the Open Source Vulnerabilities (OSV) database 45. In the hardware domain, HBOMs can be instrumental in identifying components that are known to have security flaws, those that might be counterfeit and therefore unreliable or tampered with, or components that are nearing the end of their supported lifecycle and may no longer receive critical security updates 1. These insights allow organizations to take preemptive measures to mitigate potential risks associated with these hardware components. Similarly, for software assets, SBOMs provide security teams with the ability to quickly determine whether their applications are utilizing any software components that have publicly disclosed vulnerabilities 6. This knowledge is crucial for facilitating the timely application of security patches and the implementation of other necessary remediation efforts, thereby reducing the organization's exposure to potential cyberattacks.</w:t>
      </w:r>
    </w:p>
    <w:p w:rsidR="00000000" w:rsidDel="00000000" w:rsidP="00000000" w:rsidRDefault="00000000" w:rsidRPr="00000000" w14:paraId="00000014">
      <w:pPr>
        <w:pStyle w:val="Heading2"/>
        <w:numPr>
          <w:ilvl w:val="0"/>
          <w:numId w:val="2"/>
        </w:numPr>
        <w:ind w:left="720" w:hanging="360"/>
      </w:pPr>
      <w:bookmarkStart w:colFirst="0" w:colLast="0" w:name="_99e6iyvli5y5" w:id="7"/>
      <w:bookmarkEnd w:id="7"/>
      <w:r w:rsidDel="00000000" w:rsidR="00000000" w:rsidRPr="00000000">
        <w:rPr>
          <w:b w:val="1"/>
          <w:rtl w:val="0"/>
        </w:rPr>
        <w:t xml:space="preserve">Contextual Vulnerability Prioritization with VEX Integration:</w:t>
      </w:r>
      <w:r w:rsidDel="00000000" w:rsidR="00000000" w:rsidRPr="00000000">
        <w:rPr>
          <w:rtl w:val="0"/>
        </w:rPr>
        <w:t xml:space="preserve"> While the identification of vulnerabilities is a crucial first step, the sheer volume of potential security weaknesses often necessitates a method for prioritizing which vulnerabilities should be addressed first. Integrating Software Bills of Materials (SBOMs) with Vulnerability Exploitability eXchange (VEX) documents offers a powerful solution for providing the necessary context to effectively prioritize remediation efforts 9. VEX documents serve as an official attestation from a software or hardware vendor regarding whether a specific product or component is actually affected by a known vulnerability and, if it is, whether there are any recommended actions that users should take 9. By leveraging the information contained within VEX documents, organizations can avoid allocating valuable resources to address vulnerabilities that, while present in a component, are not actually exploitable within their specific environment or under their particular configuration 47. This allows security teams to focus their attention and remediation efforts on the vulnerabilities that pose the most significant and immediate risks to their systems. VEX data can be seamlessly integrated directly into SBOM files or distributed as separate, companion documents, providing a machine-readable format that enables vendors to efficiently communicate the exploitability status of vulnerabilities to their customers 51. This contextual information is invaluable for making informed decisions about vulnerability management and ensuring that remediation efforts are targeted and effective.</w:t>
      </w:r>
    </w:p>
    <w:p w:rsidR="00000000" w:rsidDel="00000000" w:rsidP="00000000" w:rsidRDefault="00000000" w:rsidRPr="00000000" w14:paraId="00000015">
      <w:pPr>
        <w:numPr>
          <w:ilvl w:val="0"/>
          <w:numId w:val="2"/>
        </w:numPr>
        <w:ind w:left="720" w:hanging="360"/>
      </w:pPr>
      <w:r w:rsidDel="00000000" w:rsidR="00000000" w:rsidRPr="00000000">
        <w:rPr>
          <w:b w:val="1"/>
          <w:rtl w:val="0"/>
        </w:rPr>
        <w:t xml:space="preserve">Reducing the Attack Surface through Component Visibility:</w:t>
      </w:r>
      <w:r w:rsidDel="00000000" w:rsidR="00000000" w:rsidRPr="00000000">
        <w:rPr>
          <w:rtl w:val="0"/>
        </w:rPr>
        <w:t xml:space="preserve"> The comprehensive visibility into system composition provided by both Hardware Bills of Materials (HBOMs) and Software Bills of Materials (SBOMs) empowers organizations to identify and potentially eliminate any unnecessary or redundant hardware and software components 54. This process of removing non-essential elements directly contributes to a reduction in the overall attack surface of their systems. In the software realm, SBOMs can reveal the presence of libraries or dependencies that are no longer actively used by the application but still remain within the codebase 8. These unused components can represent potential security risks if they contain vulnerabilities that are not being actively monitored or patched. Similarly, in the hardware domain, HBOMs might highlight physical components that are no longer required for the system's operation or are approaching their end-of-life and could therefore pose a security risk due to a lack of ongoing security support. By gaining a clear and detailed understanding of all the components that constitute a system, organizations are better equipped to streamline their configurations, remove any superfluous elements, and ultimately minimize the number of potential entry points that malicious actors could exploit to gain unauthorized access or cause harm. This principle of minimizing the attack surface is a fundamental tenet of secure system design and operation.</w:t>
      </w:r>
    </w:p>
    <w:p w:rsidR="00000000" w:rsidDel="00000000" w:rsidP="00000000" w:rsidRDefault="00000000" w:rsidRPr="00000000" w14:paraId="00000016">
      <w:pPr>
        <w:pStyle w:val="Heading2"/>
        <w:numPr>
          <w:ilvl w:val="0"/>
          <w:numId w:val="2"/>
        </w:numPr>
        <w:ind w:left="720" w:hanging="360"/>
      </w:pPr>
      <w:bookmarkStart w:colFirst="0" w:colLast="0" w:name="_jz8euodcj51h" w:id="8"/>
      <w:bookmarkEnd w:id="8"/>
      <w:r w:rsidDel="00000000" w:rsidR="00000000" w:rsidRPr="00000000">
        <w:rPr>
          <w:b w:val="1"/>
          <w:rtl w:val="0"/>
        </w:rPr>
        <w:t xml:space="preserve">Enhancing Security by Design:</w:t>
      </w:r>
      <w:r w:rsidDel="00000000" w:rsidR="00000000" w:rsidRPr="00000000">
        <w:rPr>
          <w:rtl w:val="0"/>
        </w:rPr>
        <w:t xml:space="preserve"> Integrating the considerations and insights derived from Hardware Bills of Materials (HBOMs) and Software Bills of Materials (SBOMs) early into the software and hardware development lifecycles (SDLC) is a crucial step towards fostering a robust security-by-design approach 5. This proactive methodology ensures that security implications related to the selection of specific components and the management of their dependencies are carefully evaluated right from the initial stages of system design and development. By considering the composition of both hardware and software from a security perspective early on, organizations can identify and mitigate potential vulnerabilities before they become deeply embedded within the final product. Furthermore, when integrating third-party software and hardware components into their systems, requiring SBOMs from these suppliers provides organizations with essential visibility into the security practices and the internal composition of these external elements 48. This transparency allows for a more informed assessment of the risks associated with these third-party components and enables organizations to make more secure decisions regarding their integration. Embracing HBOM and SBOM principles as an integral part of the development lifecycle promotes a proactive security mindset throughout the organization.</w:t>
      </w:r>
    </w:p>
    <w:p w:rsidR="00000000" w:rsidDel="00000000" w:rsidP="00000000" w:rsidRDefault="00000000" w:rsidRPr="00000000" w14:paraId="00000017">
      <w:pPr>
        <w:numPr>
          <w:ilvl w:val="0"/>
          <w:numId w:val="9"/>
        </w:numPr>
        <w:ind w:left="720" w:hanging="360"/>
      </w:pPr>
      <w:r w:rsidDel="00000000" w:rsidR="00000000" w:rsidRPr="00000000">
        <w:rPr>
          <w:b w:val="1"/>
          <w:rtl w:val="0"/>
        </w:rPr>
        <w:t xml:space="preserve">Improving Asset Management with HBOM and SBOM:</w:t>
      </w:r>
      <w:r w:rsidDel="00000000" w:rsidR="00000000" w:rsidRPr="00000000">
        <w:rPr>
          <w:rtl w:val="0"/>
        </w:rPr>
      </w:r>
    </w:p>
    <w:p w:rsidR="00000000" w:rsidDel="00000000" w:rsidP="00000000" w:rsidRDefault="00000000" w:rsidRPr="00000000" w14:paraId="00000018">
      <w:pPr>
        <w:numPr>
          <w:ilvl w:val="0"/>
          <w:numId w:val="8"/>
        </w:numPr>
        <w:ind w:left="720" w:hanging="360"/>
      </w:pPr>
      <w:r w:rsidDel="00000000" w:rsidR="00000000" w:rsidRPr="00000000">
        <w:rPr>
          <w:b w:val="1"/>
          <w:rtl w:val="0"/>
        </w:rPr>
        <w:t xml:space="preserve">Comprehensive and Granular Asset Inventory:</w:t>
      </w:r>
      <w:r w:rsidDel="00000000" w:rsidR="00000000" w:rsidRPr="00000000">
        <w:rPr>
          <w:rtl w:val="0"/>
        </w:rPr>
        <w:t xml:space="preserve"> Hardware Bills of Materials (HBOMs) offer an exceptionally detailed inventory of all the physical hardware components that constitute a product 3. This detailed enumeration allows for the precise tracking of hardware assets, extending down to the level of individual parts and sub-components. Such granularity is particularly valuable for accurate inventory management, especially within complex systems that comprise a multitude of interconnected hardware elements. Similarly, Software Bills of Materials (SBOMs) provide an equally granular inventory of all the software components that make up an application, including all its dependencies and their respective versions 3. This level of detail enables organizations to gain a complete and thorough understanding of their software landscape, which is fundamental for effective software asset management. By having these comprehensive and granular inventories for both hardware and software, organizations can achieve a much higher degree of accuracy and control over their asset portfolios. This detailed visibility allows for better resource allocation, improved maintenance planning, and a more informed approach to managing the lifecycle of all system components.</w:t>
      </w:r>
    </w:p>
    <w:p w:rsidR="00000000" w:rsidDel="00000000" w:rsidP="00000000" w:rsidRDefault="00000000" w:rsidRPr="00000000" w14:paraId="00000019">
      <w:pPr>
        <w:numPr>
          <w:ilvl w:val="0"/>
          <w:numId w:val="8"/>
        </w:numPr>
        <w:spacing w:after="0" w:afterAutospacing="0"/>
        <w:ind w:left="720" w:hanging="360"/>
      </w:pPr>
      <w:r w:rsidDel="00000000" w:rsidR="00000000" w:rsidRPr="00000000">
        <w:rPr>
          <w:b w:val="1"/>
          <w:rtl w:val="0"/>
        </w:rPr>
        <w:t xml:space="preserve">Tracking Asset Provenance and Configuration:</w:t>
      </w:r>
      <w:r w:rsidDel="00000000" w:rsidR="00000000" w:rsidRPr="00000000">
        <w:rPr>
          <w:rtl w:val="0"/>
        </w:rPr>
        <w:t xml:space="preserve"> Hardware Bills of Materials (HBOMs) have the capability to include critical information regarding the provenance of hardware components 1. This includes details about the manufacturer of each component, its country of origin, and potentially other relevant sourcing information. Tracking this provenance is of paramount importance for effective supply chain risk management, as it allows organizations to assess the trustworthiness of their suppliers and ensure compliance with any regulations related to the origin of components. In the software domain, Software Bills of Materials (SBOMs) serve a similar purpose by tracking the source of software components and their specific versions 6. This information provides valuable insights into the software supply chain, enabling organizations to identify and manage potential risks associated with specific software vendors or the use of outdated software versions. Furthermore, both HBOMs and SBOMs contribute significantly to a deeper understanding of the overall configuration of systems 12. By meticulously detailing the specific hardware and software components that are integrated into a product or system, these bills of materials provide a clear and comprehensive picture of its constituent parts and how they are assembled or deployed. This detailed understanding of both provenance and configuration is essential for maintaining the integrity and security of systems.</w:t>
      </w:r>
    </w:p>
    <w:p w:rsidR="00000000" w:rsidDel="00000000" w:rsidP="00000000" w:rsidRDefault="00000000" w:rsidRPr="00000000" w14:paraId="0000001A">
      <w:pPr>
        <w:pStyle w:val="Heading2"/>
        <w:numPr>
          <w:ilvl w:val="0"/>
          <w:numId w:val="8"/>
        </w:numPr>
        <w:spacing w:after="0" w:afterAutospacing="0" w:before="0" w:beforeAutospacing="0"/>
        <w:ind w:left="720" w:hanging="360"/>
      </w:pPr>
      <w:bookmarkStart w:colFirst="0" w:colLast="0" w:name="_ez9goin0wp0v" w:id="9"/>
      <w:bookmarkEnd w:id="9"/>
      <w:r w:rsidDel="00000000" w:rsidR="00000000" w:rsidRPr="00000000">
        <w:rPr>
          <w:b w:val="1"/>
          <w:rtl w:val="0"/>
        </w:rPr>
        <w:t xml:space="preserve">Supporting Asset Lifecycle Management:</w:t>
      </w:r>
      <w:r w:rsidDel="00000000" w:rsidR="00000000" w:rsidRPr="00000000">
        <w:rPr>
          <w:rtl w:val="0"/>
        </w:rPr>
        <w:t xml:space="preserve"> Hardware Bills of Materials (HBOMs) can be enriched with information about the lifecycle status of the hardware components they list 4. This includes details such as whether a component is currently in active production, nearing its end-of-life, or already considered obsolete. This type of information is invaluable for organizations as it allows them to proactively plan for future hardware replacements and upgrades, ensuring business continuity and minimizing the risk of relying on unsupported or difficult-to-procure components. Similarly, Software Bills of Materials (SBOMs) play a crucial role in supporting the lifecycle management of software assets 8. By meticulously tracking the versions of all software components within an application, SBOMs make it significantly easier to identify instances of outdated software. This is particularly important from a security perspective, as outdated software is often no longer supported with critical security patches, making it a potential target for cyberattacks. The insights provided by SBOMs enable organizations to proactively plan for software updates and migrations, ensuring that their software assets remain secure and stable throughout their operational lifespan. The lifecycle information contained within both HBOMs and SBOMs provides a solid foundation for making informed decisions about the maintenance, upgrade, and eventual retirement of all system assets.</w:t>
      </w:r>
    </w:p>
    <w:p w:rsidR="00000000" w:rsidDel="00000000" w:rsidP="00000000" w:rsidRDefault="00000000" w:rsidRPr="00000000" w14:paraId="0000001B">
      <w:pPr>
        <w:numPr>
          <w:ilvl w:val="0"/>
          <w:numId w:val="12"/>
        </w:numPr>
        <w:ind w:left="720" w:hanging="360"/>
      </w:pPr>
      <w:r w:rsidDel="00000000" w:rsidR="00000000" w:rsidRPr="00000000">
        <w:rPr>
          <w:b w:val="1"/>
          <w:rtl w:val="0"/>
        </w:rPr>
        <w:t xml:space="preserve">Automation and Lifecycle Management of HBOM and SBOM:</w:t>
      </w:r>
      <w:r w:rsidDel="00000000" w:rsidR="00000000" w:rsidRPr="00000000">
        <w:rPr>
          <w:rtl w:val="0"/>
        </w:rPr>
      </w:r>
    </w:p>
    <w:p w:rsidR="00000000" w:rsidDel="00000000" w:rsidP="00000000" w:rsidRDefault="00000000" w:rsidRPr="00000000" w14:paraId="000000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720" w:right="0" w:firstLine="0"/>
        <w:jc w:val="left"/>
        <w:rPr/>
      </w:pPr>
      <w:r w:rsidDel="00000000" w:rsidR="00000000" w:rsidRPr="00000000">
        <w:rPr>
          <w:rtl w:val="0"/>
        </w:rPr>
      </w:r>
    </w:p>
    <w:p w:rsidR="00000000" w:rsidDel="00000000" w:rsidP="00000000" w:rsidRDefault="00000000" w:rsidRPr="00000000" w14:paraId="0000001D">
      <w:pPr>
        <w:numPr>
          <w:ilvl w:val="0"/>
          <w:numId w:val="5"/>
        </w:numPr>
        <w:ind w:left="720" w:hanging="360"/>
      </w:pPr>
      <w:r w:rsidDel="00000000" w:rsidR="00000000" w:rsidRPr="00000000">
        <w:rPr>
          <w:b w:val="1"/>
          <w:rtl w:val="0"/>
        </w:rPr>
        <w:t xml:space="preserve">Automating HBOM and SBOM Generation:</w:t>
      </w:r>
      <w:r w:rsidDel="00000000" w:rsidR="00000000" w:rsidRPr="00000000">
        <w:rPr>
          <w:rtl w:val="0"/>
        </w:rPr>
        <w:t xml:space="preserve"> In today's fast-paced technological landscape, automating the generation of both Hardware Bills of Materials (HBOMs) and Software Bills of Materials (SBOMs) is not just a matter of convenience but a necessity for achieving scalability, maintaining accuracy, and ensuring that these inventories remain current, especially within complex and frequently evolving systems 11. For SBOMs, a highly effective approach is to integrate their generation directly into the Continuous Integration/Continuous Delivery (CI/CD) pipelines 11. This automation ensures that an SBOM is automatically created whenever changes are made to the software code or when new builds are produced. A variety of tools and plugins are available to facilitate this integration, with support for prominent SBOM standards like SPDX and CycloneDX 48. These tools can analyze the software build process and automatically identify and list all the constituent components and their dependencies. While the generation of HBOMs has historically been less automated, often relying on manual data extraction or exports from hardware design and management software 76, there is a growing recognition of the need for greater automation in this area as well. Efforts are underway to develop more automated solutions for HBOM generation to keep pace with the advancements in SBOM automation.</w:t>
      </w:r>
    </w:p>
    <w:p w:rsidR="00000000" w:rsidDel="00000000" w:rsidP="00000000" w:rsidRDefault="00000000" w:rsidRPr="00000000" w14:paraId="000000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720" w:right="0" w:firstLine="0"/>
        <w:jc w:val="left"/>
        <w:rPr/>
      </w:pPr>
      <w:r w:rsidDel="00000000" w:rsidR="00000000" w:rsidRPr="00000000">
        <w:rPr>
          <w:rtl w:val="0"/>
        </w:rPr>
      </w:r>
    </w:p>
    <w:p w:rsidR="00000000" w:rsidDel="00000000" w:rsidP="00000000" w:rsidRDefault="00000000" w:rsidRPr="00000000" w14:paraId="0000001F">
      <w:pPr>
        <w:numPr>
          <w:ilvl w:val="0"/>
          <w:numId w:val="5"/>
        </w:numPr>
        <w:ind w:left="720" w:hanging="360"/>
      </w:pPr>
      <w:r w:rsidDel="00000000" w:rsidR="00000000" w:rsidRPr="00000000">
        <w:rPr>
          <w:b w:val="1"/>
          <w:rtl w:val="0"/>
        </w:rPr>
        <w:t xml:space="preserve">Continuous Monitoring and Updating:</w:t>
      </w:r>
      <w:r w:rsidDel="00000000" w:rsidR="00000000" w:rsidRPr="00000000">
        <w:rPr>
          <w:rtl w:val="0"/>
        </w:rPr>
        <w:t xml:space="preserve"> To maintain their effectiveness as crucial tools for both cybersecurity and asset management, Hardware Bills of Materials (HBOMs) and Software Bills of Materials (SBOMs) should not be treated as static documents. Instead, they require continuous monitoring and regular updates to accurately reflect any changes that occur in the system's hardware or software components 10. Furthermore, to proactively address potential security threats, it is essential to integrate these bills of materials with external resources such as vulnerability databases and threat intelligence feeds 45. This integration allows for the automated identification of any newly disclosed vulnerabilities that might affect the components listed within the HBOMs and SBOMs. Establishing robust processes for continuous monitoring and updating ensures that these inventories remain accurate and relevant, providing organizations with the timely information they need to make informed decisions about security and asset management. This proactive approach is crucial for mitigating risks and maintaining the overall health and security of the system throughout its lifecycle.</w:t>
      </w:r>
    </w:p>
    <w:p w:rsidR="00000000" w:rsidDel="00000000" w:rsidP="00000000" w:rsidRDefault="00000000" w:rsidRPr="00000000" w14:paraId="00000020">
      <w:pPr>
        <w:pStyle w:val="Heading2"/>
        <w:numPr>
          <w:ilvl w:val="0"/>
          <w:numId w:val="5"/>
        </w:numPr>
        <w:ind w:left="720" w:hanging="360"/>
      </w:pPr>
      <w:bookmarkStart w:colFirst="0" w:colLast="0" w:name="_crz9w5q1kxem" w:id="10"/>
      <w:bookmarkEnd w:id="10"/>
      <w:r w:rsidDel="00000000" w:rsidR="00000000" w:rsidRPr="00000000">
        <w:rPr>
          <w:b w:val="1"/>
          <w:rtl w:val="0"/>
        </w:rPr>
        <w:t xml:space="preserve">Secure Storage and Interoperable Exchange:</w:t>
      </w:r>
      <w:r w:rsidDel="00000000" w:rsidR="00000000" w:rsidRPr="00000000">
        <w:rPr>
          <w:rtl w:val="0"/>
        </w:rPr>
        <w:t xml:space="preserve"> Given the sensitive nature of the information they contain, Hardware Bills of Materials (HBOMs) and Software Bills of Materials (SBOMs) must be stored securely within a centralized repository 9. Implementing appropriate access controls is vital to protect this data from unauthorized access or modification. Furthermore, to maximize the utility and value of HBOMs and SBOMs, it is crucial to ensure that they can be easily exchanged and understood by different tools, organizations, and stakeholders. Adhering to established and widely adopted standard formats, such as SPDX and CycloneDX, is key to achieving this interoperability 1. These standard formats provide a common language for describing system components and their attributes, facilitating seamless data exchange. Additionally, many tools and platforms that work with HBOMs and SBOMs offer Application Programming Interfaces (APIs) 9. These APIs enable programmatic access to the BOM data, allowing for its integration with other security and asset management systems. This capability for secure storage and interoperable exchange is essential for fostering effective collaboration, enabling automated analysis, and ultimately maximizing the benefits of using HBOMs and SBOMs throughout the entire system lifecycle.</w:t>
      </w:r>
    </w:p>
    <w:p w:rsidR="00000000" w:rsidDel="00000000" w:rsidP="00000000" w:rsidRDefault="00000000" w:rsidRPr="00000000" w14:paraId="00000021">
      <w:pPr>
        <w:numPr>
          <w:ilvl w:val="0"/>
          <w:numId w:val="4"/>
        </w:numPr>
        <w:ind w:left="720" w:hanging="360"/>
      </w:pPr>
      <w:r w:rsidDel="00000000" w:rsidR="00000000" w:rsidRPr="00000000">
        <w:rPr>
          <w:b w:val="1"/>
          <w:rtl w:val="0"/>
        </w:rPr>
        <w:t xml:space="preserve">Predictive Risk Analysis and Future Trends:</w:t>
      </w:r>
      <w:r w:rsidDel="00000000" w:rsidR="00000000" w:rsidRPr="00000000">
        <w:rPr>
          <w:rtl w:val="0"/>
        </w:rPr>
      </w:r>
    </w:p>
    <w:p w:rsidR="00000000" w:rsidDel="00000000" w:rsidP="00000000" w:rsidRDefault="00000000" w:rsidRPr="00000000" w14:paraId="000000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720" w:right="0" w:firstLine="0"/>
        <w:jc w:val="left"/>
        <w:rPr/>
      </w:pPr>
      <w:r w:rsidDel="00000000" w:rsidR="00000000" w:rsidRPr="00000000">
        <w:rPr>
          <w:rtl w:val="0"/>
        </w:rPr>
      </w:r>
    </w:p>
    <w:p w:rsidR="00000000" w:rsidDel="00000000" w:rsidP="00000000" w:rsidRDefault="00000000" w:rsidRPr="00000000" w14:paraId="00000023">
      <w:pPr>
        <w:numPr>
          <w:ilvl w:val="0"/>
          <w:numId w:val="11"/>
        </w:numPr>
        <w:ind w:left="720" w:hanging="360"/>
      </w:pPr>
      <w:r w:rsidDel="00000000" w:rsidR="00000000" w:rsidRPr="00000000">
        <w:rPr>
          <w:b w:val="1"/>
          <w:rtl w:val="0"/>
        </w:rPr>
        <w:t xml:space="preserve">Leveraging HBOM and SBOM for Predictive Insights:</w:t>
      </w:r>
      <w:r w:rsidDel="00000000" w:rsidR="00000000" w:rsidRPr="00000000">
        <w:rPr>
          <w:rtl w:val="0"/>
        </w:rPr>
        <w:t xml:space="preserve"> Beyond their immediate utility in identifying current vulnerabilities and managing existing assets, the rich data contained within Hardware Bills of Materials (HBOMs) and Software Bills of Materials (SBOMs) holds considerable potential for enabling more sophisticated predictive risk analysis 8. By analyzing historical trends in the usage of specific hardware and software components, organizations can potentially identify patterns that might indicate future risks. For instance, a consistent reliance on components from a particular vendor with a known history of security vulnerabilities or supply chain disruptions could serve as an indicator of potential future issues. Similarly, tracking the historical emergence of vulnerabilities associated with specific software libraries or hardware types could inform proactive risk mitigation strategies. Furthermore, the integration of external threat intelligence feeds with the detailed component information found in HBOMs and SBOMs can enhance an organization's ability to anticipate and prepare for potential threats that might specifically target the hardware and software elements present in their systems. This predictive capability allows for a more forward-looking approach to cybersecurity and asset management, moving beyond simply reacting to known problems to proactively addressing potential future challenges.</w:t>
      </w:r>
    </w:p>
    <w:p w:rsidR="00000000" w:rsidDel="00000000" w:rsidP="00000000" w:rsidRDefault="00000000" w:rsidRPr="00000000" w14:paraId="00000024">
      <w:pPr>
        <w:pStyle w:val="Heading2"/>
        <w:numPr>
          <w:ilvl w:val="0"/>
          <w:numId w:val="11"/>
        </w:numPr>
        <w:ind w:left="720" w:hanging="360"/>
      </w:pPr>
      <w:bookmarkStart w:colFirst="0" w:colLast="0" w:name="_xm0sl5i53rl" w:id="11"/>
      <w:bookmarkEnd w:id="11"/>
      <w:r w:rsidDel="00000000" w:rsidR="00000000" w:rsidRPr="00000000">
        <w:rPr>
          <w:b w:val="1"/>
          <w:rtl w:val="0"/>
        </w:rPr>
        <w:t xml:space="preserve">Future Directions and Evolving Standards:</w:t>
      </w:r>
      <w:r w:rsidDel="00000000" w:rsidR="00000000" w:rsidRPr="00000000">
        <w:rPr>
          <w:rtl w:val="0"/>
        </w:rPr>
        <w:t xml:space="preserve"> The landscape surrounding Software Bills of Materials (SBOMs) is expected to undergo continued evolution, driven in large part by increasing regulatory pressures and a growing awareness of the critical need for software supply chain security 2. We can anticipate a continued trend towards more widespread mandates for SBOM usage across various industries and sectors. Similarly, the adoption of Hardware Bills of Materials (HBOMs) is also poised for growth as organizations increasingly recognize the critical role that hardware security plays in a comprehensive cybersecurity strategy 1. The technical standards governing both HBOMs and SBOMs are also likely to continue their maturation process. This will likely involve further refinements and standardization of data fields, the formats used to represent this information, and the mechanisms for exchanging it between different systems and stakeholders 9. The emergence of newer, more specialized types of Bills of Materials, such as the Cryptography Bill of Materials (CBOM) and the Machine Learning Bill of Materials (ML-BOM) 17, indicates a broader trend towards greater specificity and granularity in how organizations document the various components that make up their complex technological ecosystems. In light of these evolving trends, it is crucial for organizations to remain informed about the latest developments in standards, regulations, and best practices related to HBOMs and SBOMs to ensure they can effectively leverage these tools for enhanced cybersecurity and asset management in the years to come.</w:t>
      </w:r>
    </w:p>
    <w:p w:rsidR="00000000" w:rsidDel="00000000" w:rsidP="00000000" w:rsidRDefault="00000000" w:rsidRPr="00000000" w14:paraId="00000025">
      <w:pPr>
        <w:numPr>
          <w:ilvl w:val="0"/>
          <w:numId w:val="6"/>
        </w:numPr>
        <w:ind w:left="720" w:hanging="360"/>
      </w:pPr>
      <w:r w:rsidDel="00000000" w:rsidR="00000000" w:rsidRPr="00000000">
        <w:rPr>
          <w:rtl w:val="0"/>
        </w:rPr>
        <w:t xml:space="preserve">Conclusion and Recommendations:</w:t>
      </w:r>
    </w:p>
    <w:p w:rsidR="00000000" w:rsidDel="00000000" w:rsidP="00000000" w:rsidRDefault="00000000" w:rsidRPr="00000000" w14:paraId="000000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720" w:right="0" w:firstLine="0"/>
        <w:jc w:val="left"/>
        <w:rPr/>
      </w:pPr>
      <w:r w:rsidDel="00000000" w:rsidR="00000000" w:rsidRPr="00000000">
        <w:rPr>
          <w:rtl w:val="0"/>
        </w:rPr>
      </w:r>
    </w:p>
    <w:p w:rsidR="00000000" w:rsidDel="00000000" w:rsidP="00000000" w:rsidRDefault="00000000" w:rsidRPr="00000000" w14:paraId="00000027">
      <w:pPr>
        <w:ind w:left="720" w:firstLine="0"/>
        <w:rPr/>
      </w:pPr>
      <w:r w:rsidDel="00000000" w:rsidR="00000000" w:rsidRPr="00000000">
        <w:rPr>
          <w:rtl w:val="0"/>
        </w:rPr>
        <w:t xml:space="preserve">The integration of Hardware Bill of Materials (HBOM) and Software Bill of Materials (SBOM) into a hierarchical asset management framework represents a fundamental and increasingly critical approach to enhancing cybersecurity and improving the visibility of assets within modern, intricate systems. By providing comprehensive and granular inventories of both hardware and software components, HBOMs and SBOMs empower organizations to proactively identify and mitigate potential security vulnerabilities, effectively prioritize remediation efforts, reduce the overall attack surface of their systems, and embed security considerations early in the design and development processes. Furthermore, these bills of materials offer invaluable insights for improving asset management practices, enabling more accurate tracking, better understanding of component provenance and system configuration, and enhanced support for asset lifecycle management. To effectively harness the significant benefits offered by HBOMs and SBOMs, organizations should prioritize the adoption of recognized and widely supported standards such as CycloneDX or SPDX to ensure seamless interoperability across different tools and with external partners. Implementing automated processes for generating and continuously updating these bills of materials is crucial for maintaining their accuracy and relevance, ideally by integrating these processes directly into the system build and deployment pipelines. Establishing a secure and centralized repository for the storage and management of HBOM and SBOM data, coupled with robust access controls, is also essential. Integrating this BOM data with vulnerability management tools will enable automated scanning and correlation with comprehensive vulnerability databases. Furthermore, leveraging VEX (Vulnerability Exploitability eXchange) documents to provide critical context on the exploitability of identified vulnerabilities will significantly enhance the efficiency and effectiveness of remediation efforts. Incorporating HBOM and SBOM information into existing asset management systems will create a holistic and interconnected view of all hardware and software assets within the hierarchical framework. Finally, organizations must remain vigilant and continuously monitor the evolving landscape of HBOM and SBOM standards, relevant regulations, and the availability of new and improved tooling to ensure their practices remain aligned with the latest industry best practices. By diligently implementing these recommendations, organizations can build more secure, resilient, and effectively managed systems, better equipped to navigate the ever-evolving challenges of the modern digital landscape.</w:t>
      </w:r>
    </w:p>
    <w:p w:rsidR="00000000" w:rsidDel="00000000" w:rsidP="00000000" w:rsidRDefault="00000000" w:rsidRPr="00000000" w14:paraId="00000028">
      <w:pPr>
        <w:rPr/>
      </w:pPr>
      <w:r w:rsidDel="00000000" w:rsidR="00000000" w:rsidRPr="00000000">
        <w:rPr>
          <w:rtl w:val="0"/>
        </w:rPr>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rFonts w:ascii="Arial" w:cs="Arial" w:eastAsia="Arial" w:hAnsi="Arial"/>
        <w:b w:val="0"/>
        <w:i w:val="0"/>
        <w:smallCaps w:val="0"/>
        <w:strike w:val="0"/>
        <w:color w:val="000000"/>
        <w:sz w:val="22"/>
        <w:szCs w:val="22"/>
        <w:u w:val="none"/>
        <w:shd w:fill="auto" w:val="clear"/>
        <w:vertAlign w:val="baseline"/>
      </w:rPr>
    </w:lvl>
    <w:lvl w:ilvl="1">
      <w:start w:val="1"/>
      <w:numFmt w:val="lowerLetter"/>
      <w:lvlText w:val="%2."/>
      <w:lvlJc w:val="left"/>
      <w:pPr>
        <w:ind w:left="1440" w:hanging="360"/>
      </w:pPr>
      <w:rPr>
        <w:rFonts w:ascii="Arial" w:cs="Arial" w:eastAsia="Arial" w:hAnsi="Arial"/>
        <w:b w:val="0"/>
        <w:i w:val="0"/>
        <w:smallCaps w:val="0"/>
        <w:strike w:val="0"/>
        <w:color w:val="000000"/>
        <w:sz w:val="22"/>
        <w:szCs w:val="22"/>
        <w:u w:val="none"/>
        <w:shd w:fill="auto" w:val="clear"/>
        <w:vertAlign w:val="baseline"/>
      </w:rPr>
    </w:lvl>
    <w:lvl w:ilvl="2">
      <w:start w:val="1"/>
      <w:numFmt w:val="lowerRoman"/>
      <w:lvlText w:val="%3."/>
      <w:lvlJc w:val="right"/>
      <w:pPr>
        <w:ind w:left="2160" w:hanging="360"/>
      </w:pPr>
      <w:rPr>
        <w:rFonts w:ascii="Arial" w:cs="Arial" w:eastAsia="Arial" w:hAnsi="Arial"/>
        <w:b w:val="0"/>
        <w:i w:val="0"/>
        <w:smallCaps w:val="0"/>
        <w:strike w:val="0"/>
        <w:color w:val="000000"/>
        <w:sz w:val="22"/>
        <w:szCs w:val="22"/>
        <w:u w:val="none"/>
        <w:shd w:fill="auto" w:val="clear"/>
        <w:vertAlign w:val="baseline"/>
      </w:rPr>
    </w:lvl>
    <w:lvl w:ilvl="3">
      <w:start w:val="1"/>
      <w:numFmt w:val="decimal"/>
      <w:lvlText w:val="%4."/>
      <w:lvlJc w:val="left"/>
      <w:pPr>
        <w:ind w:left="2880" w:hanging="360"/>
      </w:pPr>
      <w:rPr>
        <w:rFonts w:ascii="Arial" w:cs="Arial" w:eastAsia="Arial" w:hAnsi="Arial"/>
        <w:b w:val="0"/>
        <w:i w:val="0"/>
        <w:smallCaps w:val="0"/>
        <w:strike w:val="0"/>
        <w:color w:val="000000"/>
        <w:sz w:val="22"/>
        <w:szCs w:val="22"/>
        <w:u w:val="none"/>
        <w:shd w:fill="auto" w:val="clear"/>
        <w:vertAlign w:val="baseline"/>
      </w:rPr>
    </w:lvl>
    <w:lvl w:ilvl="4">
      <w:start w:val="1"/>
      <w:numFmt w:val="lowerLetter"/>
      <w:lvlText w:val="%5."/>
      <w:lvlJc w:val="left"/>
      <w:pPr>
        <w:ind w:left="3600" w:hanging="360"/>
      </w:pPr>
      <w:rPr>
        <w:rFonts w:ascii="Arial" w:cs="Arial" w:eastAsia="Arial" w:hAnsi="Arial"/>
        <w:b w:val="0"/>
        <w:i w:val="0"/>
        <w:smallCaps w:val="0"/>
        <w:strike w:val="0"/>
        <w:color w:val="000000"/>
        <w:sz w:val="22"/>
        <w:szCs w:val="22"/>
        <w:u w:val="none"/>
        <w:shd w:fill="auto" w:val="clear"/>
        <w:vertAlign w:val="baseline"/>
      </w:rPr>
    </w:lvl>
    <w:lvl w:ilvl="5">
      <w:start w:val="1"/>
      <w:numFmt w:val="lowerRoman"/>
      <w:lvlText w:val="%6."/>
      <w:lvlJc w:val="right"/>
      <w:pPr>
        <w:ind w:left="4320" w:hanging="360"/>
      </w:pPr>
      <w:rPr>
        <w:rFonts w:ascii="Arial" w:cs="Arial" w:eastAsia="Arial" w:hAnsi="Arial"/>
        <w:b w:val="0"/>
        <w:i w:val="0"/>
        <w:smallCaps w:val="0"/>
        <w:strike w:val="0"/>
        <w:color w:val="000000"/>
        <w:sz w:val="22"/>
        <w:szCs w:val="22"/>
        <w:u w:val="none"/>
        <w:shd w:fill="auto" w:val="clear"/>
        <w:vertAlign w:val="baseline"/>
      </w:rPr>
    </w:lvl>
    <w:lvl w:ilvl="6">
      <w:start w:val="1"/>
      <w:numFmt w:val="decimal"/>
      <w:lvlText w:val="%7."/>
      <w:lvlJc w:val="left"/>
      <w:pPr>
        <w:ind w:left="5040" w:hanging="360"/>
      </w:pPr>
      <w:rPr>
        <w:rFonts w:ascii="Arial" w:cs="Arial" w:eastAsia="Arial" w:hAnsi="Arial"/>
        <w:b w:val="0"/>
        <w:i w:val="0"/>
        <w:smallCaps w:val="0"/>
        <w:strike w:val="0"/>
        <w:color w:val="000000"/>
        <w:sz w:val="22"/>
        <w:szCs w:val="22"/>
        <w:u w:val="none"/>
        <w:shd w:fill="auto" w:val="clear"/>
        <w:vertAlign w:val="baseline"/>
      </w:rPr>
    </w:lvl>
    <w:lvl w:ilvl="7">
      <w:start w:val="1"/>
      <w:numFmt w:val="lowerLetter"/>
      <w:lvlText w:val="%8."/>
      <w:lvlJc w:val="left"/>
      <w:pPr>
        <w:ind w:left="5760" w:hanging="360"/>
      </w:pPr>
      <w:rPr>
        <w:rFonts w:ascii="Arial" w:cs="Arial" w:eastAsia="Arial" w:hAnsi="Arial"/>
        <w:b w:val="0"/>
        <w:i w:val="0"/>
        <w:smallCaps w:val="0"/>
        <w:strike w:val="0"/>
        <w:color w:val="000000"/>
        <w:sz w:val="22"/>
        <w:szCs w:val="22"/>
        <w:u w:val="none"/>
        <w:shd w:fill="auto" w:val="clear"/>
        <w:vertAlign w:val="baseline"/>
      </w:rPr>
    </w:lvl>
    <w:lvl w:ilvl="8">
      <w:start w:val="1"/>
      <w:numFmt w:val="lowerRoman"/>
      <w:lvlText w:val="%9."/>
      <w:lvlJc w:val="right"/>
      <w:pPr>
        <w:ind w:left="6480" w:hanging="360"/>
      </w:pPr>
      <w:rPr>
        <w:rFonts w:ascii="Arial" w:cs="Arial" w:eastAsia="Arial" w:hAnsi="Arial"/>
        <w:b w:val="0"/>
        <w:i w:val="0"/>
        <w:smallCaps w:val="0"/>
        <w:strike w:val="0"/>
        <w:color w:val="000000"/>
        <w:sz w:val="22"/>
        <w:szCs w:val="22"/>
        <w:u w:val="none"/>
        <w:shd w:fill="auto" w:val="clear"/>
        <w:vertAlign w:val="baseline"/>
      </w:rPr>
    </w:lvl>
  </w:abstractNum>
  <w:abstractNum w:abstractNumId="2">
    <w:lvl w:ilvl="0">
      <w:start w:val="1"/>
      <w:numFmt w:val="bullet"/>
      <w:lvlText w:val="-"/>
      <w:lvlJc w:val="left"/>
      <w:pPr>
        <w:ind w:left="720" w:hanging="360"/>
      </w:pPr>
      <w:rPr>
        <w:rFonts w:ascii="Arial" w:cs="Arial" w:eastAsia="Arial" w:hAnsi="Arial"/>
        <w:b w:val="0"/>
        <w:i w:val="0"/>
        <w:smallCaps w:val="0"/>
        <w:strike w:val="0"/>
        <w:color w:val="000000"/>
        <w:sz w:val="22"/>
        <w:szCs w:val="22"/>
        <w:u w:val="none"/>
        <w:shd w:fill="auto" w:val="clear"/>
        <w:vertAlign w:val="baseline"/>
      </w:rPr>
    </w:lvl>
    <w:lvl w:ilvl="1">
      <w:start w:val="1"/>
      <w:numFmt w:val="lowerLetter"/>
      <w:lvlText w:val="%2."/>
      <w:lvlJc w:val="left"/>
      <w:pPr>
        <w:ind w:left="1440" w:hanging="360"/>
      </w:pPr>
      <w:rPr>
        <w:rFonts w:ascii="Arial" w:cs="Arial" w:eastAsia="Arial" w:hAnsi="Arial"/>
        <w:b w:val="0"/>
        <w:i w:val="0"/>
        <w:smallCaps w:val="0"/>
        <w:strike w:val="0"/>
        <w:color w:val="000000"/>
        <w:sz w:val="22"/>
        <w:szCs w:val="22"/>
        <w:u w:val="none"/>
        <w:shd w:fill="auto" w:val="clear"/>
        <w:vertAlign w:val="baseline"/>
      </w:rPr>
    </w:lvl>
    <w:lvl w:ilvl="2">
      <w:start w:val="1"/>
      <w:numFmt w:val="lowerRoman"/>
      <w:lvlText w:val="%3."/>
      <w:lvlJc w:val="right"/>
      <w:pPr>
        <w:ind w:left="2160" w:hanging="360"/>
      </w:pPr>
      <w:rPr>
        <w:rFonts w:ascii="Arial" w:cs="Arial" w:eastAsia="Arial" w:hAnsi="Arial"/>
        <w:b w:val="0"/>
        <w:i w:val="0"/>
        <w:smallCaps w:val="0"/>
        <w:strike w:val="0"/>
        <w:color w:val="000000"/>
        <w:sz w:val="22"/>
        <w:szCs w:val="22"/>
        <w:u w:val="none"/>
        <w:shd w:fill="auto" w:val="clear"/>
        <w:vertAlign w:val="baseline"/>
      </w:rPr>
    </w:lvl>
    <w:lvl w:ilvl="3">
      <w:start w:val="1"/>
      <w:numFmt w:val="decimal"/>
      <w:lvlText w:val="%4."/>
      <w:lvlJc w:val="left"/>
      <w:pPr>
        <w:ind w:left="2880" w:hanging="360"/>
      </w:pPr>
      <w:rPr>
        <w:rFonts w:ascii="Arial" w:cs="Arial" w:eastAsia="Arial" w:hAnsi="Arial"/>
        <w:b w:val="0"/>
        <w:i w:val="0"/>
        <w:smallCaps w:val="0"/>
        <w:strike w:val="0"/>
        <w:color w:val="000000"/>
        <w:sz w:val="22"/>
        <w:szCs w:val="22"/>
        <w:u w:val="none"/>
        <w:shd w:fill="auto" w:val="clear"/>
        <w:vertAlign w:val="baseline"/>
      </w:rPr>
    </w:lvl>
    <w:lvl w:ilvl="4">
      <w:start w:val="1"/>
      <w:numFmt w:val="lowerLetter"/>
      <w:lvlText w:val="%5."/>
      <w:lvlJc w:val="left"/>
      <w:pPr>
        <w:ind w:left="3600" w:hanging="360"/>
      </w:pPr>
      <w:rPr>
        <w:rFonts w:ascii="Arial" w:cs="Arial" w:eastAsia="Arial" w:hAnsi="Arial"/>
        <w:b w:val="0"/>
        <w:i w:val="0"/>
        <w:smallCaps w:val="0"/>
        <w:strike w:val="0"/>
        <w:color w:val="000000"/>
        <w:sz w:val="22"/>
        <w:szCs w:val="22"/>
        <w:u w:val="none"/>
        <w:shd w:fill="auto" w:val="clear"/>
        <w:vertAlign w:val="baseline"/>
      </w:rPr>
    </w:lvl>
    <w:lvl w:ilvl="5">
      <w:start w:val="1"/>
      <w:numFmt w:val="lowerRoman"/>
      <w:lvlText w:val="%6."/>
      <w:lvlJc w:val="right"/>
      <w:pPr>
        <w:ind w:left="4320" w:hanging="360"/>
      </w:pPr>
      <w:rPr>
        <w:rFonts w:ascii="Arial" w:cs="Arial" w:eastAsia="Arial" w:hAnsi="Arial"/>
        <w:b w:val="0"/>
        <w:i w:val="0"/>
        <w:smallCaps w:val="0"/>
        <w:strike w:val="0"/>
        <w:color w:val="000000"/>
        <w:sz w:val="22"/>
        <w:szCs w:val="22"/>
        <w:u w:val="none"/>
        <w:shd w:fill="auto" w:val="clear"/>
        <w:vertAlign w:val="baseline"/>
      </w:rPr>
    </w:lvl>
    <w:lvl w:ilvl="6">
      <w:start w:val="1"/>
      <w:numFmt w:val="decimal"/>
      <w:lvlText w:val="%7."/>
      <w:lvlJc w:val="left"/>
      <w:pPr>
        <w:ind w:left="5040" w:hanging="360"/>
      </w:pPr>
      <w:rPr>
        <w:rFonts w:ascii="Arial" w:cs="Arial" w:eastAsia="Arial" w:hAnsi="Arial"/>
        <w:b w:val="0"/>
        <w:i w:val="0"/>
        <w:smallCaps w:val="0"/>
        <w:strike w:val="0"/>
        <w:color w:val="000000"/>
        <w:sz w:val="22"/>
        <w:szCs w:val="22"/>
        <w:u w:val="none"/>
        <w:shd w:fill="auto" w:val="clear"/>
        <w:vertAlign w:val="baseline"/>
      </w:rPr>
    </w:lvl>
    <w:lvl w:ilvl="7">
      <w:start w:val="1"/>
      <w:numFmt w:val="lowerLetter"/>
      <w:lvlText w:val="%8."/>
      <w:lvlJc w:val="left"/>
      <w:pPr>
        <w:ind w:left="5760" w:hanging="360"/>
      </w:pPr>
      <w:rPr>
        <w:rFonts w:ascii="Arial" w:cs="Arial" w:eastAsia="Arial" w:hAnsi="Arial"/>
        <w:b w:val="0"/>
        <w:i w:val="0"/>
        <w:smallCaps w:val="0"/>
        <w:strike w:val="0"/>
        <w:color w:val="000000"/>
        <w:sz w:val="22"/>
        <w:szCs w:val="22"/>
        <w:u w:val="none"/>
        <w:shd w:fill="auto" w:val="clear"/>
        <w:vertAlign w:val="baseline"/>
      </w:rPr>
    </w:lvl>
    <w:lvl w:ilvl="8">
      <w:start w:val="1"/>
      <w:numFmt w:val="lowerRoman"/>
      <w:lvlText w:val="%9."/>
      <w:lvlJc w:val="right"/>
      <w:pPr>
        <w:ind w:left="6480" w:hanging="360"/>
      </w:pPr>
      <w:rPr>
        <w:rFonts w:ascii="Arial" w:cs="Arial" w:eastAsia="Arial" w:hAnsi="Arial"/>
        <w:b w:val="0"/>
        <w:i w:val="0"/>
        <w:smallCaps w:val="0"/>
        <w:strike w:val="0"/>
        <w:color w:val="000000"/>
        <w:sz w:val="22"/>
        <w:szCs w:val="22"/>
        <w:u w:val="none"/>
        <w:shd w:fill="auto" w:val="clear"/>
        <w:vertAlign w:val="baseline"/>
      </w:rPr>
    </w:lvl>
  </w:abstractNum>
  <w:abstractNum w:abstractNumId="3">
    <w:lvl w:ilvl="0">
      <w:start w:val="3"/>
      <w:numFmt w:val="decimal"/>
      <w:lvlText w:val="%1."/>
      <w:lvlJc w:val="left"/>
      <w:pPr>
        <w:ind w:left="720" w:hanging="360"/>
      </w:pPr>
      <w:rPr>
        <w:rFonts w:ascii="Arial" w:cs="Arial" w:eastAsia="Arial" w:hAnsi="Arial"/>
        <w:b w:val="0"/>
        <w:i w:val="0"/>
        <w:smallCaps w:val="0"/>
        <w:strike w:val="0"/>
        <w:color w:val="000000"/>
        <w:sz w:val="22"/>
        <w:szCs w:val="22"/>
        <w:u w:val="none"/>
        <w:shd w:fill="auto" w:val="clear"/>
        <w:vertAlign w:val="baseline"/>
      </w:rPr>
    </w:lvl>
    <w:lvl w:ilvl="1">
      <w:start w:val="1"/>
      <w:numFmt w:val="lowerLetter"/>
      <w:lvlText w:val="%2."/>
      <w:lvlJc w:val="left"/>
      <w:pPr>
        <w:ind w:left="1440" w:hanging="360"/>
      </w:pPr>
      <w:rPr>
        <w:rFonts w:ascii="Arial" w:cs="Arial" w:eastAsia="Arial" w:hAnsi="Arial"/>
        <w:b w:val="0"/>
        <w:i w:val="0"/>
        <w:smallCaps w:val="0"/>
        <w:strike w:val="0"/>
        <w:color w:val="000000"/>
        <w:sz w:val="22"/>
        <w:szCs w:val="22"/>
        <w:u w:val="none"/>
        <w:shd w:fill="auto" w:val="clear"/>
        <w:vertAlign w:val="baseline"/>
      </w:rPr>
    </w:lvl>
    <w:lvl w:ilvl="2">
      <w:start w:val="1"/>
      <w:numFmt w:val="lowerRoman"/>
      <w:lvlText w:val="%3."/>
      <w:lvlJc w:val="right"/>
      <w:pPr>
        <w:ind w:left="2160" w:hanging="360"/>
      </w:pPr>
      <w:rPr>
        <w:rFonts w:ascii="Arial" w:cs="Arial" w:eastAsia="Arial" w:hAnsi="Arial"/>
        <w:b w:val="0"/>
        <w:i w:val="0"/>
        <w:smallCaps w:val="0"/>
        <w:strike w:val="0"/>
        <w:color w:val="000000"/>
        <w:sz w:val="22"/>
        <w:szCs w:val="22"/>
        <w:u w:val="none"/>
        <w:shd w:fill="auto" w:val="clear"/>
        <w:vertAlign w:val="baseline"/>
      </w:rPr>
    </w:lvl>
    <w:lvl w:ilvl="3">
      <w:start w:val="1"/>
      <w:numFmt w:val="decimal"/>
      <w:lvlText w:val="%4."/>
      <w:lvlJc w:val="left"/>
      <w:pPr>
        <w:ind w:left="2880" w:hanging="360"/>
      </w:pPr>
      <w:rPr>
        <w:rFonts w:ascii="Arial" w:cs="Arial" w:eastAsia="Arial" w:hAnsi="Arial"/>
        <w:b w:val="0"/>
        <w:i w:val="0"/>
        <w:smallCaps w:val="0"/>
        <w:strike w:val="0"/>
        <w:color w:val="000000"/>
        <w:sz w:val="22"/>
        <w:szCs w:val="22"/>
        <w:u w:val="none"/>
        <w:shd w:fill="auto" w:val="clear"/>
        <w:vertAlign w:val="baseline"/>
      </w:rPr>
    </w:lvl>
    <w:lvl w:ilvl="4">
      <w:start w:val="1"/>
      <w:numFmt w:val="lowerLetter"/>
      <w:lvlText w:val="%5."/>
      <w:lvlJc w:val="left"/>
      <w:pPr>
        <w:ind w:left="3600" w:hanging="360"/>
      </w:pPr>
      <w:rPr>
        <w:rFonts w:ascii="Arial" w:cs="Arial" w:eastAsia="Arial" w:hAnsi="Arial"/>
        <w:b w:val="0"/>
        <w:i w:val="0"/>
        <w:smallCaps w:val="0"/>
        <w:strike w:val="0"/>
        <w:color w:val="000000"/>
        <w:sz w:val="22"/>
        <w:szCs w:val="22"/>
        <w:u w:val="none"/>
        <w:shd w:fill="auto" w:val="clear"/>
        <w:vertAlign w:val="baseline"/>
      </w:rPr>
    </w:lvl>
    <w:lvl w:ilvl="5">
      <w:start w:val="1"/>
      <w:numFmt w:val="lowerRoman"/>
      <w:lvlText w:val="%6."/>
      <w:lvlJc w:val="right"/>
      <w:pPr>
        <w:ind w:left="4320" w:hanging="360"/>
      </w:pPr>
      <w:rPr>
        <w:rFonts w:ascii="Arial" w:cs="Arial" w:eastAsia="Arial" w:hAnsi="Arial"/>
        <w:b w:val="0"/>
        <w:i w:val="0"/>
        <w:smallCaps w:val="0"/>
        <w:strike w:val="0"/>
        <w:color w:val="000000"/>
        <w:sz w:val="22"/>
        <w:szCs w:val="22"/>
        <w:u w:val="none"/>
        <w:shd w:fill="auto" w:val="clear"/>
        <w:vertAlign w:val="baseline"/>
      </w:rPr>
    </w:lvl>
    <w:lvl w:ilvl="6">
      <w:start w:val="1"/>
      <w:numFmt w:val="decimal"/>
      <w:lvlText w:val="%7."/>
      <w:lvlJc w:val="left"/>
      <w:pPr>
        <w:ind w:left="5040" w:hanging="360"/>
      </w:pPr>
      <w:rPr>
        <w:rFonts w:ascii="Arial" w:cs="Arial" w:eastAsia="Arial" w:hAnsi="Arial"/>
        <w:b w:val="0"/>
        <w:i w:val="0"/>
        <w:smallCaps w:val="0"/>
        <w:strike w:val="0"/>
        <w:color w:val="000000"/>
        <w:sz w:val="22"/>
        <w:szCs w:val="22"/>
        <w:u w:val="none"/>
        <w:shd w:fill="auto" w:val="clear"/>
        <w:vertAlign w:val="baseline"/>
      </w:rPr>
    </w:lvl>
    <w:lvl w:ilvl="7">
      <w:start w:val="1"/>
      <w:numFmt w:val="lowerLetter"/>
      <w:lvlText w:val="%8."/>
      <w:lvlJc w:val="left"/>
      <w:pPr>
        <w:ind w:left="5760" w:hanging="360"/>
      </w:pPr>
      <w:rPr>
        <w:rFonts w:ascii="Arial" w:cs="Arial" w:eastAsia="Arial" w:hAnsi="Arial"/>
        <w:b w:val="0"/>
        <w:i w:val="0"/>
        <w:smallCaps w:val="0"/>
        <w:strike w:val="0"/>
        <w:color w:val="000000"/>
        <w:sz w:val="22"/>
        <w:szCs w:val="22"/>
        <w:u w:val="none"/>
        <w:shd w:fill="auto" w:val="clear"/>
        <w:vertAlign w:val="baseline"/>
      </w:rPr>
    </w:lvl>
    <w:lvl w:ilvl="8">
      <w:start w:val="1"/>
      <w:numFmt w:val="lowerRoman"/>
      <w:lvlText w:val="%9."/>
      <w:lvlJc w:val="right"/>
      <w:pPr>
        <w:ind w:left="6480" w:hanging="360"/>
      </w:pPr>
      <w:rPr>
        <w:rFonts w:ascii="Arial" w:cs="Arial" w:eastAsia="Arial" w:hAnsi="Arial"/>
        <w:b w:val="0"/>
        <w:i w:val="0"/>
        <w:smallCaps w:val="0"/>
        <w:strike w:val="0"/>
        <w:color w:val="000000"/>
        <w:sz w:val="22"/>
        <w:szCs w:val="22"/>
        <w:u w:val="none"/>
        <w:shd w:fill="auto" w:val="clear"/>
        <w:vertAlign w:val="baseline"/>
      </w:rPr>
    </w:lvl>
  </w:abstractNum>
  <w:abstractNum w:abstractNumId="4">
    <w:lvl w:ilvl="0">
      <w:start w:val="4"/>
      <w:numFmt w:val="decimal"/>
      <w:lvlText w:val="%1."/>
      <w:lvlJc w:val="left"/>
      <w:pPr>
        <w:ind w:left="720" w:hanging="360"/>
      </w:pPr>
      <w:rPr>
        <w:rFonts w:ascii="Arial" w:cs="Arial" w:eastAsia="Arial" w:hAnsi="Arial"/>
        <w:b w:val="0"/>
        <w:i w:val="0"/>
        <w:smallCaps w:val="0"/>
        <w:strike w:val="0"/>
        <w:color w:val="000000"/>
        <w:sz w:val="22"/>
        <w:szCs w:val="22"/>
        <w:u w:val="none"/>
        <w:shd w:fill="auto" w:val="clear"/>
        <w:vertAlign w:val="baseline"/>
      </w:rPr>
    </w:lvl>
    <w:lvl w:ilvl="1">
      <w:start w:val="1"/>
      <w:numFmt w:val="lowerLetter"/>
      <w:lvlText w:val="%2."/>
      <w:lvlJc w:val="left"/>
      <w:pPr>
        <w:ind w:left="1440" w:hanging="360"/>
      </w:pPr>
      <w:rPr>
        <w:rFonts w:ascii="Arial" w:cs="Arial" w:eastAsia="Arial" w:hAnsi="Arial"/>
        <w:b w:val="0"/>
        <w:i w:val="0"/>
        <w:smallCaps w:val="0"/>
        <w:strike w:val="0"/>
        <w:color w:val="000000"/>
        <w:sz w:val="22"/>
        <w:szCs w:val="22"/>
        <w:u w:val="none"/>
        <w:shd w:fill="auto" w:val="clear"/>
        <w:vertAlign w:val="baseline"/>
      </w:rPr>
    </w:lvl>
    <w:lvl w:ilvl="2">
      <w:start w:val="1"/>
      <w:numFmt w:val="lowerRoman"/>
      <w:lvlText w:val="%3."/>
      <w:lvlJc w:val="right"/>
      <w:pPr>
        <w:ind w:left="2160" w:hanging="360"/>
      </w:pPr>
      <w:rPr>
        <w:rFonts w:ascii="Arial" w:cs="Arial" w:eastAsia="Arial" w:hAnsi="Arial"/>
        <w:b w:val="0"/>
        <w:i w:val="0"/>
        <w:smallCaps w:val="0"/>
        <w:strike w:val="0"/>
        <w:color w:val="000000"/>
        <w:sz w:val="22"/>
        <w:szCs w:val="22"/>
        <w:u w:val="none"/>
        <w:shd w:fill="auto" w:val="clear"/>
        <w:vertAlign w:val="baseline"/>
      </w:rPr>
    </w:lvl>
    <w:lvl w:ilvl="3">
      <w:start w:val="1"/>
      <w:numFmt w:val="decimal"/>
      <w:lvlText w:val="%4."/>
      <w:lvlJc w:val="left"/>
      <w:pPr>
        <w:ind w:left="2880" w:hanging="360"/>
      </w:pPr>
      <w:rPr>
        <w:rFonts w:ascii="Arial" w:cs="Arial" w:eastAsia="Arial" w:hAnsi="Arial"/>
        <w:b w:val="0"/>
        <w:i w:val="0"/>
        <w:smallCaps w:val="0"/>
        <w:strike w:val="0"/>
        <w:color w:val="000000"/>
        <w:sz w:val="22"/>
        <w:szCs w:val="22"/>
        <w:u w:val="none"/>
        <w:shd w:fill="auto" w:val="clear"/>
        <w:vertAlign w:val="baseline"/>
      </w:rPr>
    </w:lvl>
    <w:lvl w:ilvl="4">
      <w:start w:val="1"/>
      <w:numFmt w:val="lowerLetter"/>
      <w:lvlText w:val="%5."/>
      <w:lvlJc w:val="left"/>
      <w:pPr>
        <w:ind w:left="3600" w:hanging="360"/>
      </w:pPr>
      <w:rPr>
        <w:rFonts w:ascii="Arial" w:cs="Arial" w:eastAsia="Arial" w:hAnsi="Arial"/>
        <w:b w:val="0"/>
        <w:i w:val="0"/>
        <w:smallCaps w:val="0"/>
        <w:strike w:val="0"/>
        <w:color w:val="000000"/>
        <w:sz w:val="22"/>
        <w:szCs w:val="22"/>
        <w:u w:val="none"/>
        <w:shd w:fill="auto" w:val="clear"/>
        <w:vertAlign w:val="baseline"/>
      </w:rPr>
    </w:lvl>
    <w:lvl w:ilvl="5">
      <w:start w:val="1"/>
      <w:numFmt w:val="lowerRoman"/>
      <w:lvlText w:val="%6."/>
      <w:lvlJc w:val="right"/>
      <w:pPr>
        <w:ind w:left="4320" w:hanging="360"/>
      </w:pPr>
      <w:rPr>
        <w:rFonts w:ascii="Arial" w:cs="Arial" w:eastAsia="Arial" w:hAnsi="Arial"/>
        <w:b w:val="0"/>
        <w:i w:val="0"/>
        <w:smallCaps w:val="0"/>
        <w:strike w:val="0"/>
        <w:color w:val="000000"/>
        <w:sz w:val="22"/>
        <w:szCs w:val="22"/>
        <w:u w:val="none"/>
        <w:shd w:fill="auto" w:val="clear"/>
        <w:vertAlign w:val="baseline"/>
      </w:rPr>
    </w:lvl>
    <w:lvl w:ilvl="6">
      <w:start w:val="1"/>
      <w:numFmt w:val="decimal"/>
      <w:lvlText w:val="%7."/>
      <w:lvlJc w:val="left"/>
      <w:pPr>
        <w:ind w:left="5040" w:hanging="360"/>
      </w:pPr>
      <w:rPr>
        <w:rFonts w:ascii="Arial" w:cs="Arial" w:eastAsia="Arial" w:hAnsi="Arial"/>
        <w:b w:val="0"/>
        <w:i w:val="0"/>
        <w:smallCaps w:val="0"/>
        <w:strike w:val="0"/>
        <w:color w:val="000000"/>
        <w:sz w:val="22"/>
        <w:szCs w:val="22"/>
        <w:u w:val="none"/>
        <w:shd w:fill="auto" w:val="clear"/>
        <w:vertAlign w:val="baseline"/>
      </w:rPr>
    </w:lvl>
    <w:lvl w:ilvl="7">
      <w:start w:val="1"/>
      <w:numFmt w:val="lowerLetter"/>
      <w:lvlText w:val="%8."/>
      <w:lvlJc w:val="left"/>
      <w:pPr>
        <w:ind w:left="5760" w:hanging="360"/>
      </w:pPr>
      <w:rPr>
        <w:rFonts w:ascii="Arial" w:cs="Arial" w:eastAsia="Arial" w:hAnsi="Arial"/>
        <w:b w:val="0"/>
        <w:i w:val="0"/>
        <w:smallCaps w:val="0"/>
        <w:strike w:val="0"/>
        <w:color w:val="000000"/>
        <w:sz w:val="22"/>
        <w:szCs w:val="22"/>
        <w:u w:val="none"/>
        <w:shd w:fill="auto" w:val="clear"/>
        <w:vertAlign w:val="baseline"/>
      </w:rPr>
    </w:lvl>
    <w:lvl w:ilvl="8">
      <w:start w:val="1"/>
      <w:numFmt w:val="lowerRoman"/>
      <w:lvlText w:val="%9."/>
      <w:lvlJc w:val="right"/>
      <w:pPr>
        <w:ind w:left="6480" w:hanging="360"/>
      </w:pPr>
      <w:rPr>
        <w:rFonts w:ascii="Arial" w:cs="Arial" w:eastAsia="Arial" w:hAnsi="Arial"/>
        <w:b w:val="0"/>
        <w:i w:val="0"/>
        <w:smallCaps w:val="0"/>
        <w:strike w:val="0"/>
        <w:color w:val="000000"/>
        <w:sz w:val="22"/>
        <w:szCs w:val="22"/>
        <w:u w:val="none"/>
        <w:shd w:fill="auto" w:val="clear"/>
        <w:vertAlign w:val="baseline"/>
      </w:rPr>
    </w:lvl>
  </w:abstractNum>
  <w:abstractNum w:abstractNumId="5">
    <w:lvl w:ilvl="0">
      <w:start w:val="1"/>
      <w:numFmt w:val="bullet"/>
      <w:lvlText w:val="-"/>
      <w:lvlJc w:val="left"/>
      <w:pPr>
        <w:ind w:left="720" w:hanging="360"/>
      </w:pPr>
      <w:rPr>
        <w:rFonts w:ascii="Arial" w:cs="Arial" w:eastAsia="Arial" w:hAnsi="Arial"/>
        <w:b w:val="0"/>
        <w:i w:val="0"/>
        <w:smallCaps w:val="0"/>
        <w:strike w:val="0"/>
        <w:color w:val="000000"/>
        <w:sz w:val="22"/>
        <w:szCs w:val="22"/>
        <w:u w:val="none"/>
        <w:shd w:fill="auto" w:val="clear"/>
        <w:vertAlign w:val="baseline"/>
      </w:rPr>
    </w:lvl>
    <w:lvl w:ilvl="1">
      <w:start w:val="1"/>
      <w:numFmt w:val="lowerLetter"/>
      <w:lvlText w:val="%2."/>
      <w:lvlJc w:val="left"/>
      <w:pPr>
        <w:ind w:left="1440" w:hanging="360"/>
      </w:pPr>
      <w:rPr>
        <w:rFonts w:ascii="Arial" w:cs="Arial" w:eastAsia="Arial" w:hAnsi="Arial"/>
        <w:b w:val="0"/>
        <w:i w:val="0"/>
        <w:smallCaps w:val="0"/>
        <w:strike w:val="0"/>
        <w:color w:val="000000"/>
        <w:sz w:val="22"/>
        <w:szCs w:val="22"/>
        <w:u w:val="none"/>
        <w:shd w:fill="auto" w:val="clear"/>
        <w:vertAlign w:val="baseline"/>
      </w:rPr>
    </w:lvl>
    <w:lvl w:ilvl="2">
      <w:start w:val="1"/>
      <w:numFmt w:val="lowerRoman"/>
      <w:lvlText w:val="%3."/>
      <w:lvlJc w:val="right"/>
      <w:pPr>
        <w:ind w:left="2160" w:hanging="360"/>
      </w:pPr>
      <w:rPr>
        <w:rFonts w:ascii="Arial" w:cs="Arial" w:eastAsia="Arial" w:hAnsi="Arial"/>
        <w:b w:val="0"/>
        <w:i w:val="0"/>
        <w:smallCaps w:val="0"/>
        <w:strike w:val="0"/>
        <w:color w:val="000000"/>
        <w:sz w:val="22"/>
        <w:szCs w:val="22"/>
        <w:u w:val="none"/>
        <w:shd w:fill="auto" w:val="clear"/>
        <w:vertAlign w:val="baseline"/>
      </w:rPr>
    </w:lvl>
    <w:lvl w:ilvl="3">
      <w:start w:val="1"/>
      <w:numFmt w:val="decimal"/>
      <w:lvlText w:val="%4."/>
      <w:lvlJc w:val="left"/>
      <w:pPr>
        <w:ind w:left="2880" w:hanging="360"/>
      </w:pPr>
      <w:rPr>
        <w:rFonts w:ascii="Arial" w:cs="Arial" w:eastAsia="Arial" w:hAnsi="Arial"/>
        <w:b w:val="0"/>
        <w:i w:val="0"/>
        <w:smallCaps w:val="0"/>
        <w:strike w:val="0"/>
        <w:color w:val="000000"/>
        <w:sz w:val="22"/>
        <w:szCs w:val="22"/>
        <w:u w:val="none"/>
        <w:shd w:fill="auto" w:val="clear"/>
        <w:vertAlign w:val="baseline"/>
      </w:rPr>
    </w:lvl>
    <w:lvl w:ilvl="4">
      <w:start w:val="1"/>
      <w:numFmt w:val="lowerLetter"/>
      <w:lvlText w:val="%5."/>
      <w:lvlJc w:val="left"/>
      <w:pPr>
        <w:ind w:left="3600" w:hanging="360"/>
      </w:pPr>
      <w:rPr>
        <w:rFonts w:ascii="Arial" w:cs="Arial" w:eastAsia="Arial" w:hAnsi="Arial"/>
        <w:b w:val="0"/>
        <w:i w:val="0"/>
        <w:smallCaps w:val="0"/>
        <w:strike w:val="0"/>
        <w:color w:val="000000"/>
        <w:sz w:val="22"/>
        <w:szCs w:val="22"/>
        <w:u w:val="none"/>
        <w:shd w:fill="auto" w:val="clear"/>
        <w:vertAlign w:val="baseline"/>
      </w:rPr>
    </w:lvl>
    <w:lvl w:ilvl="5">
      <w:start w:val="1"/>
      <w:numFmt w:val="lowerRoman"/>
      <w:lvlText w:val="%6."/>
      <w:lvlJc w:val="right"/>
      <w:pPr>
        <w:ind w:left="4320" w:hanging="360"/>
      </w:pPr>
      <w:rPr>
        <w:rFonts w:ascii="Arial" w:cs="Arial" w:eastAsia="Arial" w:hAnsi="Arial"/>
        <w:b w:val="0"/>
        <w:i w:val="0"/>
        <w:smallCaps w:val="0"/>
        <w:strike w:val="0"/>
        <w:color w:val="000000"/>
        <w:sz w:val="22"/>
        <w:szCs w:val="22"/>
        <w:u w:val="none"/>
        <w:shd w:fill="auto" w:val="clear"/>
        <w:vertAlign w:val="baseline"/>
      </w:rPr>
    </w:lvl>
    <w:lvl w:ilvl="6">
      <w:start w:val="1"/>
      <w:numFmt w:val="decimal"/>
      <w:lvlText w:val="%7."/>
      <w:lvlJc w:val="left"/>
      <w:pPr>
        <w:ind w:left="5040" w:hanging="360"/>
      </w:pPr>
      <w:rPr>
        <w:rFonts w:ascii="Arial" w:cs="Arial" w:eastAsia="Arial" w:hAnsi="Arial"/>
        <w:b w:val="0"/>
        <w:i w:val="0"/>
        <w:smallCaps w:val="0"/>
        <w:strike w:val="0"/>
        <w:color w:val="000000"/>
        <w:sz w:val="22"/>
        <w:szCs w:val="22"/>
        <w:u w:val="none"/>
        <w:shd w:fill="auto" w:val="clear"/>
        <w:vertAlign w:val="baseline"/>
      </w:rPr>
    </w:lvl>
    <w:lvl w:ilvl="7">
      <w:start w:val="1"/>
      <w:numFmt w:val="lowerLetter"/>
      <w:lvlText w:val="%8."/>
      <w:lvlJc w:val="left"/>
      <w:pPr>
        <w:ind w:left="5760" w:hanging="360"/>
      </w:pPr>
      <w:rPr>
        <w:rFonts w:ascii="Arial" w:cs="Arial" w:eastAsia="Arial" w:hAnsi="Arial"/>
        <w:b w:val="0"/>
        <w:i w:val="0"/>
        <w:smallCaps w:val="0"/>
        <w:strike w:val="0"/>
        <w:color w:val="000000"/>
        <w:sz w:val="22"/>
        <w:szCs w:val="22"/>
        <w:u w:val="none"/>
        <w:shd w:fill="auto" w:val="clear"/>
        <w:vertAlign w:val="baseline"/>
      </w:rPr>
    </w:lvl>
    <w:lvl w:ilvl="8">
      <w:start w:val="1"/>
      <w:numFmt w:val="lowerRoman"/>
      <w:lvlText w:val="%9."/>
      <w:lvlJc w:val="right"/>
      <w:pPr>
        <w:ind w:left="6480" w:hanging="360"/>
      </w:pPr>
      <w:rPr>
        <w:rFonts w:ascii="Arial" w:cs="Arial" w:eastAsia="Arial" w:hAnsi="Arial"/>
        <w:b w:val="0"/>
        <w:i w:val="0"/>
        <w:smallCaps w:val="0"/>
        <w:strike w:val="0"/>
        <w:color w:val="000000"/>
        <w:sz w:val="22"/>
        <w:szCs w:val="22"/>
        <w:u w:val="none"/>
        <w:shd w:fill="auto" w:val="clear"/>
        <w:vertAlign w:val="baseline"/>
      </w:rPr>
    </w:lvl>
  </w:abstractNum>
  <w:abstractNum w:abstractNumId="6">
    <w:lvl w:ilvl="0">
      <w:start w:val="5"/>
      <w:numFmt w:val="decimal"/>
      <w:lvlText w:val="%1."/>
      <w:lvlJc w:val="left"/>
      <w:pPr>
        <w:ind w:left="720" w:hanging="360"/>
      </w:pPr>
      <w:rPr>
        <w:rFonts w:ascii="Arial" w:cs="Arial" w:eastAsia="Arial" w:hAnsi="Arial"/>
        <w:b w:val="0"/>
        <w:i w:val="0"/>
        <w:smallCaps w:val="0"/>
        <w:strike w:val="0"/>
        <w:color w:val="000000"/>
        <w:sz w:val="22"/>
        <w:szCs w:val="22"/>
        <w:u w:val="none"/>
        <w:shd w:fill="auto" w:val="clear"/>
        <w:vertAlign w:val="baseline"/>
      </w:rPr>
    </w:lvl>
    <w:lvl w:ilvl="1">
      <w:start w:val="1"/>
      <w:numFmt w:val="lowerLetter"/>
      <w:lvlText w:val="%2."/>
      <w:lvlJc w:val="left"/>
      <w:pPr>
        <w:ind w:left="1440" w:hanging="360"/>
      </w:pPr>
      <w:rPr>
        <w:rFonts w:ascii="Arial" w:cs="Arial" w:eastAsia="Arial" w:hAnsi="Arial"/>
        <w:b w:val="0"/>
        <w:i w:val="0"/>
        <w:smallCaps w:val="0"/>
        <w:strike w:val="0"/>
        <w:color w:val="000000"/>
        <w:sz w:val="22"/>
        <w:szCs w:val="22"/>
        <w:u w:val="none"/>
        <w:shd w:fill="auto" w:val="clear"/>
        <w:vertAlign w:val="baseline"/>
      </w:rPr>
    </w:lvl>
    <w:lvl w:ilvl="2">
      <w:start w:val="1"/>
      <w:numFmt w:val="lowerRoman"/>
      <w:lvlText w:val="%3."/>
      <w:lvlJc w:val="right"/>
      <w:pPr>
        <w:ind w:left="2160" w:hanging="360"/>
      </w:pPr>
      <w:rPr>
        <w:rFonts w:ascii="Arial" w:cs="Arial" w:eastAsia="Arial" w:hAnsi="Arial"/>
        <w:b w:val="0"/>
        <w:i w:val="0"/>
        <w:smallCaps w:val="0"/>
        <w:strike w:val="0"/>
        <w:color w:val="000000"/>
        <w:sz w:val="22"/>
        <w:szCs w:val="22"/>
        <w:u w:val="none"/>
        <w:shd w:fill="auto" w:val="clear"/>
        <w:vertAlign w:val="baseline"/>
      </w:rPr>
    </w:lvl>
    <w:lvl w:ilvl="3">
      <w:start w:val="1"/>
      <w:numFmt w:val="decimal"/>
      <w:lvlText w:val="%4."/>
      <w:lvlJc w:val="left"/>
      <w:pPr>
        <w:ind w:left="2880" w:hanging="360"/>
      </w:pPr>
      <w:rPr>
        <w:rFonts w:ascii="Arial" w:cs="Arial" w:eastAsia="Arial" w:hAnsi="Arial"/>
        <w:b w:val="0"/>
        <w:i w:val="0"/>
        <w:smallCaps w:val="0"/>
        <w:strike w:val="0"/>
        <w:color w:val="000000"/>
        <w:sz w:val="22"/>
        <w:szCs w:val="22"/>
        <w:u w:val="none"/>
        <w:shd w:fill="auto" w:val="clear"/>
        <w:vertAlign w:val="baseline"/>
      </w:rPr>
    </w:lvl>
    <w:lvl w:ilvl="4">
      <w:start w:val="1"/>
      <w:numFmt w:val="lowerLetter"/>
      <w:lvlText w:val="%5."/>
      <w:lvlJc w:val="left"/>
      <w:pPr>
        <w:ind w:left="3600" w:hanging="360"/>
      </w:pPr>
      <w:rPr>
        <w:rFonts w:ascii="Arial" w:cs="Arial" w:eastAsia="Arial" w:hAnsi="Arial"/>
        <w:b w:val="0"/>
        <w:i w:val="0"/>
        <w:smallCaps w:val="0"/>
        <w:strike w:val="0"/>
        <w:color w:val="000000"/>
        <w:sz w:val="22"/>
        <w:szCs w:val="22"/>
        <w:u w:val="none"/>
        <w:shd w:fill="auto" w:val="clear"/>
        <w:vertAlign w:val="baseline"/>
      </w:rPr>
    </w:lvl>
    <w:lvl w:ilvl="5">
      <w:start w:val="1"/>
      <w:numFmt w:val="lowerRoman"/>
      <w:lvlText w:val="%6."/>
      <w:lvlJc w:val="right"/>
      <w:pPr>
        <w:ind w:left="4320" w:hanging="360"/>
      </w:pPr>
      <w:rPr>
        <w:rFonts w:ascii="Arial" w:cs="Arial" w:eastAsia="Arial" w:hAnsi="Arial"/>
        <w:b w:val="0"/>
        <w:i w:val="0"/>
        <w:smallCaps w:val="0"/>
        <w:strike w:val="0"/>
        <w:color w:val="000000"/>
        <w:sz w:val="22"/>
        <w:szCs w:val="22"/>
        <w:u w:val="none"/>
        <w:shd w:fill="auto" w:val="clear"/>
        <w:vertAlign w:val="baseline"/>
      </w:rPr>
    </w:lvl>
    <w:lvl w:ilvl="6">
      <w:start w:val="1"/>
      <w:numFmt w:val="decimal"/>
      <w:lvlText w:val="%7."/>
      <w:lvlJc w:val="left"/>
      <w:pPr>
        <w:ind w:left="5040" w:hanging="360"/>
      </w:pPr>
      <w:rPr>
        <w:rFonts w:ascii="Arial" w:cs="Arial" w:eastAsia="Arial" w:hAnsi="Arial"/>
        <w:b w:val="0"/>
        <w:i w:val="0"/>
        <w:smallCaps w:val="0"/>
        <w:strike w:val="0"/>
        <w:color w:val="000000"/>
        <w:sz w:val="22"/>
        <w:szCs w:val="22"/>
        <w:u w:val="none"/>
        <w:shd w:fill="auto" w:val="clear"/>
        <w:vertAlign w:val="baseline"/>
      </w:rPr>
    </w:lvl>
    <w:lvl w:ilvl="7">
      <w:start w:val="1"/>
      <w:numFmt w:val="lowerLetter"/>
      <w:lvlText w:val="%8."/>
      <w:lvlJc w:val="left"/>
      <w:pPr>
        <w:ind w:left="5760" w:hanging="360"/>
      </w:pPr>
      <w:rPr>
        <w:rFonts w:ascii="Arial" w:cs="Arial" w:eastAsia="Arial" w:hAnsi="Arial"/>
        <w:b w:val="0"/>
        <w:i w:val="0"/>
        <w:smallCaps w:val="0"/>
        <w:strike w:val="0"/>
        <w:color w:val="000000"/>
        <w:sz w:val="22"/>
        <w:szCs w:val="22"/>
        <w:u w:val="none"/>
        <w:shd w:fill="auto" w:val="clear"/>
        <w:vertAlign w:val="baseline"/>
      </w:rPr>
    </w:lvl>
    <w:lvl w:ilvl="8">
      <w:start w:val="1"/>
      <w:numFmt w:val="lowerRoman"/>
      <w:lvlText w:val="%9."/>
      <w:lvlJc w:val="right"/>
      <w:pPr>
        <w:ind w:left="6480" w:hanging="360"/>
      </w:pPr>
      <w:rPr>
        <w:rFonts w:ascii="Arial" w:cs="Arial" w:eastAsia="Arial" w:hAnsi="Arial"/>
        <w:b w:val="0"/>
        <w:i w:val="0"/>
        <w:smallCaps w:val="0"/>
        <w:strike w:val="0"/>
        <w:color w:val="000000"/>
        <w:sz w:val="22"/>
        <w:szCs w:val="22"/>
        <w:u w:val="none"/>
        <w:shd w:fill="auto" w:val="clear"/>
        <w:vertAlign w:val="baseline"/>
      </w:rPr>
    </w:lvl>
  </w:abstractNum>
  <w:abstractNum w:abstractNumId="7">
    <w:lvl w:ilvl="0">
      <w:start w:val="1"/>
      <w:numFmt w:val="decimal"/>
      <w:lvlText w:val="%1."/>
      <w:lvlJc w:val="left"/>
      <w:pPr>
        <w:ind w:left="720" w:hanging="360"/>
      </w:pPr>
      <w:rPr>
        <w:rFonts w:ascii="Arial" w:cs="Arial" w:eastAsia="Arial" w:hAnsi="Arial"/>
        <w:b w:val="0"/>
        <w:i w:val="0"/>
        <w:smallCaps w:val="0"/>
        <w:strike w:val="0"/>
        <w:color w:val="000000"/>
        <w:sz w:val="22"/>
        <w:szCs w:val="22"/>
        <w:u w:val="none"/>
        <w:shd w:fill="auto" w:val="clear"/>
        <w:vertAlign w:val="baseline"/>
      </w:rPr>
    </w:lvl>
    <w:lvl w:ilvl="1">
      <w:start w:val="1"/>
      <w:numFmt w:val="lowerLetter"/>
      <w:lvlText w:val="%2."/>
      <w:lvlJc w:val="left"/>
      <w:pPr>
        <w:ind w:left="1440" w:hanging="360"/>
      </w:pPr>
      <w:rPr>
        <w:rFonts w:ascii="Arial" w:cs="Arial" w:eastAsia="Arial" w:hAnsi="Arial"/>
        <w:b w:val="0"/>
        <w:i w:val="0"/>
        <w:smallCaps w:val="0"/>
        <w:strike w:val="0"/>
        <w:color w:val="000000"/>
        <w:sz w:val="22"/>
        <w:szCs w:val="22"/>
        <w:u w:val="none"/>
        <w:shd w:fill="auto" w:val="clear"/>
        <w:vertAlign w:val="baseline"/>
      </w:rPr>
    </w:lvl>
    <w:lvl w:ilvl="2">
      <w:start w:val="1"/>
      <w:numFmt w:val="lowerRoman"/>
      <w:lvlText w:val="%3."/>
      <w:lvlJc w:val="right"/>
      <w:pPr>
        <w:ind w:left="2160" w:hanging="360"/>
      </w:pPr>
      <w:rPr>
        <w:rFonts w:ascii="Arial" w:cs="Arial" w:eastAsia="Arial" w:hAnsi="Arial"/>
        <w:b w:val="0"/>
        <w:i w:val="0"/>
        <w:smallCaps w:val="0"/>
        <w:strike w:val="0"/>
        <w:color w:val="000000"/>
        <w:sz w:val="22"/>
        <w:szCs w:val="22"/>
        <w:u w:val="none"/>
        <w:shd w:fill="auto" w:val="clear"/>
        <w:vertAlign w:val="baseline"/>
      </w:rPr>
    </w:lvl>
    <w:lvl w:ilvl="3">
      <w:start w:val="1"/>
      <w:numFmt w:val="decimal"/>
      <w:lvlText w:val="%4."/>
      <w:lvlJc w:val="left"/>
      <w:pPr>
        <w:ind w:left="2880" w:hanging="360"/>
      </w:pPr>
      <w:rPr>
        <w:rFonts w:ascii="Arial" w:cs="Arial" w:eastAsia="Arial" w:hAnsi="Arial"/>
        <w:b w:val="0"/>
        <w:i w:val="0"/>
        <w:smallCaps w:val="0"/>
        <w:strike w:val="0"/>
        <w:color w:val="000000"/>
        <w:sz w:val="22"/>
        <w:szCs w:val="22"/>
        <w:u w:val="none"/>
        <w:shd w:fill="auto" w:val="clear"/>
        <w:vertAlign w:val="baseline"/>
      </w:rPr>
    </w:lvl>
    <w:lvl w:ilvl="4">
      <w:start w:val="1"/>
      <w:numFmt w:val="lowerLetter"/>
      <w:lvlText w:val="%5."/>
      <w:lvlJc w:val="left"/>
      <w:pPr>
        <w:ind w:left="3600" w:hanging="360"/>
      </w:pPr>
      <w:rPr>
        <w:rFonts w:ascii="Arial" w:cs="Arial" w:eastAsia="Arial" w:hAnsi="Arial"/>
        <w:b w:val="0"/>
        <w:i w:val="0"/>
        <w:smallCaps w:val="0"/>
        <w:strike w:val="0"/>
        <w:color w:val="000000"/>
        <w:sz w:val="22"/>
        <w:szCs w:val="22"/>
        <w:u w:val="none"/>
        <w:shd w:fill="auto" w:val="clear"/>
        <w:vertAlign w:val="baseline"/>
      </w:rPr>
    </w:lvl>
    <w:lvl w:ilvl="5">
      <w:start w:val="1"/>
      <w:numFmt w:val="lowerRoman"/>
      <w:lvlText w:val="%6."/>
      <w:lvlJc w:val="right"/>
      <w:pPr>
        <w:ind w:left="4320" w:hanging="360"/>
      </w:pPr>
      <w:rPr>
        <w:rFonts w:ascii="Arial" w:cs="Arial" w:eastAsia="Arial" w:hAnsi="Arial"/>
        <w:b w:val="0"/>
        <w:i w:val="0"/>
        <w:smallCaps w:val="0"/>
        <w:strike w:val="0"/>
        <w:color w:val="000000"/>
        <w:sz w:val="22"/>
        <w:szCs w:val="22"/>
        <w:u w:val="none"/>
        <w:shd w:fill="auto" w:val="clear"/>
        <w:vertAlign w:val="baseline"/>
      </w:rPr>
    </w:lvl>
    <w:lvl w:ilvl="6">
      <w:start w:val="1"/>
      <w:numFmt w:val="decimal"/>
      <w:lvlText w:val="%7."/>
      <w:lvlJc w:val="left"/>
      <w:pPr>
        <w:ind w:left="5040" w:hanging="360"/>
      </w:pPr>
      <w:rPr>
        <w:rFonts w:ascii="Arial" w:cs="Arial" w:eastAsia="Arial" w:hAnsi="Arial"/>
        <w:b w:val="0"/>
        <w:i w:val="0"/>
        <w:smallCaps w:val="0"/>
        <w:strike w:val="0"/>
        <w:color w:val="000000"/>
        <w:sz w:val="22"/>
        <w:szCs w:val="22"/>
        <w:u w:val="none"/>
        <w:shd w:fill="auto" w:val="clear"/>
        <w:vertAlign w:val="baseline"/>
      </w:rPr>
    </w:lvl>
    <w:lvl w:ilvl="7">
      <w:start w:val="1"/>
      <w:numFmt w:val="lowerLetter"/>
      <w:lvlText w:val="%8."/>
      <w:lvlJc w:val="left"/>
      <w:pPr>
        <w:ind w:left="5760" w:hanging="360"/>
      </w:pPr>
      <w:rPr>
        <w:rFonts w:ascii="Arial" w:cs="Arial" w:eastAsia="Arial" w:hAnsi="Arial"/>
        <w:b w:val="0"/>
        <w:i w:val="0"/>
        <w:smallCaps w:val="0"/>
        <w:strike w:val="0"/>
        <w:color w:val="000000"/>
        <w:sz w:val="22"/>
        <w:szCs w:val="22"/>
        <w:u w:val="none"/>
        <w:shd w:fill="auto" w:val="clear"/>
        <w:vertAlign w:val="baseline"/>
      </w:rPr>
    </w:lvl>
    <w:lvl w:ilvl="8">
      <w:start w:val="1"/>
      <w:numFmt w:val="lowerRoman"/>
      <w:lvlText w:val="%9."/>
      <w:lvlJc w:val="right"/>
      <w:pPr>
        <w:ind w:left="6480" w:hanging="360"/>
      </w:pPr>
      <w:rPr>
        <w:rFonts w:ascii="Arial" w:cs="Arial" w:eastAsia="Arial" w:hAnsi="Arial"/>
        <w:b w:val="0"/>
        <w:i w:val="0"/>
        <w:smallCaps w:val="0"/>
        <w:strike w:val="0"/>
        <w:color w:val="000000"/>
        <w:sz w:val="22"/>
        <w:szCs w:val="22"/>
        <w:u w:val="none"/>
        <w:shd w:fill="auto" w:val="clear"/>
        <w:vertAlign w:val="baseline"/>
      </w:rPr>
    </w:lvl>
  </w:abstractNum>
  <w:abstractNum w:abstractNumId="8">
    <w:lvl w:ilvl="0">
      <w:start w:val="1"/>
      <w:numFmt w:val="bullet"/>
      <w:lvlText w:val="-"/>
      <w:lvlJc w:val="left"/>
      <w:pPr>
        <w:ind w:left="720" w:hanging="360"/>
      </w:pPr>
      <w:rPr>
        <w:rFonts w:ascii="Arial" w:cs="Arial" w:eastAsia="Arial" w:hAnsi="Arial"/>
        <w:b w:val="0"/>
        <w:i w:val="0"/>
        <w:smallCaps w:val="0"/>
        <w:strike w:val="0"/>
        <w:color w:val="000000"/>
        <w:sz w:val="22"/>
        <w:szCs w:val="22"/>
        <w:u w:val="none"/>
        <w:shd w:fill="auto" w:val="clear"/>
        <w:vertAlign w:val="baseline"/>
      </w:rPr>
    </w:lvl>
    <w:lvl w:ilvl="1">
      <w:start w:val="1"/>
      <w:numFmt w:val="lowerLetter"/>
      <w:lvlText w:val="%2."/>
      <w:lvlJc w:val="left"/>
      <w:pPr>
        <w:ind w:left="1440" w:hanging="360"/>
      </w:pPr>
      <w:rPr>
        <w:rFonts w:ascii="Arial" w:cs="Arial" w:eastAsia="Arial" w:hAnsi="Arial"/>
        <w:b w:val="0"/>
        <w:i w:val="0"/>
        <w:smallCaps w:val="0"/>
        <w:strike w:val="0"/>
        <w:color w:val="000000"/>
        <w:sz w:val="22"/>
        <w:szCs w:val="22"/>
        <w:u w:val="none"/>
        <w:shd w:fill="auto" w:val="clear"/>
        <w:vertAlign w:val="baseline"/>
      </w:rPr>
    </w:lvl>
    <w:lvl w:ilvl="2">
      <w:start w:val="1"/>
      <w:numFmt w:val="lowerRoman"/>
      <w:lvlText w:val="%3."/>
      <w:lvlJc w:val="right"/>
      <w:pPr>
        <w:ind w:left="2160" w:hanging="360"/>
      </w:pPr>
      <w:rPr>
        <w:rFonts w:ascii="Arial" w:cs="Arial" w:eastAsia="Arial" w:hAnsi="Arial"/>
        <w:b w:val="0"/>
        <w:i w:val="0"/>
        <w:smallCaps w:val="0"/>
        <w:strike w:val="0"/>
        <w:color w:val="000000"/>
        <w:sz w:val="22"/>
        <w:szCs w:val="22"/>
        <w:u w:val="none"/>
        <w:shd w:fill="auto" w:val="clear"/>
        <w:vertAlign w:val="baseline"/>
      </w:rPr>
    </w:lvl>
    <w:lvl w:ilvl="3">
      <w:start w:val="1"/>
      <w:numFmt w:val="decimal"/>
      <w:lvlText w:val="%4."/>
      <w:lvlJc w:val="left"/>
      <w:pPr>
        <w:ind w:left="2880" w:hanging="360"/>
      </w:pPr>
      <w:rPr>
        <w:rFonts w:ascii="Arial" w:cs="Arial" w:eastAsia="Arial" w:hAnsi="Arial"/>
        <w:b w:val="0"/>
        <w:i w:val="0"/>
        <w:smallCaps w:val="0"/>
        <w:strike w:val="0"/>
        <w:color w:val="000000"/>
        <w:sz w:val="22"/>
        <w:szCs w:val="22"/>
        <w:u w:val="none"/>
        <w:shd w:fill="auto" w:val="clear"/>
        <w:vertAlign w:val="baseline"/>
      </w:rPr>
    </w:lvl>
    <w:lvl w:ilvl="4">
      <w:start w:val="1"/>
      <w:numFmt w:val="lowerLetter"/>
      <w:lvlText w:val="%5."/>
      <w:lvlJc w:val="left"/>
      <w:pPr>
        <w:ind w:left="3600" w:hanging="360"/>
      </w:pPr>
      <w:rPr>
        <w:rFonts w:ascii="Arial" w:cs="Arial" w:eastAsia="Arial" w:hAnsi="Arial"/>
        <w:b w:val="0"/>
        <w:i w:val="0"/>
        <w:smallCaps w:val="0"/>
        <w:strike w:val="0"/>
        <w:color w:val="000000"/>
        <w:sz w:val="22"/>
        <w:szCs w:val="22"/>
        <w:u w:val="none"/>
        <w:shd w:fill="auto" w:val="clear"/>
        <w:vertAlign w:val="baseline"/>
      </w:rPr>
    </w:lvl>
    <w:lvl w:ilvl="5">
      <w:start w:val="1"/>
      <w:numFmt w:val="lowerRoman"/>
      <w:lvlText w:val="%6."/>
      <w:lvlJc w:val="right"/>
      <w:pPr>
        <w:ind w:left="4320" w:hanging="360"/>
      </w:pPr>
      <w:rPr>
        <w:rFonts w:ascii="Arial" w:cs="Arial" w:eastAsia="Arial" w:hAnsi="Arial"/>
        <w:b w:val="0"/>
        <w:i w:val="0"/>
        <w:smallCaps w:val="0"/>
        <w:strike w:val="0"/>
        <w:color w:val="000000"/>
        <w:sz w:val="22"/>
        <w:szCs w:val="22"/>
        <w:u w:val="none"/>
        <w:shd w:fill="auto" w:val="clear"/>
        <w:vertAlign w:val="baseline"/>
      </w:rPr>
    </w:lvl>
    <w:lvl w:ilvl="6">
      <w:start w:val="1"/>
      <w:numFmt w:val="decimal"/>
      <w:lvlText w:val="%7."/>
      <w:lvlJc w:val="left"/>
      <w:pPr>
        <w:ind w:left="5040" w:hanging="360"/>
      </w:pPr>
      <w:rPr>
        <w:rFonts w:ascii="Arial" w:cs="Arial" w:eastAsia="Arial" w:hAnsi="Arial"/>
        <w:b w:val="0"/>
        <w:i w:val="0"/>
        <w:smallCaps w:val="0"/>
        <w:strike w:val="0"/>
        <w:color w:val="000000"/>
        <w:sz w:val="22"/>
        <w:szCs w:val="22"/>
        <w:u w:val="none"/>
        <w:shd w:fill="auto" w:val="clear"/>
        <w:vertAlign w:val="baseline"/>
      </w:rPr>
    </w:lvl>
    <w:lvl w:ilvl="7">
      <w:start w:val="1"/>
      <w:numFmt w:val="lowerLetter"/>
      <w:lvlText w:val="%8."/>
      <w:lvlJc w:val="left"/>
      <w:pPr>
        <w:ind w:left="5760" w:hanging="360"/>
      </w:pPr>
      <w:rPr>
        <w:rFonts w:ascii="Arial" w:cs="Arial" w:eastAsia="Arial" w:hAnsi="Arial"/>
        <w:b w:val="0"/>
        <w:i w:val="0"/>
        <w:smallCaps w:val="0"/>
        <w:strike w:val="0"/>
        <w:color w:val="000000"/>
        <w:sz w:val="22"/>
        <w:szCs w:val="22"/>
        <w:u w:val="none"/>
        <w:shd w:fill="auto" w:val="clear"/>
        <w:vertAlign w:val="baseline"/>
      </w:rPr>
    </w:lvl>
    <w:lvl w:ilvl="8">
      <w:start w:val="1"/>
      <w:numFmt w:val="lowerRoman"/>
      <w:lvlText w:val="%9."/>
      <w:lvlJc w:val="right"/>
      <w:pPr>
        <w:ind w:left="6480" w:hanging="360"/>
      </w:pPr>
      <w:rPr>
        <w:rFonts w:ascii="Arial" w:cs="Arial" w:eastAsia="Arial" w:hAnsi="Arial"/>
        <w:b w:val="0"/>
        <w:i w:val="0"/>
        <w:smallCaps w:val="0"/>
        <w:strike w:val="0"/>
        <w:color w:val="000000"/>
        <w:sz w:val="22"/>
        <w:szCs w:val="22"/>
        <w:u w:val="none"/>
        <w:shd w:fill="auto" w:val="clear"/>
        <w:vertAlign w:val="baseline"/>
      </w:rPr>
    </w:lvl>
  </w:abstractNum>
  <w:abstractNum w:abstractNumId="9">
    <w:lvl w:ilvl="0">
      <w:start w:val="2"/>
      <w:numFmt w:val="decimal"/>
      <w:lvlText w:val="%1."/>
      <w:lvlJc w:val="left"/>
      <w:pPr>
        <w:ind w:left="720" w:hanging="360"/>
      </w:pPr>
      <w:rPr>
        <w:rFonts w:ascii="Arial" w:cs="Arial" w:eastAsia="Arial" w:hAnsi="Arial"/>
        <w:b w:val="0"/>
        <w:i w:val="0"/>
        <w:smallCaps w:val="0"/>
        <w:strike w:val="0"/>
        <w:color w:val="000000"/>
        <w:sz w:val="22"/>
        <w:szCs w:val="22"/>
        <w:u w:val="none"/>
        <w:shd w:fill="auto" w:val="clear"/>
        <w:vertAlign w:val="baseline"/>
      </w:rPr>
    </w:lvl>
    <w:lvl w:ilvl="1">
      <w:start w:val="1"/>
      <w:numFmt w:val="lowerLetter"/>
      <w:lvlText w:val="%2."/>
      <w:lvlJc w:val="left"/>
      <w:pPr>
        <w:ind w:left="1440" w:hanging="360"/>
      </w:pPr>
      <w:rPr>
        <w:rFonts w:ascii="Arial" w:cs="Arial" w:eastAsia="Arial" w:hAnsi="Arial"/>
        <w:b w:val="0"/>
        <w:i w:val="0"/>
        <w:smallCaps w:val="0"/>
        <w:strike w:val="0"/>
        <w:color w:val="000000"/>
        <w:sz w:val="22"/>
        <w:szCs w:val="22"/>
        <w:u w:val="none"/>
        <w:shd w:fill="auto" w:val="clear"/>
        <w:vertAlign w:val="baseline"/>
      </w:rPr>
    </w:lvl>
    <w:lvl w:ilvl="2">
      <w:start w:val="1"/>
      <w:numFmt w:val="lowerRoman"/>
      <w:lvlText w:val="%3."/>
      <w:lvlJc w:val="right"/>
      <w:pPr>
        <w:ind w:left="2160" w:hanging="360"/>
      </w:pPr>
      <w:rPr>
        <w:rFonts w:ascii="Arial" w:cs="Arial" w:eastAsia="Arial" w:hAnsi="Arial"/>
        <w:b w:val="0"/>
        <w:i w:val="0"/>
        <w:smallCaps w:val="0"/>
        <w:strike w:val="0"/>
        <w:color w:val="000000"/>
        <w:sz w:val="22"/>
        <w:szCs w:val="22"/>
        <w:u w:val="none"/>
        <w:shd w:fill="auto" w:val="clear"/>
        <w:vertAlign w:val="baseline"/>
      </w:rPr>
    </w:lvl>
    <w:lvl w:ilvl="3">
      <w:start w:val="1"/>
      <w:numFmt w:val="decimal"/>
      <w:lvlText w:val="%4."/>
      <w:lvlJc w:val="left"/>
      <w:pPr>
        <w:ind w:left="2880" w:hanging="360"/>
      </w:pPr>
      <w:rPr>
        <w:rFonts w:ascii="Arial" w:cs="Arial" w:eastAsia="Arial" w:hAnsi="Arial"/>
        <w:b w:val="0"/>
        <w:i w:val="0"/>
        <w:smallCaps w:val="0"/>
        <w:strike w:val="0"/>
        <w:color w:val="000000"/>
        <w:sz w:val="22"/>
        <w:szCs w:val="22"/>
        <w:u w:val="none"/>
        <w:shd w:fill="auto" w:val="clear"/>
        <w:vertAlign w:val="baseline"/>
      </w:rPr>
    </w:lvl>
    <w:lvl w:ilvl="4">
      <w:start w:val="1"/>
      <w:numFmt w:val="lowerLetter"/>
      <w:lvlText w:val="%5."/>
      <w:lvlJc w:val="left"/>
      <w:pPr>
        <w:ind w:left="3600" w:hanging="360"/>
      </w:pPr>
      <w:rPr>
        <w:rFonts w:ascii="Arial" w:cs="Arial" w:eastAsia="Arial" w:hAnsi="Arial"/>
        <w:b w:val="0"/>
        <w:i w:val="0"/>
        <w:smallCaps w:val="0"/>
        <w:strike w:val="0"/>
        <w:color w:val="000000"/>
        <w:sz w:val="22"/>
        <w:szCs w:val="22"/>
        <w:u w:val="none"/>
        <w:shd w:fill="auto" w:val="clear"/>
        <w:vertAlign w:val="baseline"/>
      </w:rPr>
    </w:lvl>
    <w:lvl w:ilvl="5">
      <w:start w:val="1"/>
      <w:numFmt w:val="lowerRoman"/>
      <w:lvlText w:val="%6."/>
      <w:lvlJc w:val="right"/>
      <w:pPr>
        <w:ind w:left="4320" w:hanging="360"/>
      </w:pPr>
      <w:rPr>
        <w:rFonts w:ascii="Arial" w:cs="Arial" w:eastAsia="Arial" w:hAnsi="Arial"/>
        <w:b w:val="0"/>
        <w:i w:val="0"/>
        <w:smallCaps w:val="0"/>
        <w:strike w:val="0"/>
        <w:color w:val="000000"/>
        <w:sz w:val="22"/>
        <w:szCs w:val="22"/>
        <w:u w:val="none"/>
        <w:shd w:fill="auto" w:val="clear"/>
        <w:vertAlign w:val="baseline"/>
      </w:rPr>
    </w:lvl>
    <w:lvl w:ilvl="6">
      <w:start w:val="1"/>
      <w:numFmt w:val="decimal"/>
      <w:lvlText w:val="%7."/>
      <w:lvlJc w:val="left"/>
      <w:pPr>
        <w:ind w:left="5040" w:hanging="360"/>
      </w:pPr>
      <w:rPr>
        <w:rFonts w:ascii="Arial" w:cs="Arial" w:eastAsia="Arial" w:hAnsi="Arial"/>
        <w:b w:val="0"/>
        <w:i w:val="0"/>
        <w:smallCaps w:val="0"/>
        <w:strike w:val="0"/>
        <w:color w:val="000000"/>
        <w:sz w:val="22"/>
        <w:szCs w:val="22"/>
        <w:u w:val="none"/>
        <w:shd w:fill="auto" w:val="clear"/>
        <w:vertAlign w:val="baseline"/>
      </w:rPr>
    </w:lvl>
    <w:lvl w:ilvl="7">
      <w:start w:val="1"/>
      <w:numFmt w:val="lowerLetter"/>
      <w:lvlText w:val="%8."/>
      <w:lvlJc w:val="left"/>
      <w:pPr>
        <w:ind w:left="5760" w:hanging="360"/>
      </w:pPr>
      <w:rPr>
        <w:rFonts w:ascii="Arial" w:cs="Arial" w:eastAsia="Arial" w:hAnsi="Arial"/>
        <w:b w:val="0"/>
        <w:i w:val="0"/>
        <w:smallCaps w:val="0"/>
        <w:strike w:val="0"/>
        <w:color w:val="000000"/>
        <w:sz w:val="22"/>
        <w:szCs w:val="22"/>
        <w:u w:val="none"/>
        <w:shd w:fill="auto" w:val="clear"/>
        <w:vertAlign w:val="baseline"/>
      </w:rPr>
    </w:lvl>
    <w:lvl w:ilvl="8">
      <w:start w:val="1"/>
      <w:numFmt w:val="lowerRoman"/>
      <w:lvlText w:val="%9."/>
      <w:lvlJc w:val="right"/>
      <w:pPr>
        <w:ind w:left="6480" w:hanging="360"/>
      </w:pPr>
      <w:rPr>
        <w:rFonts w:ascii="Arial" w:cs="Arial" w:eastAsia="Arial" w:hAnsi="Arial"/>
        <w:b w:val="0"/>
        <w:i w:val="0"/>
        <w:smallCaps w:val="0"/>
        <w:strike w:val="0"/>
        <w:color w:val="000000"/>
        <w:sz w:val="22"/>
        <w:szCs w:val="22"/>
        <w:u w:val="none"/>
        <w:shd w:fill="auto" w:val="clear"/>
        <w:vertAlign w:val="baseline"/>
      </w:rPr>
    </w:lvl>
  </w:abstractNum>
  <w:abstractNum w:abstractNumId="10">
    <w:lvl w:ilvl="0">
      <w:start w:val="1"/>
      <w:numFmt w:val="decimal"/>
      <w:lvlText w:val="%1."/>
      <w:lvlJc w:val="left"/>
      <w:pPr>
        <w:ind w:left="720" w:hanging="360"/>
      </w:pPr>
      <w:rPr>
        <w:rFonts w:ascii="Arial" w:cs="Arial" w:eastAsia="Arial" w:hAnsi="Arial"/>
        <w:b w:val="0"/>
        <w:i w:val="0"/>
        <w:smallCaps w:val="0"/>
        <w:strike w:val="0"/>
        <w:color w:val="000000"/>
        <w:sz w:val="22"/>
        <w:szCs w:val="22"/>
        <w:u w:val="none"/>
        <w:shd w:fill="auto" w:val="clear"/>
        <w:vertAlign w:val="baseline"/>
      </w:rPr>
    </w:lvl>
    <w:lvl w:ilvl="1">
      <w:start w:val="1"/>
      <w:numFmt w:val="lowerLetter"/>
      <w:lvlText w:val="%2."/>
      <w:lvlJc w:val="left"/>
      <w:pPr>
        <w:ind w:left="1440" w:hanging="360"/>
      </w:pPr>
      <w:rPr>
        <w:rFonts w:ascii="Arial" w:cs="Arial" w:eastAsia="Arial" w:hAnsi="Arial"/>
        <w:b w:val="0"/>
        <w:i w:val="0"/>
        <w:smallCaps w:val="0"/>
        <w:strike w:val="0"/>
        <w:color w:val="000000"/>
        <w:sz w:val="22"/>
        <w:szCs w:val="22"/>
        <w:u w:val="none"/>
        <w:shd w:fill="auto" w:val="clear"/>
        <w:vertAlign w:val="baseline"/>
      </w:rPr>
    </w:lvl>
    <w:lvl w:ilvl="2">
      <w:start w:val="1"/>
      <w:numFmt w:val="lowerRoman"/>
      <w:lvlText w:val="%3."/>
      <w:lvlJc w:val="right"/>
      <w:pPr>
        <w:ind w:left="2160" w:hanging="360"/>
      </w:pPr>
      <w:rPr>
        <w:rFonts w:ascii="Arial" w:cs="Arial" w:eastAsia="Arial" w:hAnsi="Arial"/>
        <w:b w:val="0"/>
        <w:i w:val="0"/>
        <w:smallCaps w:val="0"/>
        <w:strike w:val="0"/>
        <w:color w:val="000000"/>
        <w:sz w:val="22"/>
        <w:szCs w:val="22"/>
        <w:u w:val="none"/>
        <w:shd w:fill="auto" w:val="clear"/>
        <w:vertAlign w:val="baseline"/>
      </w:rPr>
    </w:lvl>
    <w:lvl w:ilvl="3">
      <w:start w:val="1"/>
      <w:numFmt w:val="decimal"/>
      <w:lvlText w:val="%4."/>
      <w:lvlJc w:val="left"/>
      <w:pPr>
        <w:ind w:left="2880" w:hanging="360"/>
      </w:pPr>
      <w:rPr>
        <w:rFonts w:ascii="Arial" w:cs="Arial" w:eastAsia="Arial" w:hAnsi="Arial"/>
        <w:b w:val="0"/>
        <w:i w:val="0"/>
        <w:smallCaps w:val="0"/>
        <w:strike w:val="0"/>
        <w:color w:val="000000"/>
        <w:sz w:val="22"/>
        <w:szCs w:val="22"/>
        <w:u w:val="none"/>
        <w:shd w:fill="auto" w:val="clear"/>
        <w:vertAlign w:val="baseline"/>
      </w:rPr>
    </w:lvl>
    <w:lvl w:ilvl="4">
      <w:start w:val="1"/>
      <w:numFmt w:val="lowerLetter"/>
      <w:lvlText w:val="%5."/>
      <w:lvlJc w:val="left"/>
      <w:pPr>
        <w:ind w:left="3600" w:hanging="360"/>
      </w:pPr>
      <w:rPr>
        <w:rFonts w:ascii="Arial" w:cs="Arial" w:eastAsia="Arial" w:hAnsi="Arial"/>
        <w:b w:val="0"/>
        <w:i w:val="0"/>
        <w:smallCaps w:val="0"/>
        <w:strike w:val="0"/>
        <w:color w:val="000000"/>
        <w:sz w:val="22"/>
        <w:szCs w:val="22"/>
        <w:u w:val="none"/>
        <w:shd w:fill="auto" w:val="clear"/>
        <w:vertAlign w:val="baseline"/>
      </w:rPr>
    </w:lvl>
    <w:lvl w:ilvl="5">
      <w:start w:val="1"/>
      <w:numFmt w:val="lowerRoman"/>
      <w:lvlText w:val="%6."/>
      <w:lvlJc w:val="right"/>
      <w:pPr>
        <w:ind w:left="4320" w:hanging="360"/>
      </w:pPr>
      <w:rPr>
        <w:rFonts w:ascii="Arial" w:cs="Arial" w:eastAsia="Arial" w:hAnsi="Arial"/>
        <w:b w:val="0"/>
        <w:i w:val="0"/>
        <w:smallCaps w:val="0"/>
        <w:strike w:val="0"/>
        <w:color w:val="000000"/>
        <w:sz w:val="22"/>
        <w:szCs w:val="22"/>
        <w:u w:val="none"/>
        <w:shd w:fill="auto" w:val="clear"/>
        <w:vertAlign w:val="baseline"/>
      </w:rPr>
    </w:lvl>
    <w:lvl w:ilvl="6">
      <w:start w:val="1"/>
      <w:numFmt w:val="decimal"/>
      <w:lvlText w:val="%7."/>
      <w:lvlJc w:val="left"/>
      <w:pPr>
        <w:ind w:left="5040" w:hanging="360"/>
      </w:pPr>
      <w:rPr>
        <w:rFonts w:ascii="Arial" w:cs="Arial" w:eastAsia="Arial" w:hAnsi="Arial"/>
        <w:b w:val="0"/>
        <w:i w:val="0"/>
        <w:smallCaps w:val="0"/>
        <w:strike w:val="0"/>
        <w:color w:val="000000"/>
        <w:sz w:val="22"/>
        <w:szCs w:val="22"/>
        <w:u w:val="none"/>
        <w:shd w:fill="auto" w:val="clear"/>
        <w:vertAlign w:val="baseline"/>
      </w:rPr>
    </w:lvl>
    <w:lvl w:ilvl="7">
      <w:start w:val="1"/>
      <w:numFmt w:val="lowerLetter"/>
      <w:lvlText w:val="%8."/>
      <w:lvlJc w:val="left"/>
      <w:pPr>
        <w:ind w:left="5760" w:hanging="360"/>
      </w:pPr>
      <w:rPr>
        <w:rFonts w:ascii="Arial" w:cs="Arial" w:eastAsia="Arial" w:hAnsi="Arial"/>
        <w:b w:val="0"/>
        <w:i w:val="0"/>
        <w:smallCaps w:val="0"/>
        <w:strike w:val="0"/>
        <w:color w:val="000000"/>
        <w:sz w:val="22"/>
        <w:szCs w:val="22"/>
        <w:u w:val="none"/>
        <w:shd w:fill="auto" w:val="clear"/>
        <w:vertAlign w:val="baseline"/>
      </w:rPr>
    </w:lvl>
    <w:lvl w:ilvl="8">
      <w:start w:val="1"/>
      <w:numFmt w:val="lowerRoman"/>
      <w:lvlText w:val="%9."/>
      <w:lvlJc w:val="right"/>
      <w:pPr>
        <w:ind w:left="6480" w:hanging="360"/>
      </w:pPr>
      <w:rPr>
        <w:rFonts w:ascii="Arial" w:cs="Arial" w:eastAsia="Arial" w:hAnsi="Arial"/>
        <w:b w:val="0"/>
        <w:i w:val="0"/>
        <w:smallCaps w:val="0"/>
        <w:strike w:val="0"/>
        <w:color w:val="000000"/>
        <w:sz w:val="22"/>
        <w:szCs w:val="22"/>
        <w:u w:val="none"/>
        <w:shd w:fill="auto" w:val="clear"/>
        <w:vertAlign w:val="baseline"/>
      </w:rPr>
    </w:lvl>
  </w:abstractNum>
  <w:abstractNum w:abstractNumId="11">
    <w:lvl w:ilvl="0">
      <w:start w:val="1"/>
      <w:numFmt w:val="bullet"/>
      <w:lvlText w:val="-"/>
      <w:lvlJc w:val="left"/>
      <w:pPr>
        <w:ind w:left="720" w:hanging="360"/>
      </w:pPr>
      <w:rPr>
        <w:rFonts w:ascii="Arial" w:cs="Arial" w:eastAsia="Arial" w:hAnsi="Arial"/>
        <w:b w:val="0"/>
        <w:i w:val="0"/>
        <w:smallCaps w:val="0"/>
        <w:strike w:val="0"/>
        <w:color w:val="000000"/>
        <w:sz w:val="22"/>
        <w:szCs w:val="22"/>
        <w:u w:val="none"/>
        <w:shd w:fill="auto" w:val="clear"/>
        <w:vertAlign w:val="baseline"/>
      </w:rPr>
    </w:lvl>
    <w:lvl w:ilvl="1">
      <w:start w:val="1"/>
      <w:numFmt w:val="lowerLetter"/>
      <w:lvlText w:val="%2."/>
      <w:lvlJc w:val="left"/>
      <w:pPr>
        <w:ind w:left="1440" w:hanging="360"/>
      </w:pPr>
      <w:rPr>
        <w:rFonts w:ascii="Arial" w:cs="Arial" w:eastAsia="Arial" w:hAnsi="Arial"/>
        <w:b w:val="0"/>
        <w:i w:val="0"/>
        <w:smallCaps w:val="0"/>
        <w:strike w:val="0"/>
        <w:color w:val="000000"/>
        <w:sz w:val="22"/>
        <w:szCs w:val="22"/>
        <w:u w:val="none"/>
        <w:shd w:fill="auto" w:val="clear"/>
        <w:vertAlign w:val="baseline"/>
      </w:rPr>
    </w:lvl>
    <w:lvl w:ilvl="2">
      <w:start w:val="1"/>
      <w:numFmt w:val="lowerRoman"/>
      <w:lvlText w:val="%3."/>
      <w:lvlJc w:val="right"/>
      <w:pPr>
        <w:ind w:left="2160" w:hanging="360"/>
      </w:pPr>
      <w:rPr>
        <w:rFonts w:ascii="Arial" w:cs="Arial" w:eastAsia="Arial" w:hAnsi="Arial"/>
        <w:b w:val="0"/>
        <w:i w:val="0"/>
        <w:smallCaps w:val="0"/>
        <w:strike w:val="0"/>
        <w:color w:val="000000"/>
        <w:sz w:val="22"/>
        <w:szCs w:val="22"/>
        <w:u w:val="none"/>
        <w:shd w:fill="auto" w:val="clear"/>
        <w:vertAlign w:val="baseline"/>
      </w:rPr>
    </w:lvl>
    <w:lvl w:ilvl="3">
      <w:start w:val="1"/>
      <w:numFmt w:val="decimal"/>
      <w:lvlText w:val="%4."/>
      <w:lvlJc w:val="left"/>
      <w:pPr>
        <w:ind w:left="2880" w:hanging="360"/>
      </w:pPr>
      <w:rPr>
        <w:rFonts w:ascii="Arial" w:cs="Arial" w:eastAsia="Arial" w:hAnsi="Arial"/>
        <w:b w:val="0"/>
        <w:i w:val="0"/>
        <w:smallCaps w:val="0"/>
        <w:strike w:val="0"/>
        <w:color w:val="000000"/>
        <w:sz w:val="22"/>
        <w:szCs w:val="22"/>
        <w:u w:val="none"/>
        <w:shd w:fill="auto" w:val="clear"/>
        <w:vertAlign w:val="baseline"/>
      </w:rPr>
    </w:lvl>
    <w:lvl w:ilvl="4">
      <w:start w:val="1"/>
      <w:numFmt w:val="lowerLetter"/>
      <w:lvlText w:val="%5."/>
      <w:lvlJc w:val="left"/>
      <w:pPr>
        <w:ind w:left="3600" w:hanging="360"/>
      </w:pPr>
      <w:rPr>
        <w:rFonts w:ascii="Arial" w:cs="Arial" w:eastAsia="Arial" w:hAnsi="Arial"/>
        <w:b w:val="0"/>
        <w:i w:val="0"/>
        <w:smallCaps w:val="0"/>
        <w:strike w:val="0"/>
        <w:color w:val="000000"/>
        <w:sz w:val="22"/>
        <w:szCs w:val="22"/>
        <w:u w:val="none"/>
        <w:shd w:fill="auto" w:val="clear"/>
        <w:vertAlign w:val="baseline"/>
      </w:rPr>
    </w:lvl>
    <w:lvl w:ilvl="5">
      <w:start w:val="1"/>
      <w:numFmt w:val="lowerRoman"/>
      <w:lvlText w:val="%6."/>
      <w:lvlJc w:val="right"/>
      <w:pPr>
        <w:ind w:left="4320" w:hanging="360"/>
      </w:pPr>
      <w:rPr>
        <w:rFonts w:ascii="Arial" w:cs="Arial" w:eastAsia="Arial" w:hAnsi="Arial"/>
        <w:b w:val="0"/>
        <w:i w:val="0"/>
        <w:smallCaps w:val="0"/>
        <w:strike w:val="0"/>
        <w:color w:val="000000"/>
        <w:sz w:val="22"/>
        <w:szCs w:val="22"/>
        <w:u w:val="none"/>
        <w:shd w:fill="auto" w:val="clear"/>
        <w:vertAlign w:val="baseline"/>
      </w:rPr>
    </w:lvl>
    <w:lvl w:ilvl="6">
      <w:start w:val="1"/>
      <w:numFmt w:val="decimal"/>
      <w:lvlText w:val="%7."/>
      <w:lvlJc w:val="left"/>
      <w:pPr>
        <w:ind w:left="5040" w:hanging="360"/>
      </w:pPr>
      <w:rPr>
        <w:rFonts w:ascii="Arial" w:cs="Arial" w:eastAsia="Arial" w:hAnsi="Arial"/>
        <w:b w:val="0"/>
        <w:i w:val="0"/>
        <w:smallCaps w:val="0"/>
        <w:strike w:val="0"/>
        <w:color w:val="000000"/>
        <w:sz w:val="22"/>
        <w:szCs w:val="22"/>
        <w:u w:val="none"/>
        <w:shd w:fill="auto" w:val="clear"/>
        <w:vertAlign w:val="baseline"/>
      </w:rPr>
    </w:lvl>
    <w:lvl w:ilvl="7">
      <w:start w:val="1"/>
      <w:numFmt w:val="lowerLetter"/>
      <w:lvlText w:val="%8."/>
      <w:lvlJc w:val="left"/>
      <w:pPr>
        <w:ind w:left="5760" w:hanging="360"/>
      </w:pPr>
      <w:rPr>
        <w:rFonts w:ascii="Arial" w:cs="Arial" w:eastAsia="Arial" w:hAnsi="Arial"/>
        <w:b w:val="0"/>
        <w:i w:val="0"/>
        <w:smallCaps w:val="0"/>
        <w:strike w:val="0"/>
        <w:color w:val="000000"/>
        <w:sz w:val="22"/>
        <w:szCs w:val="22"/>
        <w:u w:val="none"/>
        <w:shd w:fill="auto" w:val="clear"/>
        <w:vertAlign w:val="baseline"/>
      </w:rPr>
    </w:lvl>
    <w:lvl w:ilvl="8">
      <w:start w:val="1"/>
      <w:numFmt w:val="lowerRoman"/>
      <w:lvlText w:val="%9."/>
      <w:lvlJc w:val="right"/>
      <w:pPr>
        <w:ind w:left="6480" w:hanging="360"/>
      </w:pPr>
      <w:rPr>
        <w:rFonts w:ascii="Arial" w:cs="Arial" w:eastAsia="Arial" w:hAnsi="Arial"/>
        <w:b w:val="0"/>
        <w:i w:val="0"/>
        <w:smallCaps w:val="0"/>
        <w:strike w:val="0"/>
        <w:color w:val="000000"/>
        <w:sz w:val="22"/>
        <w:szCs w:val="22"/>
        <w:u w:val="none"/>
        <w:shd w:fill="auto" w:val="clear"/>
        <w:vertAlign w:val="baseline"/>
      </w:rPr>
    </w:lvl>
  </w:abstractNum>
  <w:abstractNum w:abstractNumId="12">
    <w:lvl w:ilvl="0">
      <w:start w:val="3"/>
      <w:numFmt w:val="decimal"/>
      <w:lvlText w:val="%1."/>
      <w:lvlJc w:val="left"/>
      <w:pPr>
        <w:ind w:left="720" w:hanging="360"/>
      </w:pPr>
      <w:rPr>
        <w:rFonts w:ascii="Arial" w:cs="Arial" w:eastAsia="Arial" w:hAnsi="Arial"/>
        <w:b w:val="0"/>
        <w:i w:val="0"/>
        <w:smallCaps w:val="0"/>
        <w:strike w:val="0"/>
        <w:color w:val="000000"/>
        <w:sz w:val="22"/>
        <w:szCs w:val="22"/>
        <w:u w:val="none"/>
        <w:shd w:fill="auto" w:val="clear"/>
        <w:vertAlign w:val="baseline"/>
      </w:rPr>
    </w:lvl>
    <w:lvl w:ilvl="1">
      <w:start w:val="1"/>
      <w:numFmt w:val="lowerLetter"/>
      <w:lvlText w:val="%2."/>
      <w:lvlJc w:val="left"/>
      <w:pPr>
        <w:ind w:left="1440" w:hanging="360"/>
      </w:pPr>
      <w:rPr>
        <w:rFonts w:ascii="Arial" w:cs="Arial" w:eastAsia="Arial" w:hAnsi="Arial"/>
        <w:b w:val="0"/>
        <w:i w:val="0"/>
        <w:smallCaps w:val="0"/>
        <w:strike w:val="0"/>
        <w:color w:val="000000"/>
        <w:sz w:val="22"/>
        <w:szCs w:val="22"/>
        <w:u w:val="none"/>
        <w:shd w:fill="auto" w:val="clear"/>
        <w:vertAlign w:val="baseline"/>
      </w:rPr>
    </w:lvl>
    <w:lvl w:ilvl="2">
      <w:start w:val="1"/>
      <w:numFmt w:val="lowerRoman"/>
      <w:lvlText w:val="%3."/>
      <w:lvlJc w:val="right"/>
      <w:pPr>
        <w:ind w:left="2160" w:hanging="360"/>
      </w:pPr>
      <w:rPr>
        <w:rFonts w:ascii="Arial" w:cs="Arial" w:eastAsia="Arial" w:hAnsi="Arial"/>
        <w:b w:val="0"/>
        <w:i w:val="0"/>
        <w:smallCaps w:val="0"/>
        <w:strike w:val="0"/>
        <w:color w:val="000000"/>
        <w:sz w:val="22"/>
        <w:szCs w:val="22"/>
        <w:u w:val="none"/>
        <w:shd w:fill="auto" w:val="clear"/>
        <w:vertAlign w:val="baseline"/>
      </w:rPr>
    </w:lvl>
    <w:lvl w:ilvl="3">
      <w:start w:val="1"/>
      <w:numFmt w:val="decimal"/>
      <w:lvlText w:val="%4."/>
      <w:lvlJc w:val="left"/>
      <w:pPr>
        <w:ind w:left="2880" w:hanging="360"/>
      </w:pPr>
      <w:rPr>
        <w:rFonts w:ascii="Arial" w:cs="Arial" w:eastAsia="Arial" w:hAnsi="Arial"/>
        <w:b w:val="0"/>
        <w:i w:val="0"/>
        <w:smallCaps w:val="0"/>
        <w:strike w:val="0"/>
        <w:color w:val="000000"/>
        <w:sz w:val="22"/>
        <w:szCs w:val="22"/>
        <w:u w:val="none"/>
        <w:shd w:fill="auto" w:val="clear"/>
        <w:vertAlign w:val="baseline"/>
      </w:rPr>
    </w:lvl>
    <w:lvl w:ilvl="4">
      <w:start w:val="1"/>
      <w:numFmt w:val="lowerLetter"/>
      <w:lvlText w:val="%5."/>
      <w:lvlJc w:val="left"/>
      <w:pPr>
        <w:ind w:left="3600" w:hanging="360"/>
      </w:pPr>
      <w:rPr>
        <w:rFonts w:ascii="Arial" w:cs="Arial" w:eastAsia="Arial" w:hAnsi="Arial"/>
        <w:b w:val="0"/>
        <w:i w:val="0"/>
        <w:smallCaps w:val="0"/>
        <w:strike w:val="0"/>
        <w:color w:val="000000"/>
        <w:sz w:val="22"/>
        <w:szCs w:val="22"/>
        <w:u w:val="none"/>
        <w:shd w:fill="auto" w:val="clear"/>
        <w:vertAlign w:val="baseline"/>
      </w:rPr>
    </w:lvl>
    <w:lvl w:ilvl="5">
      <w:start w:val="1"/>
      <w:numFmt w:val="lowerRoman"/>
      <w:lvlText w:val="%6."/>
      <w:lvlJc w:val="right"/>
      <w:pPr>
        <w:ind w:left="4320" w:hanging="360"/>
      </w:pPr>
      <w:rPr>
        <w:rFonts w:ascii="Arial" w:cs="Arial" w:eastAsia="Arial" w:hAnsi="Arial"/>
        <w:b w:val="0"/>
        <w:i w:val="0"/>
        <w:smallCaps w:val="0"/>
        <w:strike w:val="0"/>
        <w:color w:val="000000"/>
        <w:sz w:val="22"/>
        <w:szCs w:val="22"/>
        <w:u w:val="none"/>
        <w:shd w:fill="auto" w:val="clear"/>
        <w:vertAlign w:val="baseline"/>
      </w:rPr>
    </w:lvl>
    <w:lvl w:ilvl="6">
      <w:start w:val="1"/>
      <w:numFmt w:val="decimal"/>
      <w:lvlText w:val="%7."/>
      <w:lvlJc w:val="left"/>
      <w:pPr>
        <w:ind w:left="5040" w:hanging="360"/>
      </w:pPr>
      <w:rPr>
        <w:rFonts w:ascii="Arial" w:cs="Arial" w:eastAsia="Arial" w:hAnsi="Arial"/>
        <w:b w:val="0"/>
        <w:i w:val="0"/>
        <w:smallCaps w:val="0"/>
        <w:strike w:val="0"/>
        <w:color w:val="000000"/>
        <w:sz w:val="22"/>
        <w:szCs w:val="22"/>
        <w:u w:val="none"/>
        <w:shd w:fill="auto" w:val="clear"/>
        <w:vertAlign w:val="baseline"/>
      </w:rPr>
    </w:lvl>
    <w:lvl w:ilvl="7">
      <w:start w:val="1"/>
      <w:numFmt w:val="lowerLetter"/>
      <w:lvlText w:val="%8."/>
      <w:lvlJc w:val="left"/>
      <w:pPr>
        <w:ind w:left="5760" w:hanging="360"/>
      </w:pPr>
      <w:rPr>
        <w:rFonts w:ascii="Arial" w:cs="Arial" w:eastAsia="Arial" w:hAnsi="Arial"/>
        <w:b w:val="0"/>
        <w:i w:val="0"/>
        <w:smallCaps w:val="0"/>
        <w:strike w:val="0"/>
        <w:color w:val="000000"/>
        <w:sz w:val="22"/>
        <w:szCs w:val="22"/>
        <w:u w:val="none"/>
        <w:shd w:fill="auto" w:val="clear"/>
        <w:vertAlign w:val="baseline"/>
      </w:rPr>
    </w:lvl>
    <w:lvl w:ilvl="8">
      <w:start w:val="1"/>
      <w:numFmt w:val="lowerRoman"/>
      <w:lvlText w:val="%9."/>
      <w:lvlJc w:val="right"/>
      <w:pPr>
        <w:ind w:left="6480" w:hanging="360"/>
      </w:pPr>
      <w:rPr>
        <w:rFonts w:ascii="Arial" w:cs="Arial" w:eastAsia="Arial" w:hAnsi="Arial"/>
        <w:b w:val="0"/>
        <w:i w:val="0"/>
        <w:smallCaps w:val="0"/>
        <w:strike w:val="0"/>
        <w:color w:val="000000"/>
        <w:sz w:val="22"/>
        <w:szCs w:val="22"/>
        <w:u w:val="none"/>
        <w:shd w:fill="auto" w:val="clear"/>
        <w:vertAlign w:val="baseline"/>
      </w:rPr>
    </w:lvl>
  </w:abstractNum>
  <w:abstractNum w:abstractNumId="13">
    <w:lvl w:ilvl="0">
      <w:start w:val="1"/>
      <w:numFmt w:val="bullet"/>
      <w:lvlText w:val="-"/>
      <w:lvlJc w:val="left"/>
      <w:pPr>
        <w:ind w:left="720" w:hanging="360"/>
      </w:pPr>
      <w:rPr>
        <w:rFonts w:ascii="Arial" w:cs="Arial" w:eastAsia="Arial" w:hAnsi="Arial"/>
        <w:b w:val="0"/>
        <w:i w:val="0"/>
        <w:smallCaps w:val="0"/>
        <w:strike w:val="0"/>
        <w:color w:val="000000"/>
        <w:sz w:val="22"/>
        <w:szCs w:val="22"/>
        <w:u w:val="none"/>
        <w:shd w:fill="auto" w:val="clear"/>
        <w:vertAlign w:val="baseline"/>
      </w:rPr>
    </w:lvl>
    <w:lvl w:ilvl="1">
      <w:start w:val="1"/>
      <w:numFmt w:val="lowerLetter"/>
      <w:lvlText w:val="%2."/>
      <w:lvlJc w:val="left"/>
      <w:pPr>
        <w:ind w:left="1440" w:hanging="360"/>
      </w:pPr>
      <w:rPr>
        <w:rFonts w:ascii="Arial" w:cs="Arial" w:eastAsia="Arial" w:hAnsi="Arial"/>
        <w:b w:val="0"/>
        <w:i w:val="0"/>
        <w:smallCaps w:val="0"/>
        <w:strike w:val="0"/>
        <w:color w:val="000000"/>
        <w:sz w:val="22"/>
        <w:szCs w:val="22"/>
        <w:u w:val="none"/>
        <w:shd w:fill="auto" w:val="clear"/>
        <w:vertAlign w:val="baseline"/>
      </w:rPr>
    </w:lvl>
    <w:lvl w:ilvl="2">
      <w:start w:val="1"/>
      <w:numFmt w:val="lowerRoman"/>
      <w:lvlText w:val="%3."/>
      <w:lvlJc w:val="right"/>
      <w:pPr>
        <w:ind w:left="2160" w:hanging="360"/>
      </w:pPr>
      <w:rPr>
        <w:rFonts w:ascii="Arial" w:cs="Arial" w:eastAsia="Arial" w:hAnsi="Arial"/>
        <w:b w:val="0"/>
        <w:i w:val="0"/>
        <w:smallCaps w:val="0"/>
        <w:strike w:val="0"/>
        <w:color w:val="000000"/>
        <w:sz w:val="22"/>
        <w:szCs w:val="22"/>
        <w:u w:val="none"/>
        <w:shd w:fill="auto" w:val="clear"/>
        <w:vertAlign w:val="baseline"/>
      </w:rPr>
    </w:lvl>
    <w:lvl w:ilvl="3">
      <w:start w:val="1"/>
      <w:numFmt w:val="decimal"/>
      <w:lvlText w:val="%4."/>
      <w:lvlJc w:val="left"/>
      <w:pPr>
        <w:ind w:left="2880" w:hanging="360"/>
      </w:pPr>
      <w:rPr>
        <w:rFonts w:ascii="Arial" w:cs="Arial" w:eastAsia="Arial" w:hAnsi="Arial"/>
        <w:b w:val="0"/>
        <w:i w:val="0"/>
        <w:smallCaps w:val="0"/>
        <w:strike w:val="0"/>
        <w:color w:val="000000"/>
        <w:sz w:val="22"/>
        <w:szCs w:val="22"/>
        <w:u w:val="none"/>
        <w:shd w:fill="auto" w:val="clear"/>
        <w:vertAlign w:val="baseline"/>
      </w:rPr>
    </w:lvl>
    <w:lvl w:ilvl="4">
      <w:start w:val="1"/>
      <w:numFmt w:val="lowerLetter"/>
      <w:lvlText w:val="%5."/>
      <w:lvlJc w:val="left"/>
      <w:pPr>
        <w:ind w:left="3600" w:hanging="360"/>
      </w:pPr>
      <w:rPr>
        <w:rFonts w:ascii="Arial" w:cs="Arial" w:eastAsia="Arial" w:hAnsi="Arial"/>
        <w:b w:val="0"/>
        <w:i w:val="0"/>
        <w:smallCaps w:val="0"/>
        <w:strike w:val="0"/>
        <w:color w:val="000000"/>
        <w:sz w:val="22"/>
        <w:szCs w:val="22"/>
        <w:u w:val="none"/>
        <w:shd w:fill="auto" w:val="clear"/>
        <w:vertAlign w:val="baseline"/>
      </w:rPr>
    </w:lvl>
    <w:lvl w:ilvl="5">
      <w:start w:val="1"/>
      <w:numFmt w:val="lowerRoman"/>
      <w:lvlText w:val="%6."/>
      <w:lvlJc w:val="right"/>
      <w:pPr>
        <w:ind w:left="4320" w:hanging="360"/>
      </w:pPr>
      <w:rPr>
        <w:rFonts w:ascii="Arial" w:cs="Arial" w:eastAsia="Arial" w:hAnsi="Arial"/>
        <w:b w:val="0"/>
        <w:i w:val="0"/>
        <w:smallCaps w:val="0"/>
        <w:strike w:val="0"/>
        <w:color w:val="000000"/>
        <w:sz w:val="22"/>
        <w:szCs w:val="22"/>
        <w:u w:val="none"/>
        <w:shd w:fill="auto" w:val="clear"/>
        <w:vertAlign w:val="baseline"/>
      </w:rPr>
    </w:lvl>
    <w:lvl w:ilvl="6">
      <w:start w:val="1"/>
      <w:numFmt w:val="decimal"/>
      <w:lvlText w:val="%7."/>
      <w:lvlJc w:val="left"/>
      <w:pPr>
        <w:ind w:left="5040" w:hanging="360"/>
      </w:pPr>
      <w:rPr>
        <w:rFonts w:ascii="Arial" w:cs="Arial" w:eastAsia="Arial" w:hAnsi="Arial"/>
        <w:b w:val="0"/>
        <w:i w:val="0"/>
        <w:smallCaps w:val="0"/>
        <w:strike w:val="0"/>
        <w:color w:val="000000"/>
        <w:sz w:val="22"/>
        <w:szCs w:val="22"/>
        <w:u w:val="none"/>
        <w:shd w:fill="auto" w:val="clear"/>
        <w:vertAlign w:val="baseline"/>
      </w:rPr>
    </w:lvl>
    <w:lvl w:ilvl="7">
      <w:start w:val="1"/>
      <w:numFmt w:val="lowerLetter"/>
      <w:lvlText w:val="%8."/>
      <w:lvlJc w:val="left"/>
      <w:pPr>
        <w:ind w:left="5760" w:hanging="360"/>
      </w:pPr>
      <w:rPr>
        <w:rFonts w:ascii="Arial" w:cs="Arial" w:eastAsia="Arial" w:hAnsi="Arial"/>
        <w:b w:val="0"/>
        <w:i w:val="0"/>
        <w:smallCaps w:val="0"/>
        <w:strike w:val="0"/>
        <w:color w:val="000000"/>
        <w:sz w:val="22"/>
        <w:szCs w:val="22"/>
        <w:u w:val="none"/>
        <w:shd w:fill="auto" w:val="clear"/>
        <w:vertAlign w:val="baseline"/>
      </w:rPr>
    </w:lvl>
    <w:lvl w:ilvl="8">
      <w:start w:val="1"/>
      <w:numFmt w:val="lowerRoman"/>
      <w:lvlText w:val="%9."/>
      <w:lvlJc w:val="right"/>
      <w:pPr>
        <w:ind w:left="6480" w:hanging="360"/>
      </w:pPr>
      <w:rPr>
        <w:rFonts w:ascii="Arial" w:cs="Arial" w:eastAsia="Arial" w:hAnsi="Arial"/>
        <w:b w:val="0"/>
        <w:i w:val="0"/>
        <w:smallCaps w:val="0"/>
        <w:strike w:val="0"/>
        <w:color w:val="000000"/>
        <w:sz w:val="22"/>
        <w:szCs w:val="22"/>
        <w:u w:val="none"/>
        <w:shd w:fill="auto" w:val="clear"/>
        <w:vertAlign w:val="baseline"/>
      </w:rPr>
    </w:lvl>
  </w:abstractNum>
  <w:abstractNum w:abstractNumId="14">
    <w:lvl w:ilvl="0">
      <w:start w:val="1"/>
      <w:numFmt w:val="bullet"/>
      <w:lvlText w:val="-"/>
      <w:lvlJc w:val="left"/>
      <w:pPr>
        <w:ind w:left="720" w:hanging="360"/>
      </w:pPr>
      <w:rPr>
        <w:rFonts w:ascii="Arial" w:cs="Arial" w:eastAsia="Arial" w:hAnsi="Arial"/>
        <w:b w:val="0"/>
        <w:i w:val="0"/>
        <w:smallCaps w:val="0"/>
        <w:strike w:val="0"/>
        <w:color w:val="000000"/>
        <w:sz w:val="22"/>
        <w:szCs w:val="22"/>
        <w:u w:val="none"/>
        <w:shd w:fill="auto" w:val="clear"/>
        <w:vertAlign w:val="baseline"/>
      </w:rPr>
    </w:lvl>
    <w:lvl w:ilvl="1">
      <w:start w:val="1"/>
      <w:numFmt w:val="lowerLetter"/>
      <w:lvlText w:val="%2."/>
      <w:lvlJc w:val="left"/>
      <w:pPr>
        <w:ind w:left="1440" w:hanging="360"/>
      </w:pPr>
      <w:rPr>
        <w:rFonts w:ascii="Arial" w:cs="Arial" w:eastAsia="Arial" w:hAnsi="Arial"/>
        <w:b w:val="0"/>
        <w:i w:val="0"/>
        <w:smallCaps w:val="0"/>
        <w:strike w:val="0"/>
        <w:color w:val="000000"/>
        <w:sz w:val="22"/>
        <w:szCs w:val="22"/>
        <w:u w:val="none"/>
        <w:shd w:fill="auto" w:val="clear"/>
        <w:vertAlign w:val="baseline"/>
      </w:rPr>
    </w:lvl>
    <w:lvl w:ilvl="2">
      <w:start w:val="1"/>
      <w:numFmt w:val="lowerRoman"/>
      <w:lvlText w:val="%3."/>
      <w:lvlJc w:val="right"/>
      <w:pPr>
        <w:ind w:left="2160" w:hanging="360"/>
      </w:pPr>
      <w:rPr>
        <w:rFonts w:ascii="Arial" w:cs="Arial" w:eastAsia="Arial" w:hAnsi="Arial"/>
        <w:b w:val="0"/>
        <w:i w:val="0"/>
        <w:smallCaps w:val="0"/>
        <w:strike w:val="0"/>
        <w:color w:val="000000"/>
        <w:sz w:val="22"/>
        <w:szCs w:val="22"/>
        <w:u w:val="none"/>
        <w:shd w:fill="auto" w:val="clear"/>
        <w:vertAlign w:val="baseline"/>
      </w:rPr>
    </w:lvl>
    <w:lvl w:ilvl="3">
      <w:start w:val="1"/>
      <w:numFmt w:val="decimal"/>
      <w:lvlText w:val="%4."/>
      <w:lvlJc w:val="left"/>
      <w:pPr>
        <w:ind w:left="2880" w:hanging="360"/>
      </w:pPr>
      <w:rPr>
        <w:rFonts w:ascii="Arial" w:cs="Arial" w:eastAsia="Arial" w:hAnsi="Arial"/>
        <w:b w:val="0"/>
        <w:i w:val="0"/>
        <w:smallCaps w:val="0"/>
        <w:strike w:val="0"/>
        <w:color w:val="000000"/>
        <w:sz w:val="22"/>
        <w:szCs w:val="22"/>
        <w:u w:val="none"/>
        <w:shd w:fill="auto" w:val="clear"/>
        <w:vertAlign w:val="baseline"/>
      </w:rPr>
    </w:lvl>
    <w:lvl w:ilvl="4">
      <w:start w:val="1"/>
      <w:numFmt w:val="lowerLetter"/>
      <w:lvlText w:val="%5."/>
      <w:lvlJc w:val="left"/>
      <w:pPr>
        <w:ind w:left="3600" w:hanging="360"/>
      </w:pPr>
      <w:rPr>
        <w:rFonts w:ascii="Arial" w:cs="Arial" w:eastAsia="Arial" w:hAnsi="Arial"/>
        <w:b w:val="0"/>
        <w:i w:val="0"/>
        <w:smallCaps w:val="0"/>
        <w:strike w:val="0"/>
        <w:color w:val="000000"/>
        <w:sz w:val="22"/>
        <w:szCs w:val="22"/>
        <w:u w:val="none"/>
        <w:shd w:fill="auto" w:val="clear"/>
        <w:vertAlign w:val="baseline"/>
      </w:rPr>
    </w:lvl>
    <w:lvl w:ilvl="5">
      <w:start w:val="1"/>
      <w:numFmt w:val="lowerRoman"/>
      <w:lvlText w:val="%6."/>
      <w:lvlJc w:val="right"/>
      <w:pPr>
        <w:ind w:left="4320" w:hanging="360"/>
      </w:pPr>
      <w:rPr>
        <w:rFonts w:ascii="Arial" w:cs="Arial" w:eastAsia="Arial" w:hAnsi="Arial"/>
        <w:b w:val="0"/>
        <w:i w:val="0"/>
        <w:smallCaps w:val="0"/>
        <w:strike w:val="0"/>
        <w:color w:val="000000"/>
        <w:sz w:val="22"/>
        <w:szCs w:val="22"/>
        <w:u w:val="none"/>
        <w:shd w:fill="auto" w:val="clear"/>
        <w:vertAlign w:val="baseline"/>
      </w:rPr>
    </w:lvl>
    <w:lvl w:ilvl="6">
      <w:start w:val="1"/>
      <w:numFmt w:val="decimal"/>
      <w:lvlText w:val="%7."/>
      <w:lvlJc w:val="left"/>
      <w:pPr>
        <w:ind w:left="5040" w:hanging="360"/>
      </w:pPr>
      <w:rPr>
        <w:rFonts w:ascii="Arial" w:cs="Arial" w:eastAsia="Arial" w:hAnsi="Arial"/>
        <w:b w:val="0"/>
        <w:i w:val="0"/>
        <w:smallCaps w:val="0"/>
        <w:strike w:val="0"/>
        <w:color w:val="000000"/>
        <w:sz w:val="22"/>
        <w:szCs w:val="22"/>
        <w:u w:val="none"/>
        <w:shd w:fill="auto" w:val="clear"/>
        <w:vertAlign w:val="baseline"/>
      </w:rPr>
    </w:lvl>
    <w:lvl w:ilvl="7">
      <w:start w:val="1"/>
      <w:numFmt w:val="lowerLetter"/>
      <w:lvlText w:val="%8."/>
      <w:lvlJc w:val="left"/>
      <w:pPr>
        <w:ind w:left="5760" w:hanging="360"/>
      </w:pPr>
      <w:rPr>
        <w:rFonts w:ascii="Arial" w:cs="Arial" w:eastAsia="Arial" w:hAnsi="Arial"/>
        <w:b w:val="0"/>
        <w:i w:val="0"/>
        <w:smallCaps w:val="0"/>
        <w:strike w:val="0"/>
        <w:color w:val="000000"/>
        <w:sz w:val="22"/>
        <w:szCs w:val="22"/>
        <w:u w:val="none"/>
        <w:shd w:fill="auto" w:val="clear"/>
        <w:vertAlign w:val="baseline"/>
      </w:rPr>
    </w:lvl>
    <w:lvl w:ilvl="8">
      <w:start w:val="1"/>
      <w:numFmt w:val="lowerRoman"/>
      <w:lvlText w:val="%9."/>
      <w:lvlJc w:val="right"/>
      <w:pPr>
        <w:ind w:left="6480" w:hanging="360"/>
      </w:pPr>
      <w:rPr>
        <w:rFonts w:ascii="Arial" w:cs="Arial" w:eastAsia="Arial" w:hAnsi="Arial"/>
        <w:b w:val="0"/>
        <w:i w:val="0"/>
        <w:smallCaps w:val="0"/>
        <w:strike w:val="0"/>
        <w:color w:val="000000"/>
        <w:sz w:val="22"/>
        <w:szCs w:val="22"/>
        <w:u w:val="none"/>
        <w:shd w:fill="auto" w:val="clear"/>
        <w:vertAlign w:val="baseline"/>
      </w:rPr>
    </w:lvl>
  </w:abstractNum>
  <w:abstractNum w:abstractNumId="15">
    <w:lvl w:ilvl="0">
      <w:start w:val="4"/>
      <w:numFmt w:val="decimal"/>
      <w:lvlText w:val="%1."/>
      <w:lvlJc w:val="left"/>
      <w:pPr>
        <w:ind w:left="720" w:hanging="360"/>
      </w:pPr>
      <w:rPr>
        <w:rFonts w:ascii="Arial" w:cs="Arial" w:eastAsia="Arial" w:hAnsi="Arial"/>
        <w:b w:val="0"/>
        <w:i w:val="0"/>
        <w:smallCaps w:val="0"/>
        <w:strike w:val="0"/>
        <w:color w:val="000000"/>
        <w:sz w:val="22"/>
        <w:szCs w:val="22"/>
        <w:u w:val="none"/>
        <w:shd w:fill="auto" w:val="clear"/>
        <w:vertAlign w:val="baseline"/>
      </w:rPr>
    </w:lvl>
    <w:lvl w:ilvl="1">
      <w:start w:val="1"/>
      <w:numFmt w:val="lowerLetter"/>
      <w:lvlText w:val="%2."/>
      <w:lvlJc w:val="left"/>
      <w:pPr>
        <w:ind w:left="1440" w:hanging="360"/>
      </w:pPr>
      <w:rPr>
        <w:rFonts w:ascii="Arial" w:cs="Arial" w:eastAsia="Arial" w:hAnsi="Arial"/>
        <w:b w:val="0"/>
        <w:i w:val="0"/>
        <w:smallCaps w:val="0"/>
        <w:strike w:val="0"/>
        <w:color w:val="000000"/>
        <w:sz w:val="22"/>
        <w:szCs w:val="22"/>
        <w:u w:val="none"/>
        <w:shd w:fill="auto" w:val="clear"/>
        <w:vertAlign w:val="baseline"/>
      </w:rPr>
    </w:lvl>
    <w:lvl w:ilvl="2">
      <w:start w:val="1"/>
      <w:numFmt w:val="lowerRoman"/>
      <w:lvlText w:val="%3."/>
      <w:lvlJc w:val="right"/>
      <w:pPr>
        <w:ind w:left="2160" w:hanging="360"/>
      </w:pPr>
      <w:rPr>
        <w:rFonts w:ascii="Arial" w:cs="Arial" w:eastAsia="Arial" w:hAnsi="Arial"/>
        <w:b w:val="0"/>
        <w:i w:val="0"/>
        <w:smallCaps w:val="0"/>
        <w:strike w:val="0"/>
        <w:color w:val="000000"/>
        <w:sz w:val="22"/>
        <w:szCs w:val="22"/>
        <w:u w:val="none"/>
        <w:shd w:fill="auto" w:val="clear"/>
        <w:vertAlign w:val="baseline"/>
      </w:rPr>
    </w:lvl>
    <w:lvl w:ilvl="3">
      <w:start w:val="1"/>
      <w:numFmt w:val="decimal"/>
      <w:lvlText w:val="%4."/>
      <w:lvlJc w:val="left"/>
      <w:pPr>
        <w:ind w:left="2880" w:hanging="360"/>
      </w:pPr>
      <w:rPr>
        <w:rFonts w:ascii="Arial" w:cs="Arial" w:eastAsia="Arial" w:hAnsi="Arial"/>
        <w:b w:val="0"/>
        <w:i w:val="0"/>
        <w:smallCaps w:val="0"/>
        <w:strike w:val="0"/>
        <w:color w:val="000000"/>
        <w:sz w:val="22"/>
        <w:szCs w:val="22"/>
        <w:u w:val="none"/>
        <w:shd w:fill="auto" w:val="clear"/>
        <w:vertAlign w:val="baseline"/>
      </w:rPr>
    </w:lvl>
    <w:lvl w:ilvl="4">
      <w:start w:val="1"/>
      <w:numFmt w:val="lowerLetter"/>
      <w:lvlText w:val="%5."/>
      <w:lvlJc w:val="left"/>
      <w:pPr>
        <w:ind w:left="3600" w:hanging="360"/>
      </w:pPr>
      <w:rPr>
        <w:rFonts w:ascii="Arial" w:cs="Arial" w:eastAsia="Arial" w:hAnsi="Arial"/>
        <w:b w:val="0"/>
        <w:i w:val="0"/>
        <w:smallCaps w:val="0"/>
        <w:strike w:val="0"/>
        <w:color w:val="000000"/>
        <w:sz w:val="22"/>
        <w:szCs w:val="22"/>
        <w:u w:val="none"/>
        <w:shd w:fill="auto" w:val="clear"/>
        <w:vertAlign w:val="baseline"/>
      </w:rPr>
    </w:lvl>
    <w:lvl w:ilvl="5">
      <w:start w:val="1"/>
      <w:numFmt w:val="lowerRoman"/>
      <w:lvlText w:val="%6."/>
      <w:lvlJc w:val="right"/>
      <w:pPr>
        <w:ind w:left="4320" w:hanging="360"/>
      </w:pPr>
      <w:rPr>
        <w:rFonts w:ascii="Arial" w:cs="Arial" w:eastAsia="Arial" w:hAnsi="Arial"/>
        <w:b w:val="0"/>
        <w:i w:val="0"/>
        <w:smallCaps w:val="0"/>
        <w:strike w:val="0"/>
        <w:color w:val="000000"/>
        <w:sz w:val="22"/>
        <w:szCs w:val="22"/>
        <w:u w:val="none"/>
        <w:shd w:fill="auto" w:val="clear"/>
        <w:vertAlign w:val="baseline"/>
      </w:rPr>
    </w:lvl>
    <w:lvl w:ilvl="6">
      <w:start w:val="1"/>
      <w:numFmt w:val="decimal"/>
      <w:lvlText w:val="%7."/>
      <w:lvlJc w:val="left"/>
      <w:pPr>
        <w:ind w:left="5040" w:hanging="360"/>
      </w:pPr>
      <w:rPr>
        <w:rFonts w:ascii="Arial" w:cs="Arial" w:eastAsia="Arial" w:hAnsi="Arial"/>
        <w:b w:val="0"/>
        <w:i w:val="0"/>
        <w:smallCaps w:val="0"/>
        <w:strike w:val="0"/>
        <w:color w:val="000000"/>
        <w:sz w:val="22"/>
        <w:szCs w:val="22"/>
        <w:u w:val="none"/>
        <w:shd w:fill="auto" w:val="clear"/>
        <w:vertAlign w:val="baseline"/>
      </w:rPr>
    </w:lvl>
    <w:lvl w:ilvl="7">
      <w:start w:val="1"/>
      <w:numFmt w:val="lowerLetter"/>
      <w:lvlText w:val="%8."/>
      <w:lvlJc w:val="left"/>
      <w:pPr>
        <w:ind w:left="5760" w:hanging="360"/>
      </w:pPr>
      <w:rPr>
        <w:rFonts w:ascii="Arial" w:cs="Arial" w:eastAsia="Arial" w:hAnsi="Arial"/>
        <w:b w:val="0"/>
        <w:i w:val="0"/>
        <w:smallCaps w:val="0"/>
        <w:strike w:val="0"/>
        <w:color w:val="000000"/>
        <w:sz w:val="22"/>
        <w:szCs w:val="22"/>
        <w:u w:val="none"/>
        <w:shd w:fill="auto" w:val="clear"/>
        <w:vertAlign w:val="baseline"/>
      </w:rPr>
    </w:lvl>
    <w:lvl w:ilvl="8">
      <w:start w:val="1"/>
      <w:numFmt w:val="lowerRoman"/>
      <w:lvlText w:val="%9."/>
      <w:lvlJc w:val="right"/>
      <w:pPr>
        <w:ind w:left="6480" w:hanging="360"/>
      </w:pPr>
      <w:rPr>
        <w:rFonts w:ascii="Arial" w:cs="Arial" w:eastAsia="Arial" w:hAnsi="Arial"/>
        <w:b w:val="0"/>
        <w:i w:val="0"/>
        <w:smallCaps w:val="0"/>
        <w:strike w:val="0"/>
        <w:color w:val="000000"/>
        <w:sz w:val="22"/>
        <w:szCs w:val="22"/>
        <w:u w:val="none"/>
        <w:shd w:fill="auto" w:val="clear"/>
        <w:vertAlign w:val="baseli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