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E343E"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t>The Unseen Current: Navigating Grid Instability in an Era of Transition</w:t>
      </w:r>
    </w:p>
    <w:p w14:paraId="42E71B18"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b/>
          <w:bCs/>
          <w:sz w:val="22"/>
          <w:szCs w:val="22"/>
        </w:rPr>
        <w:t>By J. McKenney | May 7, 2025</w:t>
      </w:r>
    </w:p>
    <w:p w14:paraId="37074920"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pict w14:anchorId="5C8C32F5">
          <v:rect id="_x0000_i1127" style="width:0;height:1.5pt" o:hralign="center" o:hrstd="t" o:hr="t" fillcolor="#a0a0a0" stroked="f"/>
        </w:pict>
      </w:r>
    </w:p>
    <w:p w14:paraId="2D8D2F90"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t>Foreword: When the Lights Went Out Across Spain and Portugal</w:t>
      </w:r>
    </w:p>
    <w:p w14:paraId="1C66601C" w14:textId="4D86A469" w:rsidR="00AE63D8" w:rsidRPr="00AE63D8" w:rsidRDefault="0002338B" w:rsidP="00AE63D8">
      <w:pPr>
        <w:rPr>
          <w:rFonts w:asciiTheme="majorHAnsi" w:hAnsiTheme="majorHAnsi" w:cstheme="majorHAnsi"/>
          <w:sz w:val="22"/>
          <w:szCs w:val="22"/>
        </w:rPr>
      </w:pPr>
      <w:r w:rsidRPr="00AE63D8">
        <w:rPr>
          <w:rFonts w:asciiTheme="majorHAnsi" w:hAnsiTheme="majorHAnsi" w:cstheme="majorHAnsi"/>
          <w:noProof/>
          <w:sz w:val="22"/>
          <w:szCs w:val="22"/>
        </w:rPr>
        <mc:AlternateContent>
          <mc:Choice Requires="wps">
            <w:drawing>
              <wp:inline distT="0" distB="0" distL="0" distR="0" wp14:anchorId="098BD5AC" wp14:editId="63A86063">
                <wp:extent cx="301625" cy="301625"/>
                <wp:effectExtent l="0" t="0" r="0" b="0"/>
                <wp:docPr id="759824609" name="AutoShape 104" descr="Power Outage Impa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833A0" id="AutoShape 104" o:spid="_x0000_s1026" alt="Power Outage Impact"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00AE63D8" w:rsidRPr="00AE63D8">
        <w:rPr>
          <w:rFonts w:asciiTheme="majorHAnsi" w:hAnsiTheme="majorHAnsi" w:cstheme="majorHAnsi"/>
          <w:i/>
          <w:iCs/>
          <w:sz w:val="22"/>
          <w:szCs w:val="22"/>
        </w:rPr>
        <w:t>Intersection without traffic lights during the April 28, 2025 blackout in Madrid</w:t>
      </w:r>
    </w:p>
    <w:p w14:paraId="1E81DFE0"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Last week, on April 28, 2025, Spain and Portugal experienced their worst power outage in history. In mere seconds, the electrical systems of the entire Iberian Peninsula collapsed, plunging 60 million people into darkness for up to ten hours. Early investigations point to frequency oscillations between the Iberian grid and mainland Europe, potentially exacerbated by Spain's high renewable penetration (56% of its power mix).</w:t>
      </w:r>
    </w:p>
    <w:p w14:paraId="777655B6"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As I watched those events unfold, I was transported back to my work in Australia following their 2016 blackout and reminded of the warnings I shared at the Chicago Conference on Grid Stability earlier this year. The parallels are striking and concerning. They highlight that the challenges I've been documenting aren't theoretical—they're playing out right now on our grid.</w:t>
      </w:r>
    </w:p>
    <w:p w14:paraId="11C30FF2"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pict w14:anchorId="5490D3D7">
          <v:rect id="_x0000_i1129" style="width:0;height:1.5pt" o:hralign="center" o:hrstd="t" o:hr="t" fillcolor="#a0a0a0" stroked="f"/>
        </w:pict>
      </w:r>
    </w:p>
    <w:p w14:paraId="03476EE4"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t>I. Our Unseen Lifeline: The Profound Reliance of Modern Society on Unwavering Electricity</w:t>
      </w:r>
    </w:p>
    <w:p w14:paraId="6675C83D"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It is a marvel of human ingenuity, this invisible force that powers our world. Electricity, often summoned with the mere flick of a switch, stands as a silent partner in nearly every facet of modern existence. It illuminates our homes, drives the engines of commerce, enables global communication, underpins critical healthcare systems, and forms the very bedrock of our interconnected communities.</w:t>
      </w:r>
    </w:p>
    <w:p w14:paraId="4F8FBAD5"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This constant, reliable flow of energy is a legacy built over generations, a testament to our ability to harness nature and construct complex, life-sustaining systems. We have become so accustomed to its presence that its absence, even momentarily, can cause significant disruption; a prolonged outage can paralyze society.</w:t>
      </w:r>
    </w:p>
    <w:p w14:paraId="57FF52B9"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This profound dependence brings with it an inherent vulnerability. The intricate web of generators, transmission lines, and distribution networks that deliver this essential service constitutes perhaps the most complex machine ever built. As our reliance deepens, particularly with the pervasive digitization of society, the consequences of failure magnify. A disruption that might have been a localized inconvenience decades ago can now trigger cascading effects across economic, social, and public safety domains.</w:t>
      </w:r>
    </w:p>
    <w:p w14:paraId="791558C6"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Throughout a career spent observing the evolution of technology, particularly information and energy systems, the narrative has consistently been one of progress. Energy has been the great enabler, fueling innovation, driving productivity, and fundamentally reshaping organizations and industries. The promise has always been one of building a better, more prosperous, and more connected future. Yet, as we survey the energy landscape from the vantage point of May 2025, a certain disquietude emerges.</w:t>
      </w:r>
    </w:p>
    <w:p w14:paraId="42FB8E67"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b/>
          <w:bCs/>
          <w:sz w:val="22"/>
          <w:szCs w:val="22"/>
        </w:rPr>
        <w:lastRenderedPageBreak/>
        <w:t>"Will our grandchildren inherit a world where these foundational elements are secure, powered by a resilient and reliable energy system? Or will they face a future characterized by increasing uncertainty, where the invisible current we mastered becomes a source of fragility?"</w:t>
      </w:r>
    </w:p>
    <w:p w14:paraId="4792E39A"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The vital systems upon which we depend are exhibiting new forms of strain, novel fragilities born from the very transition intended to secure our energy future. The accelerating shift towards renewable energy sources, while indispensable for environmental stewardship, is fundamentally altering the physical characteristics and operational dynamics of the grid.</w:t>
      </w:r>
    </w:p>
    <w:p w14:paraId="69327125"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pict w14:anchorId="531BCD53">
          <v:rect id="_x0000_i1130" style="width:0;height:1.5pt" o:hralign="center" o:hrstd="t" o:hr="t" fillcolor="#a0a0a0" stroked="f"/>
        </w:pict>
      </w:r>
    </w:p>
    <w:p w14:paraId="4F2B8F5A"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t>II. The Precarious Balance: Understanding Grid Stability in an Era of Transformation</w:t>
      </w:r>
    </w:p>
    <w:p w14:paraId="552753A6" w14:textId="58A90DA2" w:rsidR="00AE63D8" w:rsidRPr="00AE63D8" w:rsidRDefault="0002338B" w:rsidP="00AE63D8">
      <w:pPr>
        <w:rPr>
          <w:rFonts w:asciiTheme="majorHAnsi" w:hAnsiTheme="majorHAnsi" w:cstheme="majorHAnsi"/>
          <w:sz w:val="22"/>
          <w:szCs w:val="22"/>
        </w:rPr>
      </w:pPr>
      <w:r w:rsidRPr="00AE63D8">
        <w:rPr>
          <w:rFonts w:asciiTheme="majorHAnsi" w:hAnsiTheme="majorHAnsi" w:cstheme="majorHAnsi"/>
          <w:noProof/>
          <w:sz w:val="22"/>
          <w:szCs w:val="22"/>
        </w:rPr>
        <mc:AlternateContent>
          <mc:Choice Requires="wps">
            <w:drawing>
              <wp:inline distT="0" distB="0" distL="0" distR="0" wp14:anchorId="6CA0CA68" wp14:editId="4B961B7B">
                <wp:extent cx="301625" cy="301625"/>
                <wp:effectExtent l="0" t="0" r="0" b="0"/>
                <wp:docPr id="931688114" name="AutoShape 107" descr="Grid Balance Illustr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37CA7F" id="AutoShape 107" o:spid="_x0000_s1026" alt="Grid Balance Illustration"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00AE63D8" w:rsidRPr="00AE63D8">
        <w:rPr>
          <w:rFonts w:asciiTheme="majorHAnsi" w:hAnsiTheme="majorHAnsi" w:cstheme="majorHAnsi"/>
          <w:i/>
          <w:iCs/>
          <w:sz w:val="22"/>
          <w:szCs w:val="22"/>
        </w:rPr>
        <w:t>The delicate equilibrium between generation and load that maintains system frequency</w:t>
      </w:r>
    </w:p>
    <w:p w14:paraId="60C0ECFB"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t>The Dance of Giants: Synchronous Inertia and the Historic Stability of Our Grids</w:t>
      </w:r>
    </w:p>
    <w:p w14:paraId="645045AE"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The reliable operation of the electric power grid hinges on maintaining a continuous, instantaneous balance between electricity supply (generation) and demand (load). System frequency, typically standardized at 60 Hz in North America and 50 Hz in Europe, serves as the primary, real-time indicator of this delicate equilibrium. Deviations from this nominal frequency signal an imbalance that, if left uncorrected, can lead to equipment damage, protection system activation, and potentially widespread outages.</w:t>
      </w:r>
    </w:p>
    <w:p w14:paraId="768DFEA5"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For decades, the stability of large interconnected power systems has relied heavily on the inherent characteristics of synchronous generators – the workhorses of traditional power generation, including coal, natural gas, nuclear, and large hydroelectric plants. These machines possess large, heavy rotating masses (turbines and generator rotors) that spin in synchronism with the grid frequency.</w:t>
      </w:r>
    </w:p>
    <w:p w14:paraId="406F095C"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 xml:space="preserve">This rotating mass stores a significant amount of kinetic energy, a property known as </w:t>
      </w:r>
      <w:r w:rsidRPr="00AE63D8">
        <w:rPr>
          <w:rFonts w:asciiTheme="majorHAnsi" w:hAnsiTheme="majorHAnsi" w:cstheme="majorHAnsi"/>
          <w:b/>
          <w:bCs/>
          <w:sz w:val="22"/>
          <w:szCs w:val="22"/>
        </w:rPr>
        <w:t>synchronous inertia</w:t>
      </w:r>
      <w:r w:rsidRPr="00AE63D8">
        <w:rPr>
          <w:rFonts w:asciiTheme="majorHAnsi" w:hAnsiTheme="majorHAnsi" w:cstheme="majorHAnsi"/>
          <w:sz w:val="22"/>
          <w:szCs w:val="22"/>
        </w:rPr>
        <w:t>. When a disturbance occurs – such as the sudden loss of a generator or a large block of load – this stored energy is automatically and instantaneously exchanged with the power system. If generation exceeds demand and frequency rises, the rotating masses speed up slightly, absorbing energy. Conversely, if demand exceeds generation and frequency falls, the masses slow down, releasing kinetic energy back into the grid as electrical power.</w:t>
      </w:r>
    </w:p>
    <w:p w14:paraId="7EC6ED5A"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This inherent physical response acts like a massive shock absorber, resisting changes in frequency and slowing down the rate at which frequency deviates immediately following a disturbance. The amount of inertia a generator provides is quantified by its inertia constant (H), typically ranging from 2 to 8 seconds, representing the time it could supply rated power solely from its stored kinetic energy.</w:t>
      </w:r>
    </w:p>
    <w:p w14:paraId="308C9B38"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t>The 'Death Wobble' Emerges: RoCoF, Diminishing Inertia, and the New Specter of Instability</w:t>
      </w:r>
    </w:p>
    <w:p w14:paraId="1D2B8132"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 xml:space="preserve">The energy landscape is undergoing a profound transformation, driven by the urgent need to decarbonize and the rapidly falling costs of renewable energy technologies. Wind and solar power are increasingly displacing traditional synchronous generation. However, these Inverter-Based Resources (IBRs) connect </w:t>
      </w:r>
      <w:r w:rsidRPr="00AE63D8">
        <w:rPr>
          <w:rFonts w:asciiTheme="majorHAnsi" w:hAnsiTheme="majorHAnsi" w:cstheme="majorHAnsi"/>
          <w:sz w:val="22"/>
          <w:szCs w:val="22"/>
        </w:rPr>
        <w:lastRenderedPageBreak/>
        <w:t>to the grid through power electronic inverters, which, in their conventional grid-following (GFL) mode, lack the inherent rotating mass and associated synchronous inertia of the machines they replace.</w:t>
      </w:r>
    </w:p>
    <w:p w14:paraId="29082A71"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This large-scale displacement of synchronous generation is leading to a significant decline in overall system inertia across many power grids globally. Lower system inertia means the grid has less stored kinetic energy to buffer against disturbances. Consequently, for the same magnitude of power imbalance (e.g., a generator trip), the system frequency changes much more rapidly.</w:t>
      </w:r>
    </w:p>
    <w:p w14:paraId="3950EB45"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 xml:space="preserve">This speed of frequency change is quantified by the </w:t>
      </w:r>
      <w:r w:rsidRPr="00AE63D8">
        <w:rPr>
          <w:rFonts w:asciiTheme="majorHAnsi" w:hAnsiTheme="majorHAnsi" w:cstheme="majorHAnsi"/>
          <w:b/>
          <w:bCs/>
          <w:sz w:val="22"/>
          <w:szCs w:val="22"/>
        </w:rPr>
        <w:t>Rate of Change of Frequency (RoCoF)</w:t>
      </w:r>
      <w:r w:rsidRPr="00AE63D8">
        <w:rPr>
          <w:rFonts w:asciiTheme="majorHAnsi" w:hAnsiTheme="majorHAnsi" w:cstheme="majorHAnsi"/>
          <w:sz w:val="22"/>
          <w:szCs w:val="22"/>
        </w:rPr>
        <w:t>, measured in Hertz per second (Hz/s). In low-inertia systems, RoCoF values following disturbances are significantly higher than in traditional grids. This presents a critical stability challenge for several reasons:</w:t>
      </w:r>
    </w:p>
    <w:p w14:paraId="705E9513" w14:textId="77777777" w:rsidR="00AE63D8" w:rsidRPr="00AE63D8" w:rsidRDefault="00AE63D8" w:rsidP="00AE63D8">
      <w:pPr>
        <w:numPr>
          <w:ilvl w:val="0"/>
          <w:numId w:val="1"/>
        </w:numPr>
        <w:rPr>
          <w:rFonts w:asciiTheme="majorHAnsi" w:hAnsiTheme="majorHAnsi" w:cstheme="majorHAnsi"/>
          <w:sz w:val="22"/>
          <w:szCs w:val="22"/>
        </w:rPr>
      </w:pPr>
      <w:r w:rsidRPr="00AE63D8">
        <w:rPr>
          <w:rFonts w:asciiTheme="majorHAnsi" w:hAnsiTheme="majorHAnsi" w:cstheme="majorHAnsi"/>
          <w:b/>
          <w:bCs/>
          <w:sz w:val="22"/>
          <w:szCs w:val="22"/>
        </w:rPr>
        <w:t>Control System Response Time</w:t>
      </w:r>
      <w:r w:rsidRPr="00AE63D8">
        <w:rPr>
          <w:rFonts w:asciiTheme="majorHAnsi" w:hAnsiTheme="majorHAnsi" w:cstheme="majorHAnsi"/>
          <w:sz w:val="22"/>
          <w:szCs w:val="22"/>
        </w:rPr>
        <w:t>: Automatic control systems, including primary frequency response and emergency schemes like under-frequency load shedding (UFLS), require a finite time to measure the frequency deviation, process the information, and initiate a corrective action. If the frequency is changing too rapidly (high RoCoF), these systems may not be able to respond quickly enough to arrest the frequency decline or rise before critical thresholds are breached.</w:t>
      </w:r>
    </w:p>
    <w:p w14:paraId="7789E007" w14:textId="77777777" w:rsidR="00AE63D8" w:rsidRPr="00AE63D8" w:rsidRDefault="00AE63D8" w:rsidP="00AE63D8">
      <w:pPr>
        <w:numPr>
          <w:ilvl w:val="0"/>
          <w:numId w:val="1"/>
        </w:numPr>
        <w:rPr>
          <w:rFonts w:asciiTheme="majorHAnsi" w:hAnsiTheme="majorHAnsi" w:cstheme="majorHAnsi"/>
          <w:sz w:val="22"/>
          <w:szCs w:val="22"/>
        </w:rPr>
      </w:pPr>
      <w:r w:rsidRPr="00AE63D8">
        <w:rPr>
          <w:rFonts w:asciiTheme="majorHAnsi" w:hAnsiTheme="majorHAnsi" w:cstheme="majorHAnsi"/>
          <w:b/>
          <w:bCs/>
          <w:sz w:val="22"/>
          <w:szCs w:val="22"/>
        </w:rPr>
        <w:t>Equipment Limits</w:t>
      </w:r>
      <w:r w:rsidRPr="00AE63D8">
        <w:rPr>
          <w:rFonts w:asciiTheme="majorHAnsi" w:hAnsiTheme="majorHAnsi" w:cstheme="majorHAnsi"/>
          <w:sz w:val="22"/>
          <w:szCs w:val="22"/>
        </w:rPr>
        <w:t>: Rapid frequency changes can impose significant stress on power plant equipment, particularly turbines, potentially leading to damage or protective tripping.</w:t>
      </w:r>
    </w:p>
    <w:p w14:paraId="7F645C8F" w14:textId="77777777" w:rsidR="00AE63D8" w:rsidRPr="00AE63D8" w:rsidRDefault="00AE63D8" w:rsidP="00AE63D8">
      <w:pPr>
        <w:numPr>
          <w:ilvl w:val="0"/>
          <w:numId w:val="1"/>
        </w:numPr>
        <w:rPr>
          <w:rFonts w:asciiTheme="majorHAnsi" w:hAnsiTheme="majorHAnsi" w:cstheme="majorHAnsi"/>
          <w:sz w:val="22"/>
          <w:szCs w:val="22"/>
        </w:rPr>
      </w:pPr>
      <w:r w:rsidRPr="00AE63D8">
        <w:rPr>
          <w:rFonts w:asciiTheme="majorHAnsi" w:hAnsiTheme="majorHAnsi" w:cstheme="majorHAnsi"/>
          <w:b/>
          <w:bCs/>
          <w:sz w:val="22"/>
          <w:szCs w:val="22"/>
        </w:rPr>
        <w:t>Protection System Vulnerability</w:t>
      </w:r>
      <w:r w:rsidRPr="00AE63D8">
        <w:rPr>
          <w:rFonts w:asciiTheme="majorHAnsi" w:hAnsiTheme="majorHAnsi" w:cstheme="majorHAnsi"/>
          <w:sz w:val="22"/>
          <w:szCs w:val="22"/>
        </w:rPr>
        <w:t>: Many protection relays, particularly older designs or those protecting distributed resources, are configured with RoCoF trip settings. High RoCoF values can trigger these relays, leading to the disconnection of further generation or load, potentially exacerbating the initial disturbance.</w:t>
      </w:r>
    </w:p>
    <w:p w14:paraId="483FC911"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This phenomenon of rapid frequency decline or oscillation in low-inertia systems, potentially leading to widespread tripping and instability, is sometimes colloquially referred to as the "death wobble." It represents a new and dangerous mode of grid instability directly linked to the changing resource mix.</w:t>
      </w:r>
    </w:p>
    <w:p w14:paraId="52117966"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t>The Key Differences Between Traditional and Low-Inertia Grids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1853"/>
        <w:gridCol w:w="2262"/>
        <w:gridCol w:w="3637"/>
      </w:tblGrid>
      <w:tr w:rsidR="00AE63D8" w:rsidRPr="00AE63D8" w14:paraId="2F7D25BF" w14:textId="77777777" w:rsidTr="00AE63D8">
        <w:trPr>
          <w:tblHeader/>
          <w:tblCellSpacing w:w="15" w:type="dxa"/>
        </w:trPr>
        <w:tc>
          <w:tcPr>
            <w:tcW w:w="0" w:type="auto"/>
            <w:vAlign w:val="center"/>
            <w:hideMark/>
          </w:tcPr>
          <w:p w14:paraId="036B314C"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t>Feature</w:t>
            </w:r>
          </w:p>
        </w:tc>
        <w:tc>
          <w:tcPr>
            <w:tcW w:w="0" w:type="auto"/>
            <w:vAlign w:val="center"/>
            <w:hideMark/>
          </w:tcPr>
          <w:p w14:paraId="424EF206"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t>Traditional Synchronous Grid</w:t>
            </w:r>
          </w:p>
        </w:tc>
        <w:tc>
          <w:tcPr>
            <w:tcW w:w="0" w:type="auto"/>
            <w:vAlign w:val="center"/>
            <w:hideMark/>
          </w:tcPr>
          <w:p w14:paraId="69A7999B"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t>Modern Low-Inertia, IBR-Heavy Grid</w:t>
            </w:r>
          </w:p>
        </w:tc>
        <w:tc>
          <w:tcPr>
            <w:tcW w:w="0" w:type="auto"/>
            <w:vAlign w:val="center"/>
            <w:hideMark/>
          </w:tcPr>
          <w:p w14:paraId="5DBCCFCF"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t>Key Implications</w:t>
            </w:r>
          </w:p>
        </w:tc>
      </w:tr>
      <w:tr w:rsidR="00AE63D8" w:rsidRPr="00AE63D8" w14:paraId="5B3FBCA8" w14:textId="77777777" w:rsidTr="00AE63D8">
        <w:trPr>
          <w:tblCellSpacing w:w="15" w:type="dxa"/>
        </w:trPr>
        <w:tc>
          <w:tcPr>
            <w:tcW w:w="0" w:type="auto"/>
            <w:vAlign w:val="center"/>
            <w:hideMark/>
          </w:tcPr>
          <w:p w14:paraId="6F1DD94A"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Dominant Generation</w:t>
            </w:r>
          </w:p>
        </w:tc>
        <w:tc>
          <w:tcPr>
            <w:tcW w:w="0" w:type="auto"/>
            <w:vAlign w:val="center"/>
            <w:hideMark/>
          </w:tcPr>
          <w:p w14:paraId="6725E1F8"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Synchronous Generators (Coal, Gas, Nuclear, Hydro)</w:t>
            </w:r>
          </w:p>
        </w:tc>
        <w:tc>
          <w:tcPr>
            <w:tcW w:w="0" w:type="auto"/>
            <w:vAlign w:val="center"/>
            <w:hideMark/>
          </w:tcPr>
          <w:p w14:paraId="335ACB20"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Inverter-Based Resources (Solar PV, Wind), some Synchronous Gens.</w:t>
            </w:r>
          </w:p>
        </w:tc>
        <w:tc>
          <w:tcPr>
            <w:tcW w:w="0" w:type="auto"/>
            <w:vAlign w:val="center"/>
            <w:hideMark/>
          </w:tcPr>
          <w:p w14:paraId="3D2F50E9"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Change in fundamental physical properties and control responses</w:t>
            </w:r>
          </w:p>
        </w:tc>
      </w:tr>
      <w:tr w:rsidR="00AE63D8" w:rsidRPr="00AE63D8" w14:paraId="30BF9F8E" w14:textId="77777777" w:rsidTr="00AE63D8">
        <w:trPr>
          <w:tblCellSpacing w:w="15" w:type="dxa"/>
        </w:trPr>
        <w:tc>
          <w:tcPr>
            <w:tcW w:w="0" w:type="auto"/>
            <w:vAlign w:val="center"/>
            <w:hideMark/>
          </w:tcPr>
          <w:p w14:paraId="373553D8"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System Inertia</w:t>
            </w:r>
          </w:p>
        </w:tc>
        <w:tc>
          <w:tcPr>
            <w:tcW w:w="0" w:type="auto"/>
            <w:vAlign w:val="center"/>
            <w:hideMark/>
          </w:tcPr>
          <w:p w14:paraId="13DE6501"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High, inherent in rotating masses</w:t>
            </w:r>
          </w:p>
        </w:tc>
        <w:tc>
          <w:tcPr>
            <w:tcW w:w="0" w:type="auto"/>
            <w:vAlign w:val="center"/>
            <w:hideMark/>
          </w:tcPr>
          <w:p w14:paraId="55D5A18B"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Low and Variable (depends on IBR penetration &amp; synchronous units online)</w:t>
            </w:r>
          </w:p>
        </w:tc>
        <w:tc>
          <w:tcPr>
            <w:tcW w:w="0" w:type="auto"/>
            <w:vAlign w:val="center"/>
            <w:hideMark/>
          </w:tcPr>
          <w:p w14:paraId="7FA32497"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Reduced ability to buffer frequency deviations; faster RoCoF</w:t>
            </w:r>
          </w:p>
        </w:tc>
      </w:tr>
      <w:tr w:rsidR="00AE63D8" w:rsidRPr="00AE63D8" w14:paraId="7C5A95BD" w14:textId="77777777" w:rsidTr="00AE63D8">
        <w:trPr>
          <w:tblCellSpacing w:w="15" w:type="dxa"/>
        </w:trPr>
        <w:tc>
          <w:tcPr>
            <w:tcW w:w="0" w:type="auto"/>
            <w:vAlign w:val="center"/>
            <w:hideMark/>
          </w:tcPr>
          <w:p w14:paraId="4258D73D"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lastRenderedPageBreak/>
              <w:t>Rate of Change of Frequency (RoCoF)</w:t>
            </w:r>
          </w:p>
        </w:tc>
        <w:tc>
          <w:tcPr>
            <w:tcW w:w="0" w:type="auto"/>
            <w:vAlign w:val="center"/>
            <w:hideMark/>
          </w:tcPr>
          <w:p w14:paraId="65461207"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Relatively Slow</w:t>
            </w:r>
          </w:p>
        </w:tc>
        <w:tc>
          <w:tcPr>
            <w:tcW w:w="0" w:type="auto"/>
            <w:vAlign w:val="center"/>
            <w:hideMark/>
          </w:tcPr>
          <w:p w14:paraId="4C2E92B3"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Potentially Very High</w:t>
            </w:r>
          </w:p>
        </w:tc>
        <w:tc>
          <w:tcPr>
            <w:tcW w:w="0" w:type="auto"/>
            <w:vAlign w:val="center"/>
            <w:hideMark/>
          </w:tcPr>
          <w:p w14:paraId="31BEB60B"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Challenges control system response times; increases risk of protection tripping &amp; equipment stress</w:t>
            </w:r>
          </w:p>
        </w:tc>
      </w:tr>
      <w:tr w:rsidR="00AE63D8" w:rsidRPr="00AE63D8" w14:paraId="2211A2A2" w14:textId="77777777" w:rsidTr="00AE63D8">
        <w:trPr>
          <w:tblCellSpacing w:w="15" w:type="dxa"/>
        </w:trPr>
        <w:tc>
          <w:tcPr>
            <w:tcW w:w="0" w:type="auto"/>
            <w:vAlign w:val="center"/>
            <w:hideMark/>
          </w:tcPr>
          <w:p w14:paraId="3A2F7A62"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Primary Frequency Control</w:t>
            </w:r>
          </w:p>
        </w:tc>
        <w:tc>
          <w:tcPr>
            <w:tcW w:w="0" w:type="auto"/>
            <w:vAlign w:val="center"/>
            <w:hideMark/>
          </w:tcPr>
          <w:p w14:paraId="4A76CBDB"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Primarily from Synchronous Generator Governors</w:t>
            </w:r>
          </w:p>
        </w:tc>
        <w:tc>
          <w:tcPr>
            <w:tcW w:w="0" w:type="auto"/>
            <w:vAlign w:val="center"/>
            <w:hideMark/>
          </w:tcPr>
          <w:p w14:paraId="4A776A9F"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Reduced contribution from SGs; potential contribution from IBRs (if enabled)</w:t>
            </w:r>
          </w:p>
        </w:tc>
        <w:tc>
          <w:tcPr>
            <w:tcW w:w="0" w:type="auto"/>
            <w:vAlign w:val="center"/>
            <w:hideMark/>
          </w:tcPr>
          <w:p w14:paraId="62423C56"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Need for alternative/supplementary fast frequency response sources</w:t>
            </w:r>
          </w:p>
        </w:tc>
      </w:tr>
      <w:tr w:rsidR="00AE63D8" w:rsidRPr="00AE63D8" w14:paraId="39C0688B" w14:textId="77777777" w:rsidTr="00AE63D8">
        <w:trPr>
          <w:tblCellSpacing w:w="15" w:type="dxa"/>
        </w:trPr>
        <w:tc>
          <w:tcPr>
            <w:tcW w:w="0" w:type="auto"/>
            <w:vAlign w:val="center"/>
            <w:hideMark/>
          </w:tcPr>
          <w:p w14:paraId="1998F034"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Fault Current Contribution</w:t>
            </w:r>
          </w:p>
        </w:tc>
        <w:tc>
          <w:tcPr>
            <w:tcW w:w="0" w:type="auto"/>
            <w:vAlign w:val="center"/>
            <w:hideMark/>
          </w:tcPr>
          <w:p w14:paraId="1B43BC15"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High, from Synchronous Generators</w:t>
            </w:r>
          </w:p>
        </w:tc>
        <w:tc>
          <w:tcPr>
            <w:tcW w:w="0" w:type="auto"/>
            <w:vAlign w:val="center"/>
            <w:hideMark/>
          </w:tcPr>
          <w:p w14:paraId="10932628"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Lower, limited by Inverter Capabilities</w:t>
            </w:r>
          </w:p>
        </w:tc>
        <w:tc>
          <w:tcPr>
            <w:tcW w:w="0" w:type="auto"/>
            <w:vAlign w:val="center"/>
            <w:hideMark/>
          </w:tcPr>
          <w:p w14:paraId="782B8CAB"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Challenges for traditional protection system coordination and operation</w:t>
            </w:r>
          </w:p>
        </w:tc>
      </w:tr>
    </w:tbl>
    <w:p w14:paraId="2577700B"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pict w14:anchorId="6F81EF24">
          <v:rect id="_x0000_i1132" style="width:0;height:1.5pt" o:hralign="center" o:hrstd="t" o:hr="t" fillcolor="#a0a0a0" stroked="f"/>
        </w:pict>
      </w:r>
    </w:p>
    <w:p w14:paraId="72121DC6"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t>III. When the Lights Go Out: The Anatomy of Cascading Failures – Lessons from Past Blackouts</w:t>
      </w:r>
    </w:p>
    <w:p w14:paraId="3C0D3595" w14:textId="7D10E411" w:rsidR="00AE63D8" w:rsidRPr="00AE63D8" w:rsidRDefault="0002338B" w:rsidP="00AE63D8">
      <w:pPr>
        <w:rPr>
          <w:rFonts w:asciiTheme="majorHAnsi" w:hAnsiTheme="majorHAnsi" w:cstheme="majorHAnsi"/>
          <w:sz w:val="22"/>
          <w:szCs w:val="22"/>
        </w:rPr>
      </w:pPr>
      <w:r w:rsidRPr="00AE63D8">
        <w:rPr>
          <w:rFonts w:asciiTheme="majorHAnsi" w:hAnsiTheme="majorHAnsi" w:cstheme="majorHAnsi"/>
          <w:noProof/>
          <w:sz w:val="22"/>
          <w:szCs w:val="22"/>
        </w:rPr>
        <mc:AlternateContent>
          <mc:Choice Requires="wps">
            <w:drawing>
              <wp:inline distT="0" distB="0" distL="0" distR="0" wp14:anchorId="66C01F8D" wp14:editId="6E137F8B">
                <wp:extent cx="301625" cy="301625"/>
                <wp:effectExtent l="0" t="0" r="0" b="0"/>
                <wp:docPr id="1012528345" name="AutoShape 109" descr="Blackout Timel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BD4DC" id="AutoShape 109" o:spid="_x0000_s1026" alt="Blackout Timelin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00AE63D8" w:rsidRPr="00AE63D8">
        <w:rPr>
          <w:rFonts w:asciiTheme="majorHAnsi" w:hAnsiTheme="majorHAnsi" w:cstheme="majorHAnsi"/>
          <w:i/>
          <w:iCs/>
          <w:sz w:val="22"/>
          <w:szCs w:val="22"/>
        </w:rPr>
        <w:t>Timeline of major grid disturbances showing increasing complexity with renewable integration</w:t>
      </w:r>
    </w:p>
    <w:p w14:paraId="61CD6A52"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A cascading failure is a sequence of dependent outages in a power system, where an initial triggering event leads to subsequent failures of other components, potentially culminating in a large-scale blackout. These events are among the most severe threats to grid reliability. The propagation mechanisms are complex and varied, often involving a combination of factors:</w:t>
      </w:r>
    </w:p>
    <w:p w14:paraId="2074B9C9" w14:textId="77777777" w:rsidR="00AE63D8" w:rsidRPr="00AE63D8" w:rsidRDefault="00AE63D8" w:rsidP="00AE63D8">
      <w:pPr>
        <w:numPr>
          <w:ilvl w:val="0"/>
          <w:numId w:val="2"/>
        </w:numPr>
        <w:rPr>
          <w:rFonts w:asciiTheme="majorHAnsi" w:hAnsiTheme="majorHAnsi" w:cstheme="majorHAnsi"/>
          <w:sz w:val="22"/>
          <w:szCs w:val="22"/>
        </w:rPr>
      </w:pPr>
      <w:r w:rsidRPr="00AE63D8">
        <w:rPr>
          <w:rFonts w:asciiTheme="majorHAnsi" w:hAnsiTheme="majorHAnsi" w:cstheme="majorHAnsi"/>
          <w:b/>
          <w:bCs/>
          <w:sz w:val="22"/>
          <w:szCs w:val="22"/>
        </w:rPr>
        <w:t>Line Overloads</w:t>
      </w:r>
      <w:r w:rsidRPr="00AE63D8">
        <w:rPr>
          <w:rFonts w:asciiTheme="majorHAnsi" w:hAnsiTheme="majorHAnsi" w:cstheme="majorHAnsi"/>
          <w:sz w:val="22"/>
          <w:szCs w:val="22"/>
        </w:rPr>
        <w:t>: The loss of one transmission line forces power to reroute onto parallel paths, potentially overloading them beyond their thermal limits, leading to sagging, contact with vegetation, and subsequent tripping.</w:t>
      </w:r>
    </w:p>
    <w:p w14:paraId="3908205F" w14:textId="77777777" w:rsidR="00AE63D8" w:rsidRPr="00AE63D8" w:rsidRDefault="00AE63D8" w:rsidP="00AE63D8">
      <w:pPr>
        <w:numPr>
          <w:ilvl w:val="0"/>
          <w:numId w:val="2"/>
        </w:numPr>
        <w:rPr>
          <w:rFonts w:asciiTheme="majorHAnsi" w:hAnsiTheme="majorHAnsi" w:cstheme="majorHAnsi"/>
          <w:sz w:val="22"/>
          <w:szCs w:val="22"/>
        </w:rPr>
      </w:pPr>
      <w:r w:rsidRPr="00AE63D8">
        <w:rPr>
          <w:rFonts w:asciiTheme="majorHAnsi" w:hAnsiTheme="majorHAnsi" w:cstheme="majorHAnsi"/>
          <w:b/>
          <w:bCs/>
          <w:sz w:val="22"/>
          <w:szCs w:val="22"/>
        </w:rPr>
        <w:t>Voltage Collapse</w:t>
      </w:r>
      <w:r w:rsidRPr="00AE63D8">
        <w:rPr>
          <w:rFonts w:asciiTheme="majorHAnsi" w:hAnsiTheme="majorHAnsi" w:cstheme="majorHAnsi"/>
          <w:sz w:val="22"/>
          <w:szCs w:val="22"/>
        </w:rPr>
        <w:t>: Insufficient reactive power support following contingencies can lead to a progressive decline in voltage levels across an area, potentially causing loads to stall and generators to trip, resulting in a voltage collapse.</w:t>
      </w:r>
    </w:p>
    <w:p w14:paraId="07CEB9E0" w14:textId="77777777" w:rsidR="00AE63D8" w:rsidRPr="00AE63D8" w:rsidRDefault="00AE63D8" w:rsidP="00AE63D8">
      <w:pPr>
        <w:numPr>
          <w:ilvl w:val="0"/>
          <w:numId w:val="2"/>
        </w:numPr>
        <w:rPr>
          <w:rFonts w:asciiTheme="majorHAnsi" w:hAnsiTheme="majorHAnsi" w:cstheme="majorHAnsi"/>
          <w:sz w:val="22"/>
          <w:szCs w:val="22"/>
        </w:rPr>
      </w:pPr>
      <w:r w:rsidRPr="00AE63D8">
        <w:rPr>
          <w:rFonts w:asciiTheme="majorHAnsi" w:hAnsiTheme="majorHAnsi" w:cstheme="majorHAnsi"/>
          <w:b/>
          <w:bCs/>
          <w:sz w:val="22"/>
          <w:szCs w:val="22"/>
        </w:rPr>
        <w:t>Frequency Instability</w:t>
      </w:r>
      <w:r w:rsidRPr="00AE63D8">
        <w:rPr>
          <w:rFonts w:asciiTheme="majorHAnsi" w:hAnsiTheme="majorHAnsi" w:cstheme="majorHAnsi"/>
          <w:sz w:val="22"/>
          <w:szCs w:val="22"/>
        </w:rPr>
        <w:t>: Large power imbalances in low-inertia systems can lead to rapid frequency deviations (high RoCoF) or sustained under/over-frequency conditions, triggering protective relays on generators and loads.</w:t>
      </w:r>
    </w:p>
    <w:p w14:paraId="20BD864B" w14:textId="77777777" w:rsidR="00AE63D8" w:rsidRPr="00AE63D8" w:rsidRDefault="00AE63D8" w:rsidP="00AE63D8">
      <w:pPr>
        <w:numPr>
          <w:ilvl w:val="0"/>
          <w:numId w:val="2"/>
        </w:numPr>
        <w:rPr>
          <w:rFonts w:asciiTheme="majorHAnsi" w:hAnsiTheme="majorHAnsi" w:cstheme="majorHAnsi"/>
          <w:sz w:val="22"/>
          <w:szCs w:val="22"/>
        </w:rPr>
      </w:pPr>
      <w:r w:rsidRPr="00AE63D8">
        <w:rPr>
          <w:rFonts w:asciiTheme="majorHAnsi" w:hAnsiTheme="majorHAnsi" w:cstheme="majorHAnsi"/>
          <w:b/>
          <w:bCs/>
          <w:sz w:val="22"/>
          <w:szCs w:val="22"/>
        </w:rPr>
        <w:t>Protection System Actions</w:t>
      </w:r>
      <w:r w:rsidRPr="00AE63D8">
        <w:rPr>
          <w:rFonts w:asciiTheme="majorHAnsi" w:hAnsiTheme="majorHAnsi" w:cstheme="majorHAnsi"/>
          <w:sz w:val="22"/>
          <w:szCs w:val="22"/>
        </w:rPr>
        <w:t>: Hidden failures, incorrect settings, or the designed operation of protection systems can sometimes fail to isolate the initial problem or may even contribute to the cascade by unnecessarily tripping healthy equipment. Approximately 70% of major disturbances involve protection systems.</w:t>
      </w:r>
    </w:p>
    <w:p w14:paraId="21D59C67"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Historical blackouts provide critical insights into these mechanisms and the evolving nature of grid vulnerabilities:</w:t>
      </w:r>
    </w:p>
    <w:p w14:paraId="1ADDD4E4"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lastRenderedPageBreak/>
        <w:t>US Northeast Blackout (2003)</w:t>
      </w:r>
    </w:p>
    <w:p w14:paraId="4B3CEE84"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This event, affecting millions in the US and Canada, was triggered by transmission lines contacting trees amid high power flows and inadequate vegetation management. It cascaded due to failures in situational awareness, inadequate operator tools, and subsequent voltage collapse. It serves as a benchmark for understanding the interplay of operational failures and physical limits.</w:t>
      </w:r>
    </w:p>
    <w:p w14:paraId="7B9726ED"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t>South Australia Blackout (September 28, 2016)</w:t>
      </w:r>
    </w:p>
    <w:p w14:paraId="70BD3E4B"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Triggered by a severe storm damaging multiple transmission lines, this event saw a massive loss of wind generation (445 MW) due to repeated voltage dips activating protection settings. The system, operating with very high IBR penetration (48.36%) and record low inertia (3000 MW·s), experienced an extreme RoCoF (up to 6.1 Hz/s) and a frequency drop to 47 Hz. This led to the protective tripping of the interconnector supplying stabilizing power, resulting in a statewide blackout. This incident demonstrated the potential for extreme instability in very low inertia conditions.</w:t>
      </w:r>
    </w:p>
    <w:p w14:paraId="270BA82D"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t>UK Blackout (August 9, 2019)</w:t>
      </w:r>
    </w:p>
    <w:p w14:paraId="053F939A"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Initiated by a lightning strike tripping a transmission line, this event quickly escalated due to the nearly simultaneous loss of a gas power station and an offshore wind farm, followed by the tripping of ~345 MW of distributed generation due to RoCoF exceeding relay settings (0.135 Hz/s vs 0.125 Hz/s threshold). This highlighted the direct impact of RoCoF sensitivity in a system with significant (~30%) wind penetration and relatively low inertia (210 GW·s). This event served as a stark warning about unexpected behaviors in transitioning grids, revealing a critical knowledge gap in managing such systems.</w:t>
      </w:r>
    </w:p>
    <w:p w14:paraId="730E38D5"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t>Iberian Peninsula Blackout (April 28, 2025)</w:t>
      </w:r>
    </w:p>
    <w:p w14:paraId="03A744EF"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The most recent major event affected mainland Spain and Portugal, causing a complete system collapse that lasted up to 10 hours in most areas. Preliminary investigations point to oscillations between the Iberian Peninsula and the rest of the European grid, potentially related to the high penetration of renewable energy in Spain's power mix (56% in 2024). Two significant inter-area oscillations were observed in the 30 minutes before the blackout, eventually leading to separation from the continental European system and subsequent collapse.</w:t>
      </w:r>
    </w:p>
    <w:p w14:paraId="430C3A8C"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These events underscore that cascading failures can be triggered by diverse events, including natural phenomena, equipment failures, and operational errors. The increasing prevalence of extreme weather events acts as a significant threat multiplier for grid stability, particularly in low-inertia systems.</w:t>
      </w:r>
    </w:p>
    <w:p w14:paraId="472EEFC4"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pict w14:anchorId="73875E94">
          <v:rect id="_x0000_i1134" style="width:0;height:1.5pt" o:hralign="center" o:hrstd="t" o:hr="t" fillcolor="#a0a0a0" stroked="f"/>
        </w:pict>
      </w:r>
    </w:p>
    <w:p w14:paraId="6EB1030C"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t>IV. Awakening from Darkness: The Evolving Challenge of Black Start Capabilities</w:t>
      </w:r>
    </w:p>
    <w:p w14:paraId="17CEE331" w14:textId="28F102D3" w:rsidR="00AE63D8" w:rsidRPr="00AE63D8" w:rsidRDefault="0002338B" w:rsidP="00AE63D8">
      <w:pPr>
        <w:rPr>
          <w:rFonts w:asciiTheme="majorHAnsi" w:hAnsiTheme="majorHAnsi" w:cstheme="majorHAnsi"/>
          <w:sz w:val="22"/>
          <w:szCs w:val="22"/>
        </w:rPr>
      </w:pPr>
      <w:r w:rsidRPr="00AE63D8">
        <w:rPr>
          <w:rFonts w:asciiTheme="majorHAnsi" w:hAnsiTheme="majorHAnsi" w:cstheme="majorHAnsi"/>
          <w:noProof/>
          <w:sz w:val="22"/>
          <w:szCs w:val="22"/>
        </w:rPr>
        <mc:AlternateContent>
          <mc:Choice Requires="wps">
            <w:drawing>
              <wp:inline distT="0" distB="0" distL="0" distR="0" wp14:anchorId="2B44455C" wp14:editId="3032D3B8">
                <wp:extent cx="301625" cy="301625"/>
                <wp:effectExtent l="0" t="0" r="0" b="0"/>
                <wp:docPr id="149235941" name="AutoShape 111" descr="Black Start Illustr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0DDE9E" id="AutoShape 111" o:spid="_x0000_s1026" alt="Black Start Illustration"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00AE63D8" w:rsidRPr="00AE63D8">
        <w:rPr>
          <w:rFonts w:asciiTheme="majorHAnsi" w:hAnsiTheme="majorHAnsi" w:cstheme="majorHAnsi"/>
          <w:i/>
          <w:iCs/>
          <w:sz w:val="22"/>
          <w:szCs w:val="22"/>
        </w:rPr>
        <w:t>The sequential process of restoring power following a complete system blackout</w:t>
      </w:r>
    </w:p>
    <w:p w14:paraId="76EE7DC7"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In the aftermath of a widespread blackout, the ability to restart the power system from a state of complete shutdown is paramount. This process, known as Black Start, represents the ultimate safety net for grid resilience, enabling recovery from the most severe disturbances.</w:t>
      </w:r>
    </w:p>
    <w:p w14:paraId="365C373A"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lastRenderedPageBreak/>
        <w:t>The Herculean Task: Re-energizing a Collapsed Grid</w:t>
      </w:r>
    </w:p>
    <w:p w14:paraId="0ABF7055"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Black Start is the procedure used to recover from a total or partial shutdown of the transmission system that has caused an extensive loss of electricity supply, without relying on power from the external network. It is a complex, meticulously planned, and carefully executed operation.</w:t>
      </w:r>
    </w:p>
    <w:p w14:paraId="6D45328F"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Historically, the process has relied on specific power stations, often older fossil-fueled (like coal or gas turbines) or hydroelectric plants, possessing the intrinsic capability to start their own generators without an external power source. These designated Black Start units are the first responders. Once operational, they energize sections of the transmission network, creating isolated "power islands". These islands are then used to supply power to restart other, larger power plants that lack self-start capability ("next-start units") and to gradually reconnect customer load in a controlled manner.</w:t>
      </w:r>
    </w:p>
    <w:p w14:paraId="12B1954F"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t>New Hurdles for an Old Foe: Black Start in the Age of Renewables and Decentralization</w:t>
      </w:r>
    </w:p>
    <w:p w14:paraId="41B9A6D4"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The changing energy landscape introduces significant new challenges to this traditional Black Start paradigm:</w:t>
      </w:r>
    </w:p>
    <w:p w14:paraId="0A41F686" w14:textId="77777777" w:rsidR="00AE63D8" w:rsidRPr="00AE63D8" w:rsidRDefault="00AE63D8" w:rsidP="00AE63D8">
      <w:pPr>
        <w:numPr>
          <w:ilvl w:val="0"/>
          <w:numId w:val="3"/>
        </w:numPr>
        <w:rPr>
          <w:rFonts w:asciiTheme="majorHAnsi" w:hAnsiTheme="majorHAnsi" w:cstheme="majorHAnsi"/>
          <w:sz w:val="22"/>
          <w:szCs w:val="22"/>
        </w:rPr>
      </w:pPr>
      <w:r w:rsidRPr="00AE63D8">
        <w:rPr>
          <w:rFonts w:asciiTheme="majorHAnsi" w:hAnsiTheme="majorHAnsi" w:cstheme="majorHAnsi"/>
          <w:b/>
          <w:bCs/>
          <w:sz w:val="22"/>
          <w:szCs w:val="22"/>
        </w:rPr>
        <w:t>Decline of Traditional Resources</w:t>
      </w:r>
      <w:r w:rsidRPr="00AE63D8">
        <w:rPr>
          <w:rFonts w:asciiTheme="majorHAnsi" w:hAnsiTheme="majorHAnsi" w:cstheme="majorHAnsi"/>
          <w:sz w:val="22"/>
          <w:szCs w:val="22"/>
        </w:rPr>
        <w:t>: The retirement of coal-fired power plants and older gas turbines, which have historically formed the backbone of Black Start capability in many regions, is shrinking the pool of readily available, proven Black Start resources.</w:t>
      </w:r>
    </w:p>
    <w:p w14:paraId="1F9B2E8D" w14:textId="77777777" w:rsidR="00AE63D8" w:rsidRPr="00AE63D8" w:rsidRDefault="00AE63D8" w:rsidP="00AE63D8">
      <w:pPr>
        <w:numPr>
          <w:ilvl w:val="0"/>
          <w:numId w:val="3"/>
        </w:numPr>
        <w:rPr>
          <w:rFonts w:asciiTheme="majorHAnsi" w:hAnsiTheme="majorHAnsi" w:cstheme="majorHAnsi"/>
          <w:sz w:val="22"/>
          <w:szCs w:val="22"/>
        </w:rPr>
      </w:pPr>
      <w:r w:rsidRPr="00AE63D8">
        <w:rPr>
          <w:rFonts w:asciiTheme="majorHAnsi" w:hAnsiTheme="majorHAnsi" w:cstheme="majorHAnsi"/>
          <w:b/>
          <w:bCs/>
          <w:sz w:val="22"/>
          <w:szCs w:val="22"/>
        </w:rPr>
        <w:t>IBR Limitations</w:t>
      </w:r>
      <w:r w:rsidRPr="00AE63D8">
        <w:rPr>
          <w:rFonts w:asciiTheme="majorHAnsi" w:hAnsiTheme="majorHAnsi" w:cstheme="majorHAnsi"/>
          <w:sz w:val="22"/>
          <w:szCs w:val="22"/>
        </w:rPr>
        <w:t>: Most existing IBRs, particularly grid-following wind and solar farms, are not inherently capable of initiating a Black Start. They typically require a stable voltage and frequency signal from an energized grid to synchronize and begin operation.</w:t>
      </w:r>
    </w:p>
    <w:p w14:paraId="1F558FB9" w14:textId="77777777" w:rsidR="00AE63D8" w:rsidRPr="00AE63D8" w:rsidRDefault="00AE63D8" w:rsidP="00AE63D8">
      <w:pPr>
        <w:numPr>
          <w:ilvl w:val="0"/>
          <w:numId w:val="3"/>
        </w:numPr>
        <w:rPr>
          <w:rFonts w:asciiTheme="majorHAnsi" w:hAnsiTheme="majorHAnsi" w:cstheme="majorHAnsi"/>
          <w:sz w:val="22"/>
          <w:szCs w:val="22"/>
        </w:rPr>
      </w:pPr>
      <w:r w:rsidRPr="00AE63D8">
        <w:rPr>
          <w:rFonts w:asciiTheme="majorHAnsi" w:hAnsiTheme="majorHAnsi" w:cstheme="majorHAnsi"/>
          <w:b/>
          <w:bCs/>
          <w:sz w:val="22"/>
          <w:szCs w:val="22"/>
        </w:rPr>
        <w:t>Low Inertia Complicates Restoration</w:t>
      </w:r>
      <w:r w:rsidRPr="00AE63D8">
        <w:rPr>
          <w:rFonts w:asciiTheme="majorHAnsi" w:hAnsiTheme="majorHAnsi" w:cstheme="majorHAnsi"/>
          <w:sz w:val="22"/>
          <w:szCs w:val="22"/>
        </w:rPr>
        <w:t>: Attempting to re-energize and stabilize power islands in a system with inherently low inertia is more difficult. Frequency and voltage can be much more sensitive to the switching of loads or the connection of new generation, increasing the risk of instability during the delicate restoration process itself.</w:t>
      </w:r>
    </w:p>
    <w:p w14:paraId="30775E09" w14:textId="77777777" w:rsidR="00AE63D8" w:rsidRPr="00AE63D8" w:rsidRDefault="00AE63D8" w:rsidP="00AE63D8">
      <w:pPr>
        <w:numPr>
          <w:ilvl w:val="0"/>
          <w:numId w:val="3"/>
        </w:numPr>
        <w:rPr>
          <w:rFonts w:asciiTheme="majorHAnsi" w:hAnsiTheme="majorHAnsi" w:cstheme="majorHAnsi"/>
          <w:sz w:val="22"/>
          <w:szCs w:val="22"/>
        </w:rPr>
      </w:pPr>
      <w:r w:rsidRPr="00AE63D8">
        <w:rPr>
          <w:rFonts w:asciiTheme="majorHAnsi" w:hAnsiTheme="majorHAnsi" w:cstheme="majorHAnsi"/>
          <w:b/>
          <w:bCs/>
          <w:sz w:val="22"/>
          <w:szCs w:val="22"/>
        </w:rPr>
        <w:t>Fuel Assurance</w:t>
      </w:r>
      <w:r w:rsidRPr="00AE63D8">
        <w:rPr>
          <w:rFonts w:asciiTheme="majorHAnsi" w:hAnsiTheme="majorHAnsi" w:cstheme="majorHAnsi"/>
          <w:sz w:val="22"/>
          <w:szCs w:val="22"/>
        </w:rPr>
        <w:t>: Many remaining or newly designated Black Start units rely on natural gas. This creates a critical interdependency: a Black Start might fail if the designated generators cannot secure fuel precisely when needed.</w:t>
      </w:r>
    </w:p>
    <w:p w14:paraId="6E5F5117"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Recognizing these challenges, grid operators and regulators are actively exploring and developing new approaches and technologies:</w:t>
      </w:r>
    </w:p>
    <w:p w14:paraId="59B6C6AE" w14:textId="77777777" w:rsidR="00AE63D8" w:rsidRPr="00AE63D8" w:rsidRDefault="00AE63D8" w:rsidP="00AE63D8">
      <w:pPr>
        <w:numPr>
          <w:ilvl w:val="0"/>
          <w:numId w:val="4"/>
        </w:numPr>
        <w:rPr>
          <w:rFonts w:asciiTheme="majorHAnsi" w:hAnsiTheme="majorHAnsi" w:cstheme="majorHAnsi"/>
          <w:sz w:val="22"/>
          <w:szCs w:val="22"/>
        </w:rPr>
      </w:pPr>
      <w:r w:rsidRPr="00AE63D8">
        <w:rPr>
          <w:rFonts w:asciiTheme="majorHAnsi" w:hAnsiTheme="majorHAnsi" w:cstheme="majorHAnsi"/>
          <w:b/>
          <w:bCs/>
          <w:sz w:val="22"/>
          <w:szCs w:val="22"/>
        </w:rPr>
        <w:t>Grid-Forming (GFM) Inverters and BESS</w:t>
      </w:r>
      <w:r w:rsidRPr="00AE63D8">
        <w:rPr>
          <w:rFonts w:asciiTheme="majorHAnsi" w:hAnsiTheme="majorHAnsi" w:cstheme="majorHAnsi"/>
          <w:sz w:val="22"/>
          <w:szCs w:val="22"/>
        </w:rPr>
        <w:t>: GFM technology, particularly when paired with Battery Energy Storage Systems (BESS), holds significant promise for Black Start. GFM inverters can establish a stable voltage and frequency reference independent of the grid, potentially creating the initial power islands needed for restoration.</w:t>
      </w:r>
    </w:p>
    <w:p w14:paraId="53F0EDA2" w14:textId="77777777" w:rsidR="00AE63D8" w:rsidRPr="00AE63D8" w:rsidRDefault="00AE63D8" w:rsidP="00AE63D8">
      <w:pPr>
        <w:numPr>
          <w:ilvl w:val="0"/>
          <w:numId w:val="4"/>
        </w:numPr>
        <w:rPr>
          <w:rFonts w:asciiTheme="majorHAnsi" w:hAnsiTheme="majorHAnsi" w:cstheme="majorHAnsi"/>
          <w:sz w:val="22"/>
          <w:szCs w:val="22"/>
        </w:rPr>
      </w:pPr>
      <w:r w:rsidRPr="00AE63D8">
        <w:rPr>
          <w:rFonts w:asciiTheme="majorHAnsi" w:hAnsiTheme="majorHAnsi" w:cstheme="majorHAnsi"/>
          <w:b/>
          <w:bCs/>
          <w:sz w:val="22"/>
          <w:szCs w:val="22"/>
        </w:rPr>
        <w:t>Evolving Strategies</w:t>
      </w:r>
      <w:r w:rsidRPr="00AE63D8">
        <w:rPr>
          <w:rFonts w:asciiTheme="majorHAnsi" w:hAnsiTheme="majorHAnsi" w:cstheme="majorHAnsi"/>
          <w:sz w:val="22"/>
          <w:szCs w:val="22"/>
        </w:rPr>
        <w:t>: The UK's ESO provides a notable example of a forward-looking strategy. Their vision for the mid-2020s includes a fully competitive Black Start procurement process open to diverse technologies (wind, DERs, interconnectors, storage) connected at various voltage levels.</w:t>
      </w:r>
    </w:p>
    <w:p w14:paraId="5CD93352" w14:textId="77777777" w:rsidR="00AE63D8" w:rsidRPr="00AE63D8" w:rsidRDefault="00AE63D8" w:rsidP="00AE63D8">
      <w:pPr>
        <w:numPr>
          <w:ilvl w:val="0"/>
          <w:numId w:val="4"/>
        </w:numPr>
        <w:rPr>
          <w:rFonts w:asciiTheme="majorHAnsi" w:hAnsiTheme="majorHAnsi" w:cstheme="majorHAnsi"/>
          <w:sz w:val="22"/>
          <w:szCs w:val="22"/>
        </w:rPr>
      </w:pPr>
      <w:r w:rsidRPr="00AE63D8">
        <w:rPr>
          <w:rFonts w:asciiTheme="majorHAnsi" w:hAnsiTheme="majorHAnsi" w:cstheme="majorHAnsi"/>
          <w:b/>
          <w:bCs/>
          <w:sz w:val="22"/>
          <w:szCs w:val="22"/>
        </w:rPr>
        <w:lastRenderedPageBreak/>
        <w:t>Regulatory Focus</w:t>
      </w:r>
      <w:r w:rsidRPr="00AE63D8">
        <w:rPr>
          <w:rFonts w:asciiTheme="majorHAnsi" w:hAnsiTheme="majorHAnsi" w:cstheme="majorHAnsi"/>
          <w:sz w:val="22"/>
          <w:szCs w:val="22"/>
        </w:rPr>
        <w:t>: Joint FERC-NERC efforts are focusing on improving Black Start planning, enhancing testing protocols, promoting resource diversity, and critically, improving electric-natural gas coordination.</w:t>
      </w:r>
    </w:p>
    <w:p w14:paraId="1392B7F8"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pict w14:anchorId="75259BFB">
          <v:rect id="_x0000_i1136" style="width:0;height:1.5pt" o:hralign="center" o:hrstd="t" o:hr="t" fillcolor="#a0a0a0" stroked="f"/>
        </w:pict>
      </w:r>
    </w:p>
    <w:p w14:paraId="7EA85D23"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t>V. Charting a Resilient Trajectory: Innovations and Imperatives for a Secure Energy Future</w:t>
      </w:r>
    </w:p>
    <w:p w14:paraId="1C0A02D3" w14:textId="11A8C89E" w:rsidR="00AE63D8" w:rsidRPr="00AE63D8" w:rsidRDefault="0002338B" w:rsidP="00AE63D8">
      <w:pPr>
        <w:rPr>
          <w:rFonts w:asciiTheme="majorHAnsi" w:hAnsiTheme="majorHAnsi" w:cstheme="majorHAnsi"/>
          <w:sz w:val="22"/>
          <w:szCs w:val="22"/>
        </w:rPr>
      </w:pPr>
      <w:r w:rsidRPr="00AE63D8">
        <w:rPr>
          <w:rFonts w:asciiTheme="majorHAnsi" w:hAnsiTheme="majorHAnsi" w:cstheme="majorHAnsi"/>
          <w:noProof/>
          <w:sz w:val="22"/>
          <w:szCs w:val="22"/>
        </w:rPr>
        <mc:AlternateContent>
          <mc:Choice Requires="wps">
            <w:drawing>
              <wp:inline distT="0" distB="0" distL="0" distR="0" wp14:anchorId="3EDDE9EA" wp14:editId="44CD43A4">
                <wp:extent cx="301625" cy="301625"/>
                <wp:effectExtent l="0" t="0" r="0" b="0"/>
                <wp:docPr id="502457589" name="AutoShape 113" descr="Grid Innov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609A01" id="AutoShape 113" o:spid="_x0000_s1026" alt="Grid Innovation"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00AE63D8" w:rsidRPr="00AE63D8">
        <w:rPr>
          <w:rFonts w:asciiTheme="majorHAnsi" w:hAnsiTheme="majorHAnsi" w:cstheme="majorHAnsi"/>
          <w:i/>
          <w:iCs/>
          <w:sz w:val="22"/>
          <w:szCs w:val="22"/>
        </w:rPr>
        <w:t>Integrated solutions for grid stability combining Grid-Forming inverters, HVDC, and energy storage</w:t>
      </w:r>
    </w:p>
    <w:p w14:paraId="471B1CE9"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Addressing the multifaceted challenges of grid stability, cascading failures, and Black Start capability in an evolving energy system requires a concerted effort leveraging technological innovation, robust infrastructure, adaptive standards, and forward-thinking policy.</w:t>
      </w:r>
    </w:p>
    <w:p w14:paraId="763102B0"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t>The Rise of Intelligent Silicon: Grid-Forming Inverters (GFM) and the Promise of Synthetic Stability</w:t>
      </w:r>
    </w:p>
    <w:p w14:paraId="5141174B"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A cornerstone technology emerging to address the stability challenges posed by declining synchronous inertia is the Grid-Forming (GFM) inverter. Unlike conventional Grid-Following (GFL) inverters, which rely on detecting an existing stable grid voltage and frequency waveform to synchronize and inject current, GFM inverters possess the control intelligence to establish their own voltage and frequency reference.</w:t>
      </w:r>
    </w:p>
    <w:p w14:paraId="49276DBD"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This fundamental difference enables GFM inverters, particularly when coupled with energy storage like BESS, to provide critical grid services traditionally supplied by synchronous generators:</w:t>
      </w:r>
    </w:p>
    <w:p w14:paraId="08A9CF2B" w14:textId="77777777" w:rsidR="00AE63D8" w:rsidRPr="00AE63D8" w:rsidRDefault="00AE63D8" w:rsidP="00AE63D8">
      <w:pPr>
        <w:numPr>
          <w:ilvl w:val="0"/>
          <w:numId w:val="5"/>
        </w:numPr>
        <w:rPr>
          <w:rFonts w:asciiTheme="majorHAnsi" w:hAnsiTheme="majorHAnsi" w:cstheme="majorHAnsi"/>
          <w:sz w:val="22"/>
          <w:szCs w:val="22"/>
        </w:rPr>
      </w:pPr>
      <w:r w:rsidRPr="00AE63D8">
        <w:rPr>
          <w:rFonts w:asciiTheme="majorHAnsi" w:hAnsiTheme="majorHAnsi" w:cstheme="majorHAnsi"/>
          <w:b/>
          <w:bCs/>
          <w:sz w:val="22"/>
          <w:szCs w:val="22"/>
        </w:rPr>
        <w:t>Synthetic Inertia</w:t>
      </w:r>
      <w:r w:rsidRPr="00AE63D8">
        <w:rPr>
          <w:rFonts w:asciiTheme="majorHAnsi" w:hAnsiTheme="majorHAnsi" w:cstheme="majorHAnsi"/>
          <w:sz w:val="22"/>
          <w:szCs w:val="22"/>
        </w:rPr>
        <w:t>: By rapidly adjusting their power output in response to frequency changes (or the rate of change of frequency), GFM inverters can emulate the stabilizing inertial response of rotating machines, helping to slow down RoCoF during disturbances.</w:t>
      </w:r>
    </w:p>
    <w:p w14:paraId="757D607C" w14:textId="77777777" w:rsidR="00AE63D8" w:rsidRPr="00AE63D8" w:rsidRDefault="00AE63D8" w:rsidP="00AE63D8">
      <w:pPr>
        <w:numPr>
          <w:ilvl w:val="0"/>
          <w:numId w:val="5"/>
        </w:numPr>
        <w:rPr>
          <w:rFonts w:asciiTheme="majorHAnsi" w:hAnsiTheme="majorHAnsi" w:cstheme="majorHAnsi"/>
          <w:sz w:val="22"/>
          <w:szCs w:val="22"/>
        </w:rPr>
      </w:pPr>
      <w:r w:rsidRPr="00AE63D8">
        <w:rPr>
          <w:rFonts w:asciiTheme="majorHAnsi" w:hAnsiTheme="majorHAnsi" w:cstheme="majorHAnsi"/>
          <w:b/>
          <w:bCs/>
          <w:sz w:val="22"/>
          <w:szCs w:val="22"/>
        </w:rPr>
        <w:t>Voltage and Frequency Regulation</w:t>
      </w:r>
      <w:r w:rsidRPr="00AE63D8">
        <w:rPr>
          <w:rFonts w:asciiTheme="majorHAnsi" w:hAnsiTheme="majorHAnsi" w:cstheme="majorHAnsi"/>
          <w:sz w:val="22"/>
          <w:szCs w:val="22"/>
        </w:rPr>
        <w:t>: GFM controls allow IBRs to actively participate in regulating system voltage and frequency, contributing to primary frequency control and maintaining stability.</w:t>
      </w:r>
    </w:p>
    <w:p w14:paraId="65EB7A44" w14:textId="77777777" w:rsidR="00AE63D8" w:rsidRPr="00AE63D8" w:rsidRDefault="00AE63D8" w:rsidP="00AE63D8">
      <w:pPr>
        <w:numPr>
          <w:ilvl w:val="0"/>
          <w:numId w:val="5"/>
        </w:numPr>
        <w:rPr>
          <w:rFonts w:asciiTheme="majorHAnsi" w:hAnsiTheme="majorHAnsi" w:cstheme="majorHAnsi"/>
          <w:sz w:val="22"/>
          <w:szCs w:val="22"/>
        </w:rPr>
      </w:pPr>
      <w:r w:rsidRPr="00AE63D8">
        <w:rPr>
          <w:rFonts w:asciiTheme="majorHAnsi" w:hAnsiTheme="majorHAnsi" w:cstheme="majorHAnsi"/>
          <w:b/>
          <w:bCs/>
          <w:sz w:val="22"/>
          <w:szCs w:val="22"/>
        </w:rPr>
        <w:t>System Strength Enhancement</w:t>
      </w:r>
      <w:r w:rsidRPr="00AE63D8">
        <w:rPr>
          <w:rFonts w:asciiTheme="majorHAnsi" w:hAnsiTheme="majorHAnsi" w:cstheme="majorHAnsi"/>
          <w:sz w:val="22"/>
          <w:szCs w:val="22"/>
        </w:rPr>
        <w:t>: In areas with weak grid connections (low short-circuit capacity), GFM inverters can provide a stable voltage backbone, improving the performance and stability of nearby GFL resources and the overall system.</w:t>
      </w:r>
    </w:p>
    <w:p w14:paraId="15BE8169" w14:textId="77777777" w:rsidR="00AE63D8" w:rsidRPr="00AE63D8" w:rsidRDefault="00AE63D8" w:rsidP="00AE63D8">
      <w:pPr>
        <w:numPr>
          <w:ilvl w:val="0"/>
          <w:numId w:val="5"/>
        </w:numPr>
        <w:rPr>
          <w:rFonts w:asciiTheme="majorHAnsi" w:hAnsiTheme="majorHAnsi" w:cstheme="majorHAnsi"/>
          <w:sz w:val="22"/>
          <w:szCs w:val="22"/>
        </w:rPr>
      </w:pPr>
      <w:r w:rsidRPr="00AE63D8">
        <w:rPr>
          <w:rFonts w:asciiTheme="majorHAnsi" w:hAnsiTheme="majorHAnsi" w:cstheme="majorHAnsi"/>
          <w:b/>
          <w:bCs/>
          <w:sz w:val="22"/>
          <w:szCs w:val="22"/>
        </w:rPr>
        <w:t>Black Start Capability</w:t>
      </w:r>
      <w:r w:rsidRPr="00AE63D8">
        <w:rPr>
          <w:rFonts w:asciiTheme="majorHAnsi" w:hAnsiTheme="majorHAnsi" w:cstheme="majorHAnsi"/>
          <w:sz w:val="22"/>
          <w:szCs w:val="22"/>
        </w:rPr>
        <w:t>: The ability of GFM inverters to establish an independent voltage source makes them potential candidates for initiating grid restoration following a blackout.</w:t>
      </w:r>
    </w:p>
    <w:p w14:paraId="4877528A"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Recognizing the transformative potential of GFM technology, significant research and development efforts are underway. The U.S. National Renewable Energy Laboratory (NREL) has outlined a multiyear research roadmap focusing on resolving technical challenges, developing hardware and control software, conducting laboratory and field demonstrations, and ultimately establishing technical standards for widespread adoption.</w:t>
      </w:r>
    </w:p>
    <w:p w14:paraId="24A65738"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t>Weaving a Stronger Web: The Role of Interconnections, HVDC, and Advanced Grid Management</w:t>
      </w:r>
    </w:p>
    <w:p w14:paraId="1C6CC614"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lastRenderedPageBreak/>
        <w:t>Strengthening the physical transmission network and enhancing its management are crucial complements to deploying advanced generation technologies. Robust interconnections between different regions and balancing areas enhance overall grid reliability and resilience by allowing systems to share generation reserves, access more diverse energy resources, optimize generation dispatch economically, and provide mutual support during disturbances.</w:t>
      </w:r>
    </w:p>
    <w:p w14:paraId="13F7B2BA"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High Voltage Direct Current (HVDC) technology plays a vital role in enabling and enhancing these interconnections. HVDC offers several advantages over traditional High Voltage Alternating Current (HVAC) transmission, particularly for:</w:t>
      </w:r>
    </w:p>
    <w:p w14:paraId="20904BA9" w14:textId="77777777" w:rsidR="00AE63D8" w:rsidRPr="00AE63D8" w:rsidRDefault="00AE63D8" w:rsidP="00AE63D8">
      <w:pPr>
        <w:numPr>
          <w:ilvl w:val="0"/>
          <w:numId w:val="6"/>
        </w:numPr>
        <w:rPr>
          <w:rFonts w:asciiTheme="majorHAnsi" w:hAnsiTheme="majorHAnsi" w:cstheme="majorHAnsi"/>
          <w:sz w:val="22"/>
          <w:szCs w:val="22"/>
        </w:rPr>
      </w:pPr>
      <w:r w:rsidRPr="00AE63D8">
        <w:rPr>
          <w:rFonts w:asciiTheme="majorHAnsi" w:hAnsiTheme="majorHAnsi" w:cstheme="majorHAnsi"/>
          <w:b/>
          <w:bCs/>
          <w:sz w:val="22"/>
          <w:szCs w:val="22"/>
        </w:rPr>
        <w:t>Long-Distance Transmission</w:t>
      </w:r>
      <w:r w:rsidRPr="00AE63D8">
        <w:rPr>
          <w:rFonts w:asciiTheme="majorHAnsi" w:hAnsiTheme="majorHAnsi" w:cstheme="majorHAnsi"/>
          <w:sz w:val="22"/>
          <w:szCs w:val="22"/>
        </w:rPr>
        <w:t>: HVDC lines experience significantly lower power losses over long distances, making them ideal for transmitting bulk power from remote renewable generation sites to load centers.</w:t>
      </w:r>
    </w:p>
    <w:p w14:paraId="5AB34DD0" w14:textId="77777777" w:rsidR="00AE63D8" w:rsidRPr="00AE63D8" w:rsidRDefault="00AE63D8" w:rsidP="00AE63D8">
      <w:pPr>
        <w:numPr>
          <w:ilvl w:val="0"/>
          <w:numId w:val="6"/>
        </w:numPr>
        <w:rPr>
          <w:rFonts w:asciiTheme="majorHAnsi" w:hAnsiTheme="majorHAnsi" w:cstheme="majorHAnsi"/>
          <w:sz w:val="22"/>
          <w:szCs w:val="22"/>
        </w:rPr>
      </w:pPr>
      <w:r w:rsidRPr="00AE63D8">
        <w:rPr>
          <w:rFonts w:asciiTheme="majorHAnsi" w:hAnsiTheme="majorHAnsi" w:cstheme="majorHAnsi"/>
          <w:b/>
          <w:bCs/>
          <w:sz w:val="22"/>
          <w:szCs w:val="22"/>
        </w:rPr>
        <w:t>Asynchronous Interconnections</w:t>
      </w:r>
      <w:r w:rsidRPr="00AE63D8">
        <w:rPr>
          <w:rFonts w:asciiTheme="majorHAnsi" w:hAnsiTheme="majorHAnsi" w:cstheme="majorHAnsi"/>
          <w:sz w:val="22"/>
          <w:szCs w:val="22"/>
        </w:rPr>
        <w:t>: HVDC allows grids operating at different frequencies or grids that are not synchronized to be connected and exchange power, enhancing stability by preventing disturbances in one grid from directly propagating to the other.</w:t>
      </w:r>
    </w:p>
    <w:p w14:paraId="2BBCFFFA" w14:textId="77777777" w:rsidR="00AE63D8" w:rsidRPr="00AE63D8" w:rsidRDefault="00AE63D8" w:rsidP="00AE63D8">
      <w:pPr>
        <w:numPr>
          <w:ilvl w:val="0"/>
          <w:numId w:val="6"/>
        </w:numPr>
        <w:rPr>
          <w:rFonts w:asciiTheme="majorHAnsi" w:hAnsiTheme="majorHAnsi" w:cstheme="majorHAnsi"/>
          <w:sz w:val="22"/>
          <w:szCs w:val="22"/>
        </w:rPr>
      </w:pPr>
      <w:r w:rsidRPr="00AE63D8">
        <w:rPr>
          <w:rFonts w:asciiTheme="majorHAnsi" w:hAnsiTheme="majorHAnsi" w:cstheme="majorHAnsi"/>
          <w:b/>
          <w:bCs/>
          <w:sz w:val="22"/>
          <w:szCs w:val="22"/>
        </w:rPr>
        <w:t>Precise Power Flow Control</w:t>
      </w:r>
      <w:r w:rsidRPr="00AE63D8">
        <w:rPr>
          <w:rFonts w:asciiTheme="majorHAnsi" w:hAnsiTheme="majorHAnsi" w:cstheme="majorHAnsi"/>
          <w:sz w:val="22"/>
          <w:szCs w:val="22"/>
        </w:rPr>
        <w:t>: HVDC links allow operators to precisely control the amount and direction of power flow, improving grid manageability and stability.</w:t>
      </w:r>
    </w:p>
    <w:p w14:paraId="0CB4E461"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Regions with historically weak interconnections, sometimes termed "electrical islands," exemplify the consequences of insufficient transmission capacity. The Iberian Peninsula's limited connection to the rest of continental Europe may have been a contributing factor in the recent blackout. Despite the commissioning of the Baixas-Santa Llogaia HVDC line in 2015, which significantly increased the Spain-France interconnection capacity, the connection level remains below European targets.</w:t>
      </w:r>
    </w:p>
    <w:p w14:paraId="12AA0674"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t>Standards and Sentinels: The Critical Role of IEEE 2800, NERC Guidelines, and International Cooperation</w:t>
      </w:r>
    </w:p>
    <w:p w14:paraId="1FC63FDF"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Establishing clear, robust, and harmonized technical standards is fundamental to ensuring the reliable performance of new technologies and the secure operation of the interconnected grid. Several key initiatives are shaping the requirements for IBRs and overall system stability:</w:t>
      </w:r>
    </w:p>
    <w:p w14:paraId="138D1C8A" w14:textId="77777777" w:rsidR="00AE63D8" w:rsidRPr="00AE63D8" w:rsidRDefault="00AE63D8" w:rsidP="00AE63D8">
      <w:pPr>
        <w:numPr>
          <w:ilvl w:val="0"/>
          <w:numId w:val="7"/>
        </w:numPr>
        <w:rPr>
          <w:rFonts w:asciiTheme="majorHAnsi" w:hAnsiTheme="majorHAnsi" w:cstheme="majorHAnsi"/>
          <w:sz w:val="22"/>
          <w:szCs w:val="22"/>
        </w:rPr>
      </w:pPr>
      <w:r w:rsidRPr="00AE63D8">
        <w:rPr>
          <w:rFonts w:asciiTheme="majorHAnsi" w:hAnsiTheme="majorHAnsi" w:cstheme="majorHAnsi"/>
          <w:b/>
          <w:bCs/>
          <w:sz w:val="22"/>
          <w:szCs w:val="22"/>
        </w:rPr>
        <w:t>IEEE Standard 2800-2022</w:t>
      </w:r>
      <w:r w:rsidRPr="00AE63D8">
        <w:rPr>
          <w:rFonts w:asciiTheme="majorHAnsi" w:hAnsiTheme="majorHAnsi" w:cstheme="majorHAnsi"/>
          <w:sz w:val="22"/>
          <w:szCs w:val="22"/>
        </w:rPr>
        <w:t>: This landmark standard establishes uniform minimum technical requirements for the interconnection and interoperability of large IBRs, covering critical performance aspects including ride-through capabilities, reactive and active power control, and monitoring requirements.</w:t>
      </w:r>
    </w:p>
    <w:p w14:paraId="278C9B66" w14:textId="77777777" w:rsidR="00AE63D8" w:rsidRPr="00AE63D8" w:rsidRDefault="00AE63D8" w:rsidP="00AE63D8">
      <w:pPr>
        <w:numPr>
          <w:ilvl w:val="0"/>
          <w:numId w:val="7"/>
        </w:numPr>
        <w:rPr>
          <w:rFonts w:asciiTheme="majorHAnsi" w:hAnsiTheme="majorHAnsi" w:cstheme="majorHAnsi"/>
          <w:sz w:val="22"/>
          <w:szCs w:val="22"/>
        </w:rPr>
      </w:pPr>
      <w:r w:rsidRPr="00AE63D8">
        <w:rPr>
          <w:rFonts w:asciiTheme="majorHAnsi" w:hAnsiTheme="majorHAnsi" w:cstheme="majorHAnsi"/>
          <w:b/>
          <w:bCs/>
          <w:sz w:val="22"/>
          <w:szCs w:val="22"/>
        </w:rPr>
        <w:t>NERC Reliability Standards</w:t>
      </w:r>
      <w:r w:rsidRPr="00AE63D8">
        <w:rPr>
          <w:rFonts w:asciiTheme="majorHAnsi" w:hAnsiTheme="majorHAnsi" w:cstheme="majorHAnsi"/>
          <w:sz w:val="22"/>
          <w:szCs w:val="22"/>
        </w:rPr>
        <w:t>: NERC is actively updating its mandatory Reliability Standards to address IBR performance. The proposed PRC-029-1 specifically targets IBRs, establishing mandatory voltage and frequency ride-through requirements and includes a maximum allowable RoCoF limit of 5 Hz/second for frequency ride-through.</w:t>
      </w:r>
    </w:p>
    <w:p w14:paraId="5832538C" w14:textId="77777777" w:rsidR="00AE63D8" w:rsidRPr="00AE63D8" w:rsidRDefault="00AE63D8" w:rsidP="00AE63D8">
      <w:pPr>
        <w:numPr>
          <w:ilvl w:val="0"/>
          <w:numId w:val="7"/>
        </w:numPr>
        <w:rPr>
          <w:rFonts w:asciiTheme="majorHAnsi" w:hAnsiTheme="majorHAnsi" w:cstheme="majorHAnsi"/>
          <w:sz w:val="22"/>
          <w:szCs w:val="22"/>
        </w:rPr>
      </w:pPr>
      <w:r w:rsidRPr="00AE63D8">
        <w:rPr>
          <w:rFonts w:asciiTheme="majorHAnsi" w:hAnsiTheme="majorHAnsi" w:cstheme="majorHAnsi"/>
          <w:b/>
          <w:bCs/>
          <w:sz w:val="22"/>
          <w:szCs w:val="22"/>
        </w:rPr>
        <w:t>ENTSO-E Framework</w:t>
      </w:r>
      <w:r w:rsidRPr="00AE63D8">
        <w:rPr>
          <w:rFonts w:asciiTheme="majorHAnsi" w:hAnsiTheme="majorHAnsi" w:cstheme="majorHAnsi"/>
          <w:sz w:val="22"/>
          <w:szCs w:val="22"/>
        </w:rPr>
        <w:t>: In Europe, ENTSO-E develops network codes, operational guidelines, and technical analyses addressing frequency stability, inertia management, and system defense plans for the synchronously interconnected European grid.</w:t>
      </w:r>
    </w:p>
    <w:p w14:paraId="1DBC043E"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lastRenderedPageBreak/>
        <w:t>These standards and guidelines act as crucial sentinels, defining the expected behavior of grid components and providing the framework for secure operation. However, the rapid pace of technological change and generation fleet turnover may be outstripping the speed at which these standards can be developed, adopted, and fully implemented across the industry.</w:t>
      </w:r>
    </w:p>
    <w:p w14:paraId="50FB84F5"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t>Beyond Technology: The Indispensable Human Element – Policy, Strategic Investment, and Public Engagement</w:t>
      </w:r>
    </w:p>
    <w:p w14:paraId="5C287AF3"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Technology alone cannot guarantee a resilient energy future. Effective policy and regulatory frameworks are indispensable for guiding the transition. This includes policies that ensure resource adequacy in a changing generation mix, market designs that appropriately value essential reliability services, and streamlined processes for siting and permitting necessary infrastructure upgrades.</w:t>
      </w:r>
    </w:p>
    <w:p w14:paraId="1801B537"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Massive, strategic investment is required not only in renewable generation but also in the enabling infrastructure: transmission expansion and upgrades (including HVDC), deployment of GFM capabilities and energy storage, grid modernization technologies, and cybersecurity measures.</w:t>
      </w:r>
    </w:p>
    <w:p w14:paraId="1491B8E7"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Furthermore, the transition demands a significant focus on the human element. This includes workforce development to ensure there are enough engineers, technicians, and operators skilled in designing, implementing, and managing these complex new systems. It also involves fostering collaboration across traditional industry silos – between generation owners, transmission operators, distribution utilities, technology vendors, regulators, and researchers.</w:t>
      </w:r>
    </w:p>
    <w:p w14:paraId="356F390E"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Finally, public engagement is vital. Consumers and communities need to understand the challenges, the necessity of investments (which may impact costs), and the benefits of a modernized, resilient grid. Building public support and navigating the social implications of infrastructure development are crucial for ensuring the transition proceeds smoothly and equitably.</w:t>
      </w:r>
    </w:p>
    <w:p w14:paraId="06EC9E57"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pict w14:anchorId="6263880D">
          <v:rect id="_x0000_i1138" style="width:0;height:1.5pt" o:hralign="center" o:hrstd="t" o:hr="t" fillcolor="#a0a0a0" stroked="f"/>
        </w:pict>
      </w:r>
    </w:p>
    <w:p w14:paraId="3E831153"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t>VI. A Covenant with the Future: Ensuring Reliable Energy for Generations to Come</w:t>
      </w:r>
    </w:p>
    <w:p w14:paraId="453C6CF3" w14:textId="357432D9" w:rsidR="00AE63D8" w:rsidRPr="00AE63D8" w:rsidRDefault="0002338B" w:rsidP="00AE63D8">
      <w:pPr>
        <w:rPr>
          <w:rFonts w:asciiTheme="majorHAnsi" w:hAnsiTheme="majorHAnsi" w:cstheme="majorHAnsi"/>
          <w:sz w:val="22"/>
          <w:szCs w:val="22"/>
        </w:rPr>
      </w:pPr>
      <w:r w:rsidRPr="00AE63D8">
        <w:rPr>
          <w:rFonts w:asciiTheme="majorHAnsi" w:hAnsiTheme="majorHAnsi" w:cstheme="majorHAnsi"/>
          <w:noProof/>
          <w:sz w:val="22"/>
          <w:szCs w:val="22"/>
        </w:rPr>
        <mc:AlternateContent>
          <mc:Choice Requires="wps">
            <w:drawing>
              <wp:inline distT="0" distB="0" distL="0" distR="0" wp14:anchorId="1F6756F5" wp14:editId="75A426DF">
                <wp:extent cx="301625" cy="301625"/>
                <wp:effectExtent l="0" t="0" r="0" b="0"/>
                <wp:docPr id="45153210" name="AutoShape 115" descr="Future Grid Vis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F2A0F4" id="AutoShape 115" o:spid="_x0000_s1026" alt="Future Grid Vision"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00AE63D8" w:rsidRPr="00AE63D8">
        <w:rPr>
          <w:rFonts w:asciiTheme="majorHAnsi" w:hAnsiTheme="majorHAnsi" w:cstheme="majorHAnsi"/>
          <w:i/>
          <w:iCs/>
          <w:sz w:val="22"/>
          <w:szCs w:val="22"/>
        </w:rPr>
        <w:t>Vision of a resilient, renewable-powered grid delivering reliable electricity to future generations</w:t>
      </w:r>
    </w:p>
    <w:p w14:paraId="3A2C9147"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The intricate technical discussions surrounding grid stability, inertia, RoCoF, and Black Start capabilities ultimately converge on a fundamental human imperative: securing the foundations of modern life for ourselves and for generations to follow. Reliable electricity is not merely a convenience; it is the unseen current that sustains our access to clean water, enables the production and preservation of healthy food, powers our hospitals and schools, connects our communities, and drives economic opportunity.</w:t>
      </w:r>
    </w:p>
    <w:p w14:paraId="5ACE12F4"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The challenges highlighted in this analysis – the growing pains of integrating vast amounts of renewable energy, the emergence of new instability phenomena, the complexities of restarting the system after failure – are significant. They reveal vulnerabilities in a system whose reliability has often been taken for granted. Yet, they also spur innovation and demand a renewed focus on the principles of sound engineering, careful planning, and collaborative action.</w:t>
      </w:r>
    </w:p>
    <w:p w14:paraId="2EBA0364"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lastRenderedPageBreak/>
        <w:t>The interconnectedness of the power grid itself serves as a powerful metaphor for the interconnectedness of our modern world. Just as a failure in one part of the grid can cascade and impact distant areas, a failure in our energy system can ripple through society, affecting water supplies, food distribution, healthcare delivery, communication networks, and economic activity. True resilience, therefore, requires a holistic, "system-of-systems" perspective.</w:t>
      </w:r>
    </w:p>
    <w:p w14:paraId="3120EA9F"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Addressing these challenges requires a covenant with the future – a commitment to act with foresight, innovation, and stewardship:</w:t>
      </w:r>
    </w:p>
    <w:p w14:paraId="56D5A0B0" w14:textId="77777777" w:rsidR="00AE63D8" w:rsidRPr="00AE63D8" w:rsidRDefault="00AE63D8" w:rsidP="00AE63D8">
      <w:pPr>
        <w:numPr>
          <w:ilvl w:val="0"/>
          <w:numId w:val="8"/>
        </w:numPr>
        <w:rPr>
          <w:rFonts w:asciiTheme="majorHAnsi" w:hAnsiTheme="majorHAnsi" w:cstheme="majorHAnsi"/>
          <w:sz w:val="22"/>
          <w:szCs w:val="22"/>
        </w:rPr>
      </w:pPr>
      <w:r w:rsidRPr="00AE63D8">
        <w:rPr>
          <w:rFonts w:asciiTheme="majorHAnsi" w:hAnsiTheme="majorHAnsi" w:cstheme="majorHAnsi"/>
          <w:b/>
          <w:bCs/>
          <w:sz w:val="22"/>
          <w:szCs w:val="22"/>
        </w:rPr>
        <w:t>Foresight</w:t>
      </w:r>
      <w:r w:rsidRPr="00AE63D8">
        <w:rPr>
          <w:rFonts w:asciiTheme="majorHAnsi" w:hAnsiTheme="majorHAnsi" w:cstheme="majorHAnsi"/>
          <w:sz w:val="22"/>
          <w:szCs w:val="22"/>
        </w:rPr>
        <w:t>: We must move beyond reactive measures and embrace proactive planning and investment. This means anticipating the needs of the future grid, driven by decarbonization goals and evolving demand patterns, and building the necessary infrastructure and capabilities before crises emerge.</w:t>
      </w:r>
    </w:p>
    <w:p w14:paraId="5C82725A" w14:textId="77777777" w:rsidR="00AE63D8" w:rsidRPr="00AE63D8" w:rsidRDefault="00AE63D8" w:rsidP="00AE63D8">
      <w:pPr>
        <w:numPr>
          <w:ilvl w:val="0"/>
          <w:numId w:val="8"/>
        </w:numPr>
        <w:rPr>
          <w:rFonts w:asciiTheme="majorHAnsi" w:hAnsiTheme="majorHAnsi" w:cstheme="majorHAnsi"/>
          <w:sz w:val="22"/>
          <w:szCs w:val="22"/>
        </w:rPr>
      </w:pPr>
      <w:r w:rsidRPr="00AE63D8">
        <w:rPr>
          <w:rFonts w:asciiTheme="majorHAnsi" w:hAnsiTheme="majorHAnsi" w:cstheme="majorHAnsi"/>
          <w:b/>
          <w:bCs/>
          <w:sz w:val="22"/>
          <w:szCs w:val="22"/>
        </w:rPr>
        <w:t>Innovation</w:t>
      </w:r>
      <w:r w:rsidRPr="00AE63D8">
        <w:rPr>
          <w:rFonts w:asciiTheme="majorHAnsi" w:hAnsiTheme="majorHAnsi" w:cstheme="majorHAnsi"/>
          <w:sz w:val="22"/>
          <w:szCs w:val="22"/>
        </w:rPr>
        <w:t>: Continued research, development, and deployment of stabilizing technologies like Grid-Forming inverters, advanced energy storage, HVDC transmission, and sophisticated grid control systems are essential.</w:t>
      </w:r>
    </w:p>
    <w:p w14:paraId="1369CE8D" w14:textId="77777777" w:rsidR="00AE63D8" w:rsidRPr="00AE63D8" w:rsidRDefault="00AE63D8" w:rsidP="00AE63D8">
      <w:pPr>
        <w:numPr>
          <w:ilvl w:val="0"/>
          <w:numId w:val="8"/>
        </w:numPr>
        <w:rPr>
          <w:rFonts w:asciiTheme="majorHAnsi" w:hAnsiTheme="majorHAnsi" w:cstheme="majorHAnsi"/>
          <w:sz w:val="22"/>
          <w:szCs w:val="22"/>
        </w:rPr>
      </w:pPr>
      <w:r w:rsidRPr="00AE63D8">
        <w:rPr>
          <w:rFonts w:asciiTheme="majorHAnsi" w:hAnsiTheme="majorHAnsi" w:cstheme="majorHAnsi"/>
          <w:b/>
          <w:bCs/>
          <w:sz w:val="22"/>
          <w:szCs w:val="22"/>
        </w:rPr>
        <w:t>Stewardship</w:t>
      </w:r>
      <w:r w:rsidRPr="00AE63D8">
        <w:rPr>
          <w:rFonts w:asciiTheme="majorHAnsi" w:hAnsiTheme="majorHAnsi" w:cstheme="majorHAnsi"/>
          <w:sz w:val="22"/>
          <w:szCs w:val="22"/>
        </w:rPr>
        <w:t>: Managing this vital infrastructure demands collaboration among all stakeholders – industry, utilities, technology providers, regulators, policymakers, academia, and the public.</w:t>
      </w:r>
    </w:p>
    <w:p w14:paraId="5D25A142"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The path forward involves navigating the "creative destruction" inherent in any major technological shift. It requires adapting not only our technologies but also our market structures, regulatory approaches, operational practices, and even our ways of thinking about energy systems.</w:t>
      </w:r>
    </w:p>
    <w:p w14:paraId="07A836FF"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The challenge is substantial, demanding significant investment, intellectual capital, and political will. However, the history of technological evolution demonstrates our capacity to overcome such hurdles through ingenuity and collective effort.</w:t>
      </w:r>
    </w:p>
    <w:p w14:paraId="5B529C31"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Let us ensure that the legacy we leave is one of a robust, resilient, and reliable energy system – a foundation upon which our grandchildren can continue to build a prosperous and sustainable future, secure in the knowledge that the unseen current will continue to flow.</w:t>
      </w:r>
    </w:p>
    <w:p w14:paraId="0B3EEF8D"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pict w14:anchorId="5A7FAE9F">
          <v:rect id="_x0000_i1140" style="width:0;height:1.5pt" o:hralign="center" o:hrstd="t" o:hr="t" fillcolor="#a0a0a0" stroked="f"/>
        </w:pict>
      </w:r>
    </w:p>
    <w:p w14:paraId="0878AF58" w14:textId="77777777" w:rsidR="00AE63D8" w:rsidRPr="00AE63D8" w:rsidRDefault="00AE63D8" w:rsidP="00AE63D8">
      <w:pPr>
        <w:rPr>
          <w:rFonts w:asciiTheme="majorHAnsi" w:hAnsiTheme="majorHAnsi" w:cstheme="majorHAnsi"/>
          <w:b/>
          <w:bCs/>
          <w:sz w:val="22"/>
          <w:szCs w:val="22"/>
        </w:rPr>
      </w:pPr>
      <w:r w:rsidRPr="00AE63D8">
        <w:rPr>
          <w:rFonts w:asciiTheme="majorHAnsi" w:hAnsiTheme="majorHAnsi" w:cstheme="majorHAnsi"/>
          <w:b/>
          <w:bCs/>
          <w:sz w:val="22"/>
          <w:szCs w:val="22"/>
        </w:rPr>
        <w:t>About the Author</w:t>
      </w:r>
    </w:p>
    <w:p w14:paraId="18EB8283"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J. McKenney has over 25 years of experience in power systems engineering and grid stability analysis. Their work in Australia following the 2016 South Australia blackout and recent presentations at the Chicago Grid Stability Conference have focused on the challenges of maintaining reliability in systems with high renewable penetration. This article reflects insights gained from industry experience, academic research, and practical field work across three continents.</w:t>
      </w:r>
    </w:p>
    <w:p w14:paraId="1DFA9044"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pict w14:anchorId="6F5AFDC0">
          <v:rect id="_x0000_i1141" style="width:0;height:1.5pt" o:hralign="center" o:hrstd="t" o:hr="t" fillcolor="#a0a0a0" stroked="f"/>
        </w:pict>
      </w:r>
    </w:p>
    <w:p w14:paraId="307D4EC8"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b/>
          <w:bCs/>
          <w:sz w:val="22"/>
          <w:szCs w:val="22"/>
        </w:rPr>
        <w:t>References</w:t>
      </w:r>
    </w:p>
    <w:p w14:paraId="52440C79" w14:textId="77777777" w:rsidR="00AE63D8" w:rsidRPr="00AE63D8" w:rsidRDefault="00AE63D8" w:rsidP="00AE63D8">
      <w:pPr>
        <w:numPr>
          <w:ilvl w:val="0"/>
          <w:numId w:val="9"/>
        </w:numPr>
        <w:rPr>
          <w:rFonts w:asciiTheme="majorHAnsi" w:hAnsiTheme="majorHAnsi" w:cstheme="majorHAnsi"/>
          <w:sz w:val="22"/>
          <w:szCs w:val="22"/>
        </w:rPr>
      </w:pPr>
      <w:r w:rsidRPr="00AE63D8">
        <w:rPr>
          <w:rFonts w:asciiTheme="majorHAnsi" w:hAnsiTheme="majorHAnsi" w:cstheme="majorHAnsi"/>
          <w:sz w:val="22"/>
          <w:szCs w:val="22"/>
        </w:rPr>
        <w:lastRenderedPageBreak/>
        <w:t>NERC PRC-029-1 Standard for Inverter-Based Resource Performance During Transmission System Disturbances</w:t>
      </w:r>
    </w:p>
    <w:p w14:paraId="179F522E" w14:textId="77777777" w:rsidR="00AE63D8" w:rsidRPr="00AE63D8" w:rsidRDefault="00AE63D8" w:rsidP="00AE63D8">
      <w:pPr>
        <w:numPr>
          <w:ilvl w:val="0"/>
          <w:numId w:val="9"/>
        </w:numPr>
        <w:rPr>
          <w:rFonts w:asciiTheme="majorHAnsi" w:hAnsiTheme="majorHAnsi" w:cstheme="majorHAnsi"/>
          <w:sz w:val="22"/>
          <w:szCs w:val="22"/>
        </w:rPr>
      </w:pPr>
      <w:r w:rsidRPr="00AE63D8">
        <w:rPr>
          <w:rFonts w:asciiTheme="majorHAnsi" w:hAnsiTheme="majorHAnsi" w:cstheme="majorHAnsi"/>
          <w:sz w:val="22"/>
          <w:szCs w:val="22"/>
        </w:rPr>
        <w:t>IEEE Standard 2800-2022 for Interconnection and Interoperability of Inverter-Based Resources</w:t>
      </w:r>
    </w:p>
    <w:p w14:paraId="5620687B" w14:textId="77777777" w:rsidR="00AE63D8" w:rsidRPr="00AE63D8" w:rsidRDefault="00AE63D8" w:rsidP="00AE63D8">
      <w:pPr>
        <w:numPr>
          <w:ilvl w:val="0"/>
          <w:numId w:val="9"/>
        </w:numPr>
        <w:rPr>
          <w:rFonts w:asciiTheme="majorHAnsi" w:hAnsiTheme="majorHAnsi" w:cstheme="majorHAnsi"/>
          <w:sz w:val="22"/>
          <w:szCs w:val="22"/>
        </w:rPr>
      </w:pPr>
      <w:r w:rsidRPr="00AE63D8">
        <w:rPr>
          <w:rFonts w:asciiTheme="majorHAnsi" w:hAnsiTheme="majorHAnsi" w:cstheme="majorHAnsi"/>
          <w:sz w:val="22"/>
          <w:szCs w:val="22"/>
        </w:rPr>
        <w:t>ENTSO-E Frequency Quality Standards and Inertia Requirements for Continental Europe</w:t>
      </w:r>
    </w:p>
    <w:p w14:paraId="3455123F" w14:textId="77777777" w:rsidR="00AE63D8" w:rsidRPr="00AE63D8" w:rsidRDefault="00AE63D8" w:rsidP="00AE63D8">
      <w:pPr>
        <w:numPr>
          <w:ilvl w:val="0"/>
          <w:numId w:val="9"/>
        </w:numPr>
        <w:rPr>
          <w:rFonts w:asciiTheme="majorHAnsi" w:hAnsiTheme="majorHAnsi" w:cstheme="majorHAnsi"/>
          <w:sz w:val="22"/>
          <w:szCs w:val="22"/>
        </w:rPr>
      </w:pPr>
      <w:r w:rsidRPr="00AE63D8">
        <w:rPr>
          <w:rFonts w:asciiTheme="majorHAnsi" w:hAnsiTheme="majorHAnsi" w:cstheme="majorHAnsi"/>
          <w:sz w:val="22"/>
          <w:szCs w:val="22"/>
        </w:rPr>
        <w:t>2025 European Power Outage Analysis, European Network of Transmission System Operators for Electricity</w:t>
      </w:r>
    </w:p>
    <w:p w14:paraId="3EA9D361" w14:textId="77777777" w:rsidR="00AE63D8" w:rsidRPr="00AE63D8" w:rsidRDefault="00AE63D8" w:rsidP="00AE63D8">
      <w:pPr>
        <w:numPr>
          <w:ilvl w:val="0"/>
          <w:numId w:val="9"/>
        </w:numPr>
        <w:rPr>
          <w:rFonts w:asciiTheme="majorHAnsi" w:hAnsiTheme="majorHAnsi" w:cstheme="majorHAnsi"/>
          <w:sz w:val="22"/>
          <w:szCs w:val="22"/>
        </w:rPr>
      </w:pPr>
      <w:r w:rsidRPr="00AE63D8">
        <w:rPr>
          <w:rFonts w:asciiTheme="majorHAnsi" w:hAnsiTheme="majorHAnsi" w:cstheme="majorHAnsi"/>
          <w:sz w:val="22"/>
          <w:szCs w:val="22"/>
        </w:rPr>
        <w:t>NREL Grid-Forming Technology Research Roadmap</w:t>
      </w:r>
    </w:p>
    <w:p w14:paraId="141EF793" w14:textId="77777777" w:rsidR="00AE63D8" w:rsidRPr="00AE63D8" w:rsidRDefault="00AE63D8" w:rsidP="00AE63D8">
      <w:pPr>
        <w:numPr>
          <w:ilvl w:val="0"/>
          <w:numId w:val="9"/>
        </w:numPr>
        <w:rPr>
          <w:rFonts w:asciiTheme="majorHAnsi" w:hAnsiTheme="majorHAnsi" w:cstheme="majorHAnsi"/>
          <w:sz w:val="22"/>
          <w:szCs w:val="22"/>
        </w:rPr>
      </w:pPr>
      <w:r w:rsidRPr="00AE63D8">
        <w:rPr>
          <w:rFonts w:asciiTheme="majorHAnsi" w:hAnsiTheme="majorHAnsi" w:cstheme="majorHAnsi"/>
          <w:sz w:val="22"/>
          <w:szCs w:val="22"/>
        </w:rPr>
        <w:t>UNIFI Consortium for Grid-Forming Inverters</w:t>
      </w:r>
    </w:p>
    <w:p w14:paraId="030C72E3" w14:textId="77777777" w:rsidR="00AE63D8" w:rsidRPr="00AE63D8" w:rsidRDefault="00AE63D8" w:rsidP="00AE63D8">
      <w:pPr>
        <w:numPr>
          <w:ilvl w:val="0"/>
          <w:numId w:val="9"/>
        </w:numPr>
        <w:rPr>
          <w:rFonts w:asciiTheme="majorHAnsi" w:hAnsiTheme="majorHAnsi" w:cstheme="majorHAnsi"/>
          <w:sz w:val="22"/>
          <w:szCs w:val="22"/>
        </w:rPr>
      </w:pPr>
      <w:r w:rsidRPr="00AE63D8">
        <w:rPr>
          <w:rFonts w:asciiTheme="majorHAnsi" w:hAnsiTheme="majorHAnsi" w:cstheme="majorHAnsi"/>
          <w:sz w:val="22"/>
          <w:szCs w:val="22"/>
        </w:rPr>
        <w:t>UK ESO Black Start Strategy and Distributed Re-Start Initiative</w:t>
      </w:r>
    </w:p>
    <w:p w14:paraId="0FA00F96"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pict w14:anchorId="10C58F7C">
          <v:rect id="_x0000_i1142" style="width:0;height:1.5pt" o:hralign="center" o:hrstd="t" o:hr="t" fillcolor="#a0a0a0" stroked="f"/>
        </w:pict>
      </w:r>
    </w:p>
    <w:p w14:paraId="0A82ABEA"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i/>
          <w:iCs/>
          <w:sz w:val="22"/>
          <w:szCs w:val="22"/>
        </w:rPr>
        <w:t>[Note: This article was authored on May 7, 2025, reflecting on insights and data from power grid events through April 2025, including the recent Iberian Peninsula blackout of April 28, 2025.]</w:t>
      </w:r>
    </w:p>
    <w:p w14:paraId="5209DFE3"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pict w14:anchorId="061E4EB5">
          <v:rect id="_x0000_i1143" style="width:0;height:1.5pt" o:hralign="center" o:hrstd="t" o:hr="t" fillcolor="#a0a0a0" stroked="f"/>
        </w:pict>
      </w:r>
    </w:p>
    <w:p w14:paraId="5FDEE3ED"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b/>
          <w:bCs/>
          <w:sz w:val="22"/>
          <w:szCs w:val="22"/>
        </w:rPr>
        <w:t>Interactive Elements:</w:t>
      </w:r>
    </w:p>
    <w:p w14:paraId="04DADA7C" w14:textId="77777777" w:rsidR="00AE63D8" w:rsidRPr="00AE63D8" w:rsidRDefault="00AE63D8" w:rsidP="00AE63D8">
      <w:pPr>
        <w:numPr>
          <w:ilvl w:val="0"/>
          <w:numId w:val="10"/>
        </w:numPr>
        <w:rPr>
          <w:rFonts w:asciiTheme="majorHAnsi" w:hAnsiTheme="majorHAnsi" w:cstheme="majorHAnsi"/>
          <w:sz w:val="22"/>
          <w:szCs w:val="22"/>
        </w:rPr>
      </w:pPr>
      <w:r w:rsidRPr="00AE63D8">
        <w:rPr>
          <w:rFonts w:asciiTheme="majorHAnsi" w:hAnsiTheme="majorHAnsi" w:cstheme="majorHAnsi"/>
          <w:sz w:val="22"/>
          <w:szCs w:val="22"/>
        </w:rPr>
        <w:t>The image placeholders would be replaced with actual infographics or relevant images</w:t>
      </w:r>
    </w:p>
    <w:p w14:paraId="5AFC834A" w14:textId="77777777" w:rsidR="00AE63D8" w:rsidRPr="00AE63D8" w:rsidRDefault="00AE63D8" w:rsidP="00AE63D8">
      <w:pPr>
        <w:numPr>
          <w:ilvl w:val="0"/>
          <w:numId w:val="10"/>
        </w:numPr>
        <w:rPr>
          <w:rFonts w:asciiTheme="majorHAnsi" w:hAnsiTheme="majorHAnsi" w:cstheme="majorHAnsi"/>
          <w:sz w:val="22"/>
          <w:szCs w:val="22"/>
        </w:rPr>
      </w:pPr>
      <w:r w:rsidRPr="00AE63D8">
        <w:rPr>
          <w:rFonts w:asciiTheme="majorHAnsi" w:hAnsiTheme="majorHAnsi" w:cstheme="majorHAnsi"/>
          <w:sz w:val="22"/>
          <w:szCs w:val="22"/>
        </w:rPr>
        <w:t>LinkedIn interactive polls could be added asking readers questions about grid resilience</w:t>
      </w:r>
    </w:p>
    <w:p w14:paraId="24458939" w14:textId="77777777" w:rsidR="00AE63D8" w:rsidRPr="00AE63D8" w:rsidRDefault="00AE63D8" w:rsidP="00AE63D8">
      <w:pPr>
        <w:numPr>
          <w:ilvl w:val="0"/>
          <w:numId w:val="10"/>
        </w:numPr>
        <w:rPr>
          <w:rFonts w:asciiTheme="majorHAnsi" w:hAnsiTheme="majorHAnsi" w:cstheme="majorHAnsi"/>
          <w:sz w:val="22"/>
          <w:szCs w:val="22"/>
        </w:rPr>
      </w:pPr>
      <w:r w:rsidRPr="00AE63D8">
        <w:rPr>
          <w:rFonts w:asciiTheme="majorHAnsi" w:hAnsiTheme="majorHAnsi" w:cstheme="majorHAnsi"/>
          <w:sz w:val="22"/>
          <w:szCs w:val="22"/>
        </w:rPr>
        <w:t>The tables and charts would be formatted to be visually engaging</w:t>
      </w:r>
    </w:p>
    <w:p w14:paraId="1AAE134C" w14:textId="77777777" w:rsidR="00AE63D8" w:rsidRPr="00AE63D8" w:rsidRDefault="00AE63D8" w:rsidP="00AE63D8">
      <w:pPr>
        <w:numPr>
          <w:ilvl w:val="0"/>
          <w:numId w:val="10"/>
        </w:numPr>
        <w:rPr>
          <w:rFonts w:asciiTheme="majorHAnsi" w:hAnsiTheme="majorHAnsi" w:cstheme="majorHAnsi"/>
          <w:sz w:val="22"/>
          <w:szCs w:val="22"/>
        </w:rPr>
      </w:pPr>
      <w:r w:rsidRPr="00AE63D8">
        <w:rPr>
          <w:rFonts w:asciiTheme="majorHAnsi" w:hAnsiTheme="majorHAnsi" w:cstheme="majorHAnsi"/>
          <w:sz w:val="22"/>
          <w:szCs w:val="22"/>
        </w:rPr>
        <w:t>Key statistics and quotes would be highlighted visually</w:t>
      </w:r>
    </w:p>
    <w:p w14:paraId="2326F7F1" w14:textId="77777777" w:rsidR="00AE63D8" w:rsidRPr="00AE63D8" w:rsidRDefault="00AE63D8" w:rsidP="00AE63D8">
      <w:pPr>
        <w:numPr>
          <w:ilvl w:val="0"/>
          <w:numId w:val="10"/>
        </w:numPr>
        <w:rPr>
          <w:rFonts w:asciiTheme="majorHAnsi" w:hAnsiTheme="majorHAnsi" w:cstheme="majorHAnsi"/>
          <w:sz w:val="22"/>
          <w:szCs w:val="22"/>
        </w:rPr>
      </w:pPr>
      <w:r w:rsidRPr="00AE63D8">
        <w:rPr>
          <w:rFonts w:asciiTheme="majorHAnsi" w:hAnsiTheme="majorHAnsi" w:cstheme="majorHAnsi"/>
          <w:sz w:val="22"/>
          <w:szCs w:val="22"/>
        </w:rPr>
        <w:t>The 'About the Author' section would include a professional photo</w:t>
      </w:r>
    </w:p>
    <w:p w14:paraId="2902AE45" w14:textId="77777777" w:rsidR="00AE63D8" w:rsidRPr="00AE63D8" w:rsidRDefault="00AE63D8" w:rsidP="00AE63D8">
      <w:pPr>
        <w:rPr>
          <w:rFonts w:asciiTheme="majorHAnsi" w:hAnsiTheme="majorHAnsi" w:cstheme="majorHAnsi"/>
          <w:sz w:val="22"/>
          <w:szCs w:val="22"/>
        </w:rPr>
      </w:pPr>
      <w:r w:rsidRPr="00AE63D8">
        <w:rPr>
          <w:rFonts w:asciiTheme="majorHAnsi" w:hAnsiTheme="majorHAnsi" w:cstheme="majorHAnsi"/>
          <w:sz w:val="22"/>
          <w:szCs w:val="22"/>
        </w:rPr>
        <w:t>#GridStability #EnergyTransition #RenewableIntegration #PowerOutage #ElectricalEngineering #EnergyResilience #FutureEnergy #BlackStart #HVDCTransmission</w:t>
      </w:r>
    </w:p>
    <w:p w14:paraId="344AF6FD" w14:textId="77777777" w:rsidR="00EF4A52" w:rsidRPr="00AE63D8" w:rsidRDefault="00EF4A52">
      <w:pPr>
        <w:rPr>
          <w:rFonts w:asciiTheme="majorHAnsi" w:hAnsiTheme="majorHAnsi" w:cstheme="majorHAnsi"/>
          <w:sz w:val="22"/>
          <w:szCs w:val="22"/>
        </w:rPr>
      </w:pPr>
    </w:p>
    <w:sectPr w:rsidR="00EF4A52" w:rsidRPr="00AE6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E2DB8"/>
    <w:multiLevelType w:val="multilevel"/>
    <w:tmpl w:val="48A8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9024D"/>
    <w:multiLevelType w:val="multilevel"/>
    <w:tmpl w:val="C36C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E172B"/>
    <w:multiLevelType w:val="multilevel"/>
    <w:tmpl w:val="2978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22EA5"/>
    <w:multiLevelType w:val="multilevel"/>
    <w:tmpl w:val="7784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3381F"/>
    <w:multiLevelType w:val="multilevel"/>
    <w:tmpl w:val="9EB29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11359B"/>
    <w:multiLevelType w:val="multilevel"/>
    <w:tmpl w:val="6892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346B7A"/>
    <w:multiLevelType w:val="multilevel"/>
    <w:tmpl w:val="E9F6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494558"/>
    <w:multiLevelType w:val="multilevel"/>
    <w:tmpl w:val="0642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FD4365"/>
    <w:multiLevelType w:val="multilevel"/>
    <w:tmpl w:val="5E38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28589C"/>
    <w:multiLevelType w:val="multilevel"/>
    <w:tmpl w:val="6362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944789">
    <w:abstractNumId w:val="3"/>
  </w:num>
  <w:num w:numId="2" w16cid:durableId="945695902">
    <w:abstractNumId w:val="8"/>
  </w:num>
  <w:num w:numId="3" w16cid:durableId="642003821">
    <w:abstractNumId w:val="5"/>
  </w:num>
  <w:num w:numId="4" w16cid:durableId="398872049">
    <w:abstractNumId w:val="0"/>
  </w:num>
  <w:num w:numId="5" w16cid:durableId="1868373010">
    <w:abstractNumId w:val="7"/>
  </w:num>
  <w:num w:numId="6" w16cid:durableId="1514420888">
    <w:abstractNumId w:val="2"/>
  </w:num>
  <w:num w:numId="7" w16cid:durableId="1538470073">
    <w:abstractNumId w:val="1"/>
  </w:num>
  <w:num w:numId="8" w16cid:durableId="758208989">
    <w:abstractNumId w:val="6"/>
  </w:num>
  <w:num w:numId="9" w16cid:durableId="323240623">
    <w:abstractNumId w:val="4"/>
  </w:num>
  <w:num w:numId="10" w16cid:durableId="8318692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3D8"/>
    <w:rsid w:val="0002338B"/>
    <w:rsid w:val="000928B6"/>
    <w:rsid w:val="00145665"/>
    <w:rsid w:val="0025331E"/>
    <w:rsid w:val="00272087"/>
    <w:rsid w:val="003563D8"/>
    <w:rsid w:val="00415CE9"/>
    <w:rsid w:val="008D07A0"/>
    <w:rsid w:val="00AE63D8"/>
    <w:rsid w:val="00C425A9"/>
    <w:rsid w:val="00C70528"/>
    <w:rsid w:val="00EA4BAE"/>
    <w:rsid w:val="00EF4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3DAAC"/>
  <w15:chartTrackingRefBased/>
  <w15:docId w15:val="{AA88A662-7022-4E63-AD45-4816E54FD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665"/>
  </w:style>
  <w:style w:type="paragraph" w:styleId="Heading1">
    <w:name w:val="heading 1"/>
    <w:basedOn w:val="Normal"/>
    <w:next w:val="Normal"/>
    <w:link w:val="Heading1Char"/>
    <w:uiPriority w:val="9"/>
    <w:qFormat/>
    <w:rsid w:val="00145665"/>
    <w:pPr>
      <w:keepNext/>
      <w:keepLines/>
      <w:pBdr>
        <w:bottom w:val="single" w:sz="4" w:space="2" w:color="B2B2B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145665"/>
    <w:pPr>
      <w:keepNext/>
      <w:keepLines/>
      <w:spacing w:before="120" w:after="0" w:line="240" w:lineRule="auto"/>
      <w:outlineLvl w:val="1"/>
    </w:pPr>
    <w:rPr>
      <w:rFonts w:asciiTheme="majorHAnsi" w:eastAsiaTheme="majorEastAsia" w:hAnsiTheme="majorHAnsi" w:cstheme="majorBidi"/>
      <w:color w:val="B2B2B2" w:themeColor="accent2"/>
      <w:sz w:val="36"/>
      <w:szCs w:val="36"/>
    </w:rPr>
  </w:style>
  <w:style w:type="paragraph" w:styleId="Heading3">
    <w:name w:val="heading 3"/>
    <w:basedOn w:val="Normal"/>
    <w:next w:val="Normal"/>
    <w:link w:val="Heading3Char"/>
    <w:uiPriority w:val="9"/>
    <w:unhideWhenUsed/>
    <w:qFormat/>
    <w:rsid w:val="00145665"/>
    <w:pPr>
      <w:keepNext/>
      <w:keepLines/>
      <w:spacing w:before="80" w:after="0" w:line="240" w:lineRule="auto"/>
      <w:outlineLvl w:val="2"/>
    </w:pPr>
    <w:rPr>
      <w:rFonts w:asciiTheme="majorHAnsi" w:eastAsiaTheme="majorEastAsia" w:hAnsiTheme="majorHAnsi" w:cstheme="majorBidi"/>
      <w:color w:val="858585" w:themeColor="accent2" w:themeShade="BF"/>
      <w:sz w:val="32"/>
      <w:szCs w:val="32"/>
    </w:rPr>
  </w:style>
  <w:style w:type="paragraph" w:styleId="Heading4">
    <w:name w:val="heading 4"/>
    <w:basedOn w:val="Normal"/>
    <w:next w:val="Normal"/>
    <w:link w:val="Heading4Char"/>
    <w:uiPriority w:val="9"/>
    <w:semiHidden/>
    <w:unhideWhenUsed/>
    <w:qFormat/>
    <w:rsid w:val="00145665"/>
    <w:pPr>
      <w:keepNext/>
      <w:keepLines/>
      <w:spacing w:before="80" w:after="0" w:line="240" w:lineRule="auto"/>
      <w:outlineLvl w:val="3"/>
    </w:pPr>
    <w:rPr>
      <w:rFonts w:asciiTheme="majorHAnsi" w:eastAsiaTheme="majorEastAsia" w:hAnsiTheme="majorHAnsi" w:cstheme="majorBidi"/>
      <w:i/>
      <w:iCs/>
      <w:color w:val="595959" w:themeColor="accent2" w:themeShade="80"/>
      <w:sz w:val="28"/>
      <w:szCs w:val="28"/>
    </w:rPr>
  </w:style>
  <w:style w:type="paragraph" w:styleId="Heading5">
    <w:name w:val="heading 5"/>
    <w:basedOn w:val="Normal"/>
    <w:next w:val="Normal"/>
    <w:link w:val="Heading5Char"/>
    <w:uiPriority w:val="9"/>
    <w:semiHidden/>
    <w:unhideWhenUsed/>
    <w:qFormat/>
    <w:rsid w:val="00145665"/>
    <w:pPr>
      <w:keepNext/>
      <w:keepLines/>
      <w:spacing w:before="80" w:after="0" w:line="240" w:lineRule="auto"/>
      <w:outlineLvl w:val="4"/>
    </w:pPr>
    <w:rPr>
      <w:rFonts w:asciiTheme="majorHAnsi" w:eastAsiaTheme="majorEastAsia" w:hAnsiTheme="majorHAnsi" w:cstheme="majorBidi"/>
      <w:color w:val="858585" w:themeColor="accent2" w:themeShade="BF"/>
      <w:sz w:val="24"/>
      <w:szCs w:val="24"/>
    </w:rPr>
  </w:style>
  <w:style w:type="paragraph" w:styleId="Heading6">
    <w:name w:val="heading 6"/>
    <w:basedOn w:val="Normal"/>
    <w:next w:val="Normal"/>
    <w:link w:val="Heading6Char"/>
    <w:uiPriority w:val="9"/>
    <w:semiHidden/>
    <w:unhideWhenUsed/>
    <w:qFormat/>
    <w:rsid w:val="00145665"/>
    <w:pPr>
      <w:keepNext/>
      <w:keepLines/>
      <w:spacing w:before="80" w:after="0" w:line="240" w:lineRule="auto"/>
      <w:outlineLvl w:val="5"/>
    </w:pPr>
    <w:rPr>
      <w:rFonts w:asciiTheme="majorHAnsi" w:eastAsiaTheme="majorEastAsia" w:hAnsiTheme="majorHAnsi" w:cstheme="majorBidi"/>
      <w:i/>
      <w:iCs/>
      <w:color w:val="595959" w:themeColor="accent2" w:themeShade="80"/>
      <w:sz w:val="24"/>
      <w:szCs w:val="24"/>
    </w:rPr>
  </w:style>
  <w:style w:type="paragraph" w:styleId="Heading7">
    <w:name w:val="heading 7"/>
    <w:basedOn w:val="Normal"/>
    <w:next w:val="Normal"/>
    <w:link w:val="Heading7Char"/>
    <w:uiPriority w:val="9"/>
    <w:semiHidden/>
    <w:unhideWhenUsed/>
    <w:qFormat/>
    <w:rsid w:val="00145665"/>
    <w:pPr>
      <w:keepNext/>
      <w:keepLines/>
      <w:spacing w:before="80" w:after="0" w:line="240" w:lineRule="auto"/>
      <w:outlineLvl w:val="6"/>
    </w:pPr>
    <w:rPr>
      <w:rFonts w:asciiTheme="majorHAnsi" w:eastAsiaTheme="majorEastAsia" w:hAnsiTheme="majorHAnsi" w:cstheme="majorBidi"/>
      <w:b/>
      <w:bCs/>
      <w:color w:val="595959" w:themeColor="accent2" w:themeShade="80"/>
      <w:sz w:val="22"/>
      <w:szCs w:val="22"/>
    </w:rPr>
  </w:style>
  <w:style w:type="paragraph" w:styleId="Heading8">
    <w:name w:val="heading 8"/>
    <w:basedOn w:val="Normal"/>
    <w:next w:val="Normal"/>
    <w:link w:val="Heading8Char"/>
    <w:uiPriority w:val="9"/>
    <w:semiHidden/>
    <w:unhideWhenUsed/>
    <w:qFormat/>
    <w:rsid w:val="00145665"/>
    <w:pPr>
      <w:keepNext/>
      <w:keepLines/>
      <w:spacing w:before="80" w:after="0" w:line="240" w:lineRule="auto"/>
      <w:outlineLvl w:val="7"/>
    </w:pPr>
    <w:rPr>
      <w:rFonts w:asciiTheme="majorHAnsi" w:eastAsiaTheme="majorEastAsia" w:hAnsiTheme="majorHAnsi" w:cstheme="majorBidi"/>
      <w:color w:val="595959" w:themeColor="accent2" w:themeShade="80"/>
      <w:sz w:val="22"/>
      <w:szCs w:val="22"/>
    </w:rPr>
  </w:style>
  <w:style w:type="paragraph" w:styleId="Heading9">
    <w:name w:val="heading 9"/>
    <w:basedOn w:val="Normal"/>
    <w:next w:val="Normal"/>
    <w:link w:val="Heading9Char"/>
    <w:uiPriority w:val="9"/>
    <w:semiHidden/>
    <w:unhideWhenUsed/>
    <w:qFormat/>
    <w:rsid w:val="00145665"/>
    <w:pPr>
      <w:keepNext/>
      <w:keepLines/>
      <w:spacing w:before="80" w:after="0" w:line="240" w:lineRule="auto"/>
      <w:outlineLvl w:val="8"/>
    </w:pPr>
    <w:rPr>
      <w:rFonts w:asciiTheme="majorHAnsi" w:eastAsiaTheme="majorEastAsia" w:hAnsiTheme="majorHAnsi" w:cstheme="majorBidi"/>
      <w:i/>
      <w:iCs/>
      <w:color w:val="595959"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665"/>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145665"/>
    <w:rPr>
      <w:rFonts w:asciiTheme="majorHAnsi" w:eastAsiaTheme="majorEastAsia" w:hAnsiTheme="majorHAnsi" w:cstheme="majorBidi"/>
      <w:color w:val="B2B2B2" w:themeColor="accent2"/>
      <w:sz w:val="36"/>
      <w:szCs w:val="36"/>
    </w:rPr>
  </w:style>
  <w:style w:type="character" w:customStyle="1" w:styleId="Heading3Char">
    <w:name w:val="Heading 3 Char"/>
    <w:basedOn w:val="DefaultParagraphFont"/>
    <w:link w:val="Heading3"/>
    <w:uiPriority w:val="9"/>
    <w:rsid w:val="00145665"/>
    <w:rPr>
      <w:rFonts w:asciiTheme="majorHAnsi" w:eastAsiaTheme="majorEastAsia" w:hAnsiTheme="majorHAnsi" w:cstheme="majorBidi"/>
      <w:color w:val="858585" w:themeColor="accent2" w:themeShade="BF"/>
      <w:sz w:val="32"/>
      <w:szCs w:val="32"/>
    </w:rPr>
  </w:style>
  <w:style w:type="character" w:customStyle="1" w:styleId="Heading4Char">
    <w:name w:val="Heading 4 Char"/>
    <w:basedOn w:val="DefaultParagraphFont"/>
    <w:link w:val="Heading4"/>
    <w:uiPriority w:val="9"/>
    <w:semiHidden/>
    <w:rsid w:val="00145665"/>
    <w:rPr>
      <w:rFonts w:asciiTheme="majorHAnsi" w:eastAsiaTheme="majorEastAsia" w:hAnsiTheme="majorHAnsi" w:cstheme="majorBidi"/>
      <w:i/>
      <w:iCs/>
      <w:color w:val="595959" w:themeColor="accent2" w:themeShade="80"/>
      <w:sz w:val="28"/>
      <w:szCs w:val="28"/>
    </w:rPr>
  </w:style>
  <w:style w:type="character" w:customStyle="1" w:styleId="Heading5Char">
    <w:name w:val="Heading 5 Char"/>
    <w:basedOn w:val="DefaultParagraphFont"/>
    <w:link w:val="Heading5"/>
    <w:uiPriority w:val="9"/>
    <w:semiHidden/>
    <w:rsid w:val="00145665"/>
    <w:rPr>
      <w:rFonts w:asciiTheme="majorHAnsi" w:eastAsiaTheme="majorEastAsia" w:hAnsiTheme="majorHAnsi" w:cstheme="majorBidi"/>
      <w:color w:val="858585" w:themeColor="accent2" w:themeShade="BF"/>
      <w:sz w:val="24"/>
      <w:szCs w:val="24"/>
    </w:rPr>
  </w:style>
  <w:style w:type="character" w:customStyle="1" w:styleId="Heading6Char">
    <w:name w:val="Heading 6 Char"/>
    <w:basedOn w:val="DefaultParagraphFont"/>
    <w:link w:val="Heading6"/>
    <w:uiPriority w:val="9"/>
    <w:semiHidden/>
    <w:rsid w:val="00145665"/>
    <w:rPr>
      <w:rFonts w:asciiTheme="majorHAnsi" w:eastAsiaTheme="majorEastAsia" w:hAnsiTheme="majorHAnsi" w:cstheme="majorBidi"/>
      <w:i/>
      <w:iCs/>
      <w:color w:val="595959" w:themeColor="accent2" w:themeShade="80"/>
      <w:sz w:val="24"/>
      <w:szCs w:val="24"/>
    </w:rPr>
  </w:style>
  <w:style w:type="character" w:customStyle="1" w:styleId="Heading7Char">
    <w:name w:val="Heading 7 Char"/>
    <w:basedOn w:val="DefaultParagraphFont"/>
    <w:link w:val="Heading7"/>
    <w:uiPriority w:val="9"/>
    <w:semiHidden/>
    <w:rsid w:val="00145665"/>
    <w:rPr>
      <w:rFonts w:asciiTheme="majorHAnsi" w:eastAsiaTheme="majorEastAsia" w:hAnsiTheme="majorHAnsi" w:cstheme="majorBidi"/>
      <w:b/>
      <w:bCs/>
      <w:color w:val="595959" w:themeColor="accent2" w:themeShade="80"/>
      <w:sz w:val="22"/>
      <w:szCs w:val="22"/>
    </w:rPr>
  </w:style>
  <w:style w:type="character" w:customStyle="1" w:styleId="Heading8Char">
    <w:name w:val="Heading 8 Char"/>
    <w:basedOn w:val="DefaultParagraphFont"/>
    <w:link w:val="Heading8"/>
    <w:uiPriority w:val="9"/>
    <w:semiHidden/>
    <w:rsid w:val="00145665"/>
    <w:rPr>
      <w:rFonts w:asciiTheme="majorHAnsi" w:eastAsiaTheme="majorEastAsia" w:hAnsiTheme="majorHAnsi" w:cstheme="majorBidi"/>
      <w:color w:val="595959" w:themeColor="accent2" w:themeShade="80"/>
      <w:sz w:val="22"/>
      <w:szCs w:val="22"/>
    </w:rPr>
  </w:style>
  <w:style w:type="character" w:customStyle="1" w:styleId="Heading9Char">
    <w:name w:val="Heading 9 Char"/>
    <w:basedOn w:val="DefaultParagraphFont"/>
    <w:link w:val="Heading9"/>
    <w:uiPriority w:val="9"/>
    <w:semiHidden/>
    <w:rsid w:val="00145665"/>
    <w:rPr>
      <w:rFonts w:asciiTheme="majorHAnsi" w:eastAsiaTheme="majorEastAsia" w:hAnsiTheme="majorHAnsi" w:cstheme="majorBidi"/>
      <w:i/>
      <w:iCs/>
      <w:color w:val="595959" w:themeColor="accent2" w:themeShade="80"/>
      <w:sz w:val="22"/>
      <w:szCs w:val="22"/>
    </w:rPr>
  </w:style>
  <w:style w:type="paragraph" w:styleId="Caption">
    <w:name w:val="caption"/>
    <w:basedOn w:val="Normal"/>
    <w:next w:val="Normal"/>
    <w:uiPriority w:val="35"/>
    <w:semiHidden/>
    <w:unhideWhenUsed/>
    <w:qFormat/>
    <w:rsid w:val="00145665"/>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145665"/>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145665"/>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145665"/>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145665"/>
    <w:rPr>
      <w:caps/>
      <w:color w:val="404040" w:themeColor="text1" w:themeTint="BF"/>
      <w:spacing w:val="20"/>
      <w:sz w:val="28"/>
      <w:szCs w:val="28"/>
    </w:rPr>
  </w:style>
  <w:style w:type="character" w:styleId="Strong">
    <w:name w:val="Strong"/>
    <w:basedOn w:val="DefaultParagraphFont"/>
    <w:uiPriority w:val="22"/>
    <w:qFormat/>
    <w:rsid w:val="00145665"/>
    <w:rPr>
      <w:b/>
      <w:bCs/>
    </w:rPr>
  </w:style>
  <w:style w:type="character" w:styleId="Emphasis">
    <w:name w:val="Emphasis"/>
    <w:basedOn w:val="DefaultParagraphFont"/>
    <w:uiPriority w:val="20"/>
    <w:qFormat/>
    <w:rsid w:val="00145665"/>
    <w:rPr>
      <w:i/>
      <w:iCs/>
      <w:color w:val="000000" w:themeColor="text1"/>
    </w:rPr>
  </w:style>
  <w:style w:type="paragraph" w:styleId="NoSpacing">
    <w:name w:val="No Spacing"/>
    <w:uiPriority w:val="1"/>
    <w:qFormat/>
    <w:rsid w:val="00145665"/>
    <w:pPr>
      <w:spacing w:after="0" w:line="240" w:lineRule="auto"/>
    </w:pPr>
  </w:style>
  <w:style w:type="paragraph" w:styleId="ListParagraph">
    <w:name w:val="List Paragraph"/>
    <w:basedOn w:val="Normal"/>
    <w:uiPriority w:val="34"/>
    <w:qFormat/>
    <w:rsid w:val="00145665"/>
    <w:pPr>
      <w:ind w:left="720"/>
      <w:contextualSpacing/>
    </w:pPr>
  </w:style>
  <w:style w:type="paragraph" w:styleId="Quote">
    <w:name w:val="Quote"/>
    <w:basedOn w:val="Normal"/>
    <w:next w:val="Normal"/>
    <w:link w:val="QuoteChar"/>
    <w:uiPriority w:val="29"/>
    <w:qFormat/>
    <w:rsid w:val="00145665"/>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145665"/>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145665"/>
    <w:pPr>
      <w:pBdr>
        <w:top w:val="single" w:sz="24" w:space="4" w:color="B2B2B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145665"/>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145665"/>
    <w:rPr>
      <w:i/>
      <w:iCs/>
      <w:color w:val="595959" w:themeColor="text1" w:themeTint="A6"/>
    </w:rPr>
  </w:style>
  <w:style w:type="character" w:styleId="IntenseEmphasis">
    <w:name w:val="Intense Emphasis"/>
    <w:basedOn w:val="DefaultParagraphFont"/>
    <w:uiPriority w:val="21"/>
    <w:qFormat/>
    <w:rsid w:val="00145665"/>
    <w:rPr>
      <w:b/>
      <w:bCs/>
      <w:i/>
      <w:iCs/>
      <w:caps w:val="0"/>
      <w:smallCaps w:val="0"/>
      <w:strike w:val="0"/>
      <w:dstrike w:val="0"/>
      <w:color w:val="B2B2B2" w:themeColor="accent2"/>
    </w:rPr>
  </w:style>
  <w:style w:type="character" w:styleId="SubtleReference">
    <w:name w:val="Subtle Reference"/>
    <w:basedOn w:val="DefaultParagraphFont"/>
    <w:uiPriority w:val="31"/>
    <w:qFormat/>
    <w:rsid w:val="00145665"/>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145665"/>
    <w:rPr>
      <w:b/>
      <w:bCs/>
      <w:caps w:val="0"/>
      <w:smallCaps/>
      <w:color w:val="auto"/>
      <w:spacing w:val="0"/>
      <w:u w:val="single"/>
    </w:rPr>
  </w:style>
  <w:style w:type="character" w:styleId="BookTitle">
    <w:name w:val="Book Title"/>
    <w:basedOn w:val="DefaultParagraphFont"/>
    <w:uiPriority w:val="33"/>
    <w:qFormat/>
    <w:rsid w:val="00145665"/>
    <w:rPr>
      <w:b/>
      <w:bCs/>
      <w:caps w:val="0"/>
      <w:smallCaps/>
      <w:spacing w:val="0"/>
    </w:rPr>
  </w:style>
  <w:style w:type="paragraph" w:styleId="TOCHeading">
    <w:name w:val="TOC Heading"/>
    <w:basedOn w:val="Heading1"/>
    <w:next w:val="Normal"/>
    <w:uiPriority w:val="39"/>
    <w:semiHidden/>
    <w:unhideWhenUsed/>
    <w:qFormat/>
    <w:rsid w:val="0014566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922315">
      <w:bodyDiv w:val="1"/>
      <w:marLeft w:val="0"/>
      <w:marRight w:val="0"/>
      <w:marTop w:val="0"/>
      <w:marBottom w:val="0"/>
      <w:divBdr>
        <w:top w:val="none" w:sz="0" w:space="0" w:color="auto"/>
        <w:left w:val="none" w:sz="0" w:space="0" w:color="auto"/>
        <w:bottom w:val="none" w:sz="0" w:space="0" w:color="auto"/>
        <w:right w:val="none" w:sz="0" w:space="0" w:color="auto"/>
      </w:divBdr>
      <w:divsChild>
        <w:div w:id="889263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5165461">
      <w:bodyDiv w:val="1"/>
      <w:marLeft w:val="0"/>
      <w:marRight w:val="0"/>
      <w:marTop w:val="0"/>
      <w:marBottom w:val="0"/>
      <w:divBdr>
        <w:top w:val="none" w:sz="0" w:space="0" w:color="auto"/>
        <w:left w:val="none" w:sz="0" w:space="0" w:color="auto"/>
        <w:bottom w:val="none" w:sz="0" w:space="0" w:color="auto"/>
        <w:right w:val="none" w:sz="0" w:space="0" w:color="auto"/>
      </w:divBdr>
      <w:divsChild>
        <w:div w:id="92828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11</Pages>
  <Words>4441</Words>
  <Characters>25318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NCC Group</Company>
  <LinksUpToDate>false</LinksUpToDate>
  <CharactersWithSpaces>29700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McKenney</dc:creator>
  <cp:keywords/>
  <dc:description/>
  <cp:lastModifiedBy>Jim McKenney</cp:lastModifiedBy>
  <cp:revision>1</cp:revision>
  <dcterms:created xsi:type="dcterms:W3CDTF">2025-05-07T16:31:00Z</dcterms:created>
  <dcterms:modified xsi:type="dcterms:W3CDTF">2025-05-07T16:53:00Z</dcterms:modified>
</cp:coreProperties>
</file>