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855003" w14:textId="4A6F41BD" w:rsidR="004972A9" w:rsidRDefault="004972A9" w:rsidP="005F5D76">
      <w:pPr>
        <w:rPr>
          <w:rFonts w:ascii="Calibri" w:hAnsi="Calibri" w:cs="Calibri"/>
          <w:b/>
          <w:bCs/>
          <w:sz w:val="28"/>
          <w:szCs w:val="28"/>
        </w:rPr>
      </w:pPr>
    </w:p>
    <w:p w14:paraId="1E5DAB98" w14:textId="71EDFA6D" w:rsidR="00944130" w:rsidRPr="00944130" w:rsidRDefault="00944130" w:rsidP="00944130">
      <w:pPr>
        <w:rPr>
          <w:rFonts w:ascii="Calibri" w:hAnsi="Calibri" w:cs="Calibri"/>
          <w:b/>
          <w:bCs/>
          <w:sz w:val="28"/>
          <w:szCs w:val="28"/>
        </w:rPr>
      </w:pPr>
      <w:r w:rsidRPr="00944130">
        <w:rPr>
          <w:rFonts w:ascii="Calibri" w:hAnsi="Calibri" w:cs="Calibri"/>
          <w:b/>
          <w:bCs/>
          <w:sz w:val="28"/>
          <w:szCs w:val="28"/>
        </w:rPr>
        <w:t>Cyber Resilience Act Conformity and Supply Corridor Analysis</w:t>
      </w:r>
    </w:p>
    <w:p w14:paraId="45D29A36" w14:textId="439AE362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</w:rPr>
        <w:t xml:space="preserve">Supporting </w:t>
      </w:r>
      <w:r>
        <w:rPr>
          <w:rFonts w:ascii="Calibri" w:hAnsi="Calibri" w:cs="Calibri"/>
        </w:rPr>
        <w:t>M</w:t>
      </w:r>
      <w:r w:rsidRPr="00944130">
        <w:rPr>
          <w:rFonts w:ascii="Calibri" w:hAnsi="Calibri" w:cs="Calibri"/>
        </w:rPr>
        <w:t>emo</w:t>
      </w:r>
      <w:r>
        <w:rPr>
          <w:rFonts w:ascii="Calibri" w:hAnsi="Calibri" w:cs="Calibri"/>
        </w:rPr>
        <w:t>:</w:t>
      </w:r>
      <w:r w:rsidRPr="00944130">
        <w:rPr>
          <w:rFonts w:ascii="Calibri" w:hAnsi="Calibri" w:cs="Calibri"/>
        </w:rPr>
        <w:t xml:space="preserve"> Cyber Digital Twin Pilot</w:t>
      </w:r>
      <w:r>
        <w:rPr>
          <w:rFonts w:ascii="Calibri" w:hAnsi="Calibri" w:cs="Calibri"/>
        </w:rPr>
        <w:br/>
      </w:r>
      <w:r w:rsidRPr="00944130">
        <w:rPr>
          <w:rFonts w:ascii="Calibri" w:hAnsi="Calibri" w:cs="Calibri"/>
        </w:rPr>
        <w:t>Prepared for</w:t>
      </w:r>
      <w:r>
        <w:rPr>
          <w:rFonts w:ascii="Calibri" w:hAnsi="Calibri" w:cs="Calibri"/>
        </w:rPr>
        <w:t xml:space="preserve">: </w:t>
      </w:r>
      <w:r w:rsidRPr="00944130">
        <w:rPr>
          <w:rFonts w:ascii="Calibri" w:hAnsi="Calibri" w:cs="Calibri"/>
        </w:rPr>
        <w:t xml:space="preserve"> Michelle Piscula, Amazon </w:t>
      </w:r>
      <w:r>
        <w:rPr>
          <w:rFonts w:ascii="Calibri" w:hAnsi="Calibri" w:cs="Calibri"/>
        </w:rPr>
        <w:br/>
      </w:r>
      <w:r w:rsidRPr="00944130">
        <w:rPr>
          <w:rFonts w:ascii="Calibri" w:hAnsi="Calibri" w:cs="Calibri"/>
        </w:rPr>
        <w:t>Prepared by</w:t>
      </w:r>
      <w:r>
        <w:rPr>
          <w:rFonts w:ascii="Calibri" w:hAnsi="Calibri" w:cs="Calibri"/>
        </w:rPr>
        <w:t>:</w:t>
      </w:r>
      <w:r w:rsidRPr="0094413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Jim McKenney, Principle, </w:t>
      </w:r>
      <w:r w:rsidRPr="00944130">
        <w:rPr>
          <w:rFonts w:ascii="Calibri" w:hAnsi="Calibri" w:cs="Calibri"/>
        </w:rPr>
        <w:t>OXOT</w:t>
      </w:r>
    </w:p>
    <w:p w14:paraId="7D94083F" w14:textId="3B2A62C7" w:rsidR="00944130" w:rsidRPr="00944130" w:rsidRDefault="00944130" w:rsidP="0094413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br/>
      </w:r>
      <w:r w:rsidRPr="00944130">
        <w:rPr>
          <w:rFonts w:ascii="Calibri" w:hAnsi="Calibri" w:cs="Calibri"/>
          <w:b/>
          <w:bCs/>
          <w:sz w:val="28"/>
          <w:szCs w:val="28"/>
        </w:rPr>
        <w:t xml:space="preserve">Why this is the </w:t>
      </w:r>
      <w:r w:rsidRPr="00944130">
        <w:rPr>
          <w:rFonts w:ascii="Calibri" w:hAnsi="Calibri" w:cs="Calibri"/>
          <w:b/>
          <w:bCs/>
          <w:sz w:val="28"/>
          <w:szCs w:val="28"/>
        </w:rPr>
        <w:t>center</w:t>
      </w:r>
      <w:r w:rsidRPr="00944130">
        <w:rPr>
          <w:rFonts w:ascii="Calibri" w:hAnsi="Calibri" w:cs="Calibri"/>
          <w:b/>
          <w:bCs/>
          <w:sz w:val="28"/>
          <w:szCs w:val="28"/>
        </w:rPr>
        <w:t xml:space="preserve"> of the proposal, not an annex to it</w:t>
      </w:r>
    </w:p>
    <w:p w14:paraId="3E324D8B" w14:textId="5DBD1DBA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</w:rPr>
        <w:t>Compliance complexity in each jurisdiction dictates the scope of sovereign risk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management. That is not a security observation, it is a market access one. A product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that cannot demonstrate conformity cannot be placed on the market, and a component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whose origin cannot be evidenced cannot be relied on to carry conformity through to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the finished asset.</w:t>
      </w:r>
    </w:p>
    <w:p w14:paraId="4999A2E5" w14:textId="36C28B14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</w:rPr>
        <w:t>The Cyber Resilience Act is the clearest current example, because it converts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cybersecurity from a matter of internal policy into a condition of sale with a fixed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calendar. It is not the only such regime, and that is precisely the problem this memo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addresses: the same component crossing the same corridor acquires different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obligations depending on where it originated and where it comes to rest.</w:t>
      </w:r>
    </w:p>
    <w:p w14:paraId="24B02384" w14:textId="641C4FF2" w:rsidR="00944130" w:rsidRPr="00944130" w:rsidRDefault="00944130" w:rsidP="0094413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br/>
      </w:r>
      <w:r w:rsidRPr="00944130">
        <w:rPr>
          <w:rFonts w:ascii="Calibri" w:hAnsi="Calibri" w:cs="Calibri"/>
          <w:b/>
          <w:bCs/>
          <w:sz w:val="28"/>
          <w:szCs w:val="28"/>
        </w:rPr>
        <w:t>What the Cyber Resilience Act requires</w:t>
      </w:r>
    </w:p>
    <w:p w14:paraId="451EAEFF" w14:textId="252F73CC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</w:rPr>
        <w:t>Regulation (EU) 2024/2847 applies to products with digital elements placed on the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European Union market. Its obligations fall on the economic operators: manufacturers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first, then importers and distributors.</w:t>
      </w:r>
    </w:p>
    <w:p w14:paraId="20DAE9D2" w14:textId="72A8D3FF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  <w:b/>
          <w:bCs/>
        </w:rPr>
        <w:t>The calendar is already running.</w:t>
      </w:r>
      <w:r w:rsidRPr="00944130">
        <w:rPr>
          <w:rFonts w:ascii="Calibri" w:hAnsi="Calibri" w:cs="Calibri"/>
        </w:rPr>
        <w:t xml:space="preserve"> Chapter IV applied from 11 June 2026. The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Article 14 reporting obligations became binding on 11 September 2026. The Regulation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 xml:space="preserve">applies in </w:t>
      </w:r>
      <w:proofErr w:type="gramStart"/>
      <w:r w:rsidRPr="00944130">
        <w:rPr>
          <w:rFonts w:ascii="Calibri" w:hAnsi="Calibri" w:cs="Calibri"/>
        </w:rPr>
        <w:t>full from</w:t>
      </w:r>
      <w:proofErr w:type="gramEnd"/>
      <w:r w:rsidRPr="00944130">
        <w:rPr>
          <w:rFonts w:ascii="Calibri" w:hAnsi="Calibri" w:cs="Calibri"/>
        </w:rPr>
        <w:t xml:space="preserve"> </w:t>
      </w:r>
      <w:r w:rsidRPr="00483FDB">
        <w:rPr>
          <w:rFonts w:ascii="Calibri" w:hAnsi="Calibri" w:cs="Calibri"/>
          <w:b/>
          <w:bCs/>
        </w:rPr>
        <w:t>11 December 2027</w:t>
      </w:r>
      <w:r w:rsidRPr="00944130">
        <w:rPr>
          <w:rFonts w:ascii="Calibri" w:hAnsi="Calibri" w:cs="Calibri"/>
        </w:rPr>
        <w:t>. These are application dates, not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consultation dates.</w:t>
      </w:r>
    </w:p>
    <w:p w14:paraId="3536C5F6" w14:textId="77777777" w:rsid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  <w:b/>
          <w:bCs/>
        </w:rPr>
        <w:t>The essential requirements sit in Annex I, in two parts.</w:t>
      </w:r>
      <w:r w:rsidRPr="00944130">
        <w:rPr>
          <w:rFonts w:ascii="Calibri" w:hAnsi="Calibri" w:cs="Calibri"/>
        </w:rPr>
        <w:t xml:space="preserve"> </w:t>
      </w:r>
    </w:p>
    <w:p w14:paraId="3209083A" w14:textId="77777777" w:rsidR="00944130" w:rsidRDefault="00944130" w:rsidP="0094413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944130">
        <w:rPr>
          <w:rFonts w:ascii="Calibri" w:hAnsi="Calibri" w:cs="Calibri"/>
        </w:rPr>
        <w:t>Part I concerns the</w:t>
      </w:r>
      <w:r w:rsidRPr="00944130"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 xml:space="preserve">properties the product must have. </w:t>
      </w:r>
    </w:p>
    <w:p w14:paraId="6EABCD37" w14:textId="4DF7AF33" w:rsidR="00944130" w:rsidRPr="00944130" w:rsidRDefault="00944130" w:rsidP="0094413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944130">
        <w:rPr>
          <w:rFonts w:ascii="Calibri" w:hAnsi="Calibri" w:cs="Calibri"/>
        </w:rPr>
        <w:t>Part II concerns the vulnerability handling</w:t>
      </w:r>
      <w:r w:rsidRPr="00944130"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processes the manufacturer must operate across the support period, which Article 13(8)</w:t>
      </w:r>
      <w:r w:rsidRPr="00944130"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sets at a minimum of five years unless the product's expected use is shorter.</w:t>
      </w:r>
    </w:p>
    <w:p w14:paraId="48D3ECD1" w14:textId="65194196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  <w:b/>
          <w:bCs/>
        </w:rPr>
        <w:t>Classification determines the route, and the route determines the cost.</w:t>
      </w:r>
      <w:r w:rsidRPr="00944130">
        <w:rPr>
          <w:rFonts w:ascii="Calibri" w:hAnsi="Calibri" w:cs="Calibri"/>
        </w:rPr>
        <w:t xml:space="preserve"> Products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not listed in Annex III or Annex IV may self-assess through internal control.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Products listed as important, in either class, face a narrower set of options, and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for one of those classes internal control is not available at all. Products listed as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critical in Annex IV are narrower still. Getting the classification right early is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the difference between an internal process and a notified body engagement.</w:t>
      </w:r>
    </w:p>
    <w:p w14:paraId="45CC5127" w14:textId="77777777" w:rsidR="00944130" w:rsidRDefault="00944130" w:rsidP="00944130">
      <w:pPr>
        <w:rPr>
          <w:rFonts w:ascii="Calibri" w:hAnsi="Calibri" w:cs="Calibri"/>
          <w:b/>
          <w:bCs/>
        </w:rPr>
      </w:pPr>
    </w:p>
    <w:p w14:paraId="4A4BAF1B" w14:textId="77777777" w:rsidR="00944130" w:rsidRDefault="00944130" w:rsidP="00944130">
      <w:pPr>
        <w:rPr>
          <w:rFonts w:ascii="Calibri" w:hAnsi="Calibri" w:cs="Calibri"/>
          <w:b/>
          <w:bCs/>
        </w:rPr>
      </w:pPr>
    </w:p>
    <w:p w14:paraId="1EC49EBC" w14:textId="0FFB643B" w:rsidR="00944130" w:rsidRPr="00944130" w:rsidRDefault="00944130" w:rsidP="0094413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br/>
      </w:r>
      <w:r w:rsidRPr="00944130">
        <w:rPr>
          <w:rFonts w:ascii="Calibri" w:hAnsi="Calibri" w:cs="Calibri"/>
          <w:b/>
          <w:bCs/>
        </w:rPr>
        <w:t>The technical documentation is the deliverable.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Annex VII sets out what must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exist and be retained, including a machine-readable software bill of materials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covering at minimum the top-level dependencies, producible on a reasoned request from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a market surveillance authority.</w:t>
      </w:r>
    </w:p>
    <w:p w14:paraId="16BFC6F7" w14:textId="6EB9FFD1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  <w:b/>
          <w:bCs/>
        </w:rPr>
        <w:t>The penalty is scaled to the company, not the product.</w:t>
      </w:r>
      <w:r>
        <w:rPr>
          <w:rFonts w:ascii="Calibri" w:hAnsi="Calibri" w:cs="Calibri"/>
          <w:b/>
          <w:bCs/>
        </w:rPr>
        <w:t xml:space="preserve"> </w:t>
      </w:r>
      <w:r w:rsidRPr="00944130">
        <w:rPr>
          <w:rFonts w:ascii="Calibri" w:hAnsi="Calibri" w:cs="Calibri"/>
        </w:rPr>
        <w:t>Infringement of the Annex I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essential requirements or of the Article 13 and 14 obligations carries administrative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fines of up to 15 million euro or 2.5 percent of worldwide annual turnover, whichever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is higher, under Article 64(2).</w:t>
      </w:r>
    </w:p>
    <w:p w14:paraId="5640AF52" w14:textId="7097E9F6" w:rsidR="00944130" w:rsidRPr="00944130" w:rsidRDefault="00944130" w:rsidP="00944130">
      <w:pPr>
        <w:rPr>
          <w:rFonts w:ascii="Calibri" w:hAnsi="Calibri" w:cs="Calibri"/>
          <w:b/>
          <w:bCs/>
          <w:sz w:val="28"/>
          <w:szCs w:val="28"/>
        </w:rPr>
      </w:pPr>
      <w:r w:rsidRPr="00944130">
        <w:rPr>
          <w:rFonts w:ascii="Calibri" w:hAnsi="Calibri" w:cs="Calibri"/>
          <w:b/>
          <w:bCs/>
          <w:sz w:val="28"/>
          <w:szCs w:val="28"/>
        </w:rPr>
        <w:t>IEC 62443 as the engineering process that produces the evidence</w:t>
      </w:r>
    </w:p>
    <w:p w14:paraId="1D7B1B71" w14:textId="7544FE10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</w:rPr>
        <w:t>We do not treat conformity as a documentation exercise run alongside engineering. We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run IEC 62443 as the standard process, and conformity evidence is a by-product of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doing that properly.</w:t>
      </w:r>
    </w:p>
    <w:p w14:paraId="1FCB35A4" w14:textId="72E7A683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</w:rPr>
        <w:t>The mechanism is straightforward. Security level targets are derived from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consequence, using the hazard analysis and the safety integrity level the asset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already carries, rather than assigned by asset category. That derivation produces a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defensible requirement per zone and per conduit. Where a target cannot be met, the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deviation is justified quantitatively against a disproportionate cost test rather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than waived.</w:t>
      </w:r>
    </w:p>
    <w:p w14:paraId="5E0AC7CC" w14:textId="15F6C730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</w:rPr>
        <w:t>The output of that process is a requirements allocation with acceptance criteria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 xml:space="preserve">attached, and that is the same artefact a conformity assessment </w:t>
      </w:r>
      <w:r w:rsidRPr="00944130">
        <w:rPr>
          <w:rFonts w:ascii="Calibri" w:hAnsi="Calibri" w:cs="Calibri"/>
        </w:rPr>
        <w:t>need</w:t>
      </w:r>
      <w:r w:rsidRPr="00944130">
        <w:rPr>
          <w:rFonts w:ascii="Calibri" w:hAnsi="Calibri" w:cs="Calibri"/>
        </w:rPr>
        <w:t>. One body of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 xml:space="preserve">engineering work, two outputs: an asset that is secure by design under a </w:t>
      </w:r>
      <w:r w:rsidRPr="00944130">
        <w:rPr>
          <w:rFonts w:ascii="Calibri" w:hAnsi="Calibri" w:cs="Calibri"/>
        </w:rPr>
        <w:t>recognized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industrial standard, and the evidence that a regulator or a notified body asks for.</w:t>
      </w:r>
    </w:p>
    <w:p w14:paraId="73F3F1CB" w14:textId="23C8032A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</w:rPr>
        <w:t>This matters commercially because the alternative is running two programs. Most</w:t>
      </w:r>
      <w:r>
        <w:rPr>
          <w:rFonts w:ascii="Calibri" w:hAnsi="Calibri" w:cs="Calibri"/>
        </w:rPr>
        <w:t xml:space="preserve"> </w:t>
      </w:r>
      <w:proofErr w:type="gramStart"/>
      <w:r w:rsidRPr="00944130">
        <w:rPr>
          <w:rFonts w:ascii="Calibri" w:hAnsi="Calibri" w:cs="Calibri"/>
        </w:rPr>
        <w:t>organizations’</w:t>
      </w:r>
      <w:proofErr w:type="gramEnd"/>
      <w:r w:rsidRPr="00944130">
        <w:rPr>
          <w:rFonts w:ascii="Calibri" w:hAnsi="Calibri" w:cs="Calibri"/>
        </w:rPr>
        <w:t xml:space="preserve"> discover the duplication only when the second audit arrives.</w:t>
      </w:r>
    </w:p>
    <w:p w14:paraId="708FDB80" w14:textId="7098EC8B" w:rsidR="00944130" w:rsidRPr="00944130" w:rsidRDefault="00944130" w:rsidP="00944130">
      <w:pPr>
        <w:rPr>
          <w:rFonts w:ascii="Calibri" w:hAnsi="Calibri" w:cs="Calibri"/>
          <w:b/>
          <w:bCs/>
          <w:sz w:val="28"/>
          <w:szCs w:val="28"/>
        </w:rPr>
      </w:pPr>
      <w:r w:rsidRPr="00944130">
        <w:rPr>
          <w:rFonts w:ascii="Calibri" w:hAnsi="Calibri" w:cs="Calibri"/>
          <w:b/>
          <w:bCs/>
          <w:sz w:val="28"/>
          <w:szCs w:val="28"/>
        </w:rPr>
        <w:t>The supply corridor problem</w:t>
      </w:r>
    </w:p>
    <w:p w14:paraId="079FB089" w14:textId="5B62955D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</w:rPr>
        <w:t>A bill of materials tells you what is in an asset. It does not tell you what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obligations came with each part, and that is where the friction sits.</w:t>
      </w:r>
    </w:p>
    <w:p w14:paraId="409656DB" w14:textId="6F901F99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</w:rPr>
        <w:t>Consider a single component travelling from its point of manufacture, through one or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more integration steps in other jurisdictions, into a finished asset deployed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somewhere else again. Four things vary along that path:</w:t>
      </w:r>
    </w:p>
    <w:tbl>
      <w:tblPr>
        <w:tblStyle w:val="GridTable2"/>
        <w:tblW w:w="5000" w:type="pct"/>
        <w:tblLook w:val="04A0" w:firstRow="1" w:lastRow="0" w:firstColumn="1" w:lastColumn="0" w:noHBand="0" w:noVBand="1"/>
      </w:tblPr>
      <w:tblGrid>
        <w:gridCol w:w="3021"/>
        <w:gridCol w:w="7769"/>
      </w:tblGrid>
      <w:tr w:rsidR="00483FDB" w:rsidRPr="00483FDB" w14:paraId="75C9406C" w14:textId="77777777" w:rsidTr="00483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B8207" w14:textId="77777777" w:rsidR="00483FDB" w:rsidRPr="00483FDB" w:rsidRDefault="00483FDB">
            <w:pPr>
              <w:spacing w:after="160"/>
              <w:rPr>
                <w:kern w:val="0"/>
                <w:sz w:val="21"/>
                <w:szCs w:val="21"/>
                <w14:ligatures w14:val="none"/>
              </w:rPr>
            </w:pPr>
            <w:r w:rsidRPr="00483FDB">
              <w:rPr>
                <w:sz w:val="21"/>
                <w:szCs w:val="21"/>
              </w:rPr>
              <w:t>Regulatory index</w:t>
            </w:r>
          </w:p>
        </w:tc>
        <w:tc>
          <w:tcPr>
            <w:tcW w:w="3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8336A" w14:textId="77777777" w:rsidR="00483FDB" w:rsidRPr="00483FDB" w:rsidRDefault="00483FD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83FDB">
              <w:rPr>
                <w:sz w:val="21"/>
                <w:szCs w:val="21"/>
              </w:rPr>
              <w:t>Each jurisdiction rates the same class of risk differently and sets its own thresholds for what must be assessed, by whom, and how often.</w:t>
            </w:r>
          </w:p>
        </w:tc>
      </w:tr>
      <w:tr w:rsidR="00483FDB" w:rsidRPr="00483FDB" w14:paraId="0D76BC4E" w14:textId="77777777" w:rsidTr="00483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hideMark/>
          </w:tcPr>
          <w:p w14:paraId="44B9640C" w14:textId="77777777" w:rsidR="00483FDB" w:rsidRPr="00483FDB" w:rsidRDefault="00483FDB">
            <w:pPr>
              <w:spacing w:after="160"/>
              <w:rPr>
                <w:sz w:val="21"/>
                <w:szCs w:val="21"/>
              </w:rPr>
            </w:pPr>
            <w:r w:rsidRPr="00483FDB">
              <w:rPr>
                <w:sz w:val="21"/>
                <w:szCs w:val="21"/>
              </w:rPr>
              <w:t>Obligation transfer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400118" w14:textId="77777777" w:rsidR="00483FDB" w:rsidRPr="00483FDB" w:rsidRDefault="00483FD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83FDB">
              <w:rPr>
                <w:sz w:val="21"/>
                <w:szCs w:val="21"/>
              </w:rPr>
              <w:t>Whoever places the finished product on a market inherits obligations for everything inside it. A supplier’s conformity does not automatically become yours, and the absence of a supplier’s evidence becomes your gap.</w:t>
            </w:r>
          </w:p>
        </w:tc>
      </w:tr>
      <w:tr w:rsidR="00483FDB" w:rsidRPr="00483FDB" w14:paraId="62E77D48" w14:textId="77777777" w:rsidTr="00483F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F22B3DC" w14:textId="77777777" w:rsidR="00483FDB" w:rsidRPr="00483FDB" w:rsidRDefault="00483FDB">
            <w:pPr>
              <w:spacing w:after="160"/>
              <w:rPr>
                <w:sz w:val="21"/>
                <w:szCs w:val="21"/>
              </w:rPr>
            </w:pPr>
            <w:r w:rsidRPr="00483FDB">
              <w:rPr>
                <w:sz w:val="21"/>
                <w:szCs w:val="21"/>
              </w:rPr>
              <w:t>Evidence sufficiency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15AC941" w14:textId="77777777" w:rsidR="00483FDB" w:rsidRPr="00483FDB" w:rsidRDefault="00483FD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83FDB">
              <w:rPr>
                <w:sz w:val="21"/>
                <w:szCs w:val="21"/>
              </w:rPr>
              <w:t>Documentation adequate in one regime is frequently insufficient in another, not because the engineering differs but because the required form of the evidence does.</w:t>
            </w:r>
          </w:p>
        </w:tc>
      </w:tr>
      <w:tr w:rsidR="00483FDB" w:rsidRPr="00483FDB" w14:paraId="3E879584" w14:textId="77777777" w:rsidTr="00483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hideMark/>
          </w:tcPr>
          <w:p w14:paraId="65BE159C" w14:textId="77777777" w:rsidR="00483FDB" w:rsidRPr="00483FDB" w:rsidRDefault="00483FDB">
            <w:pPr>
              <w:spacing w:after="160"/>
              <w:rPr>
                <w:sz w:val="21"/>
                <w:szCs w:val="21"/>
              </w:rPr>
            </w:pPr>
            <w:r w:rsidRPr="00483FDB">
              <w:rPr>
                <w:sz w:val="21"/>
                <w:szCs w:val="21"/>
              </w:rPr>
              <w:t>Origin sensitivity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4FF570" w14:textId="77777777" w:rsidR="00483FDB" w:rsidRPr="00483FDB" w:rsidRDefault="00483FD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83FDB">
              <w:rPr>
                <w:sz w:val="21"/>
                <w:szCs w:val="21"/>
              </w:rPr>
              <w:t>Where a part or its intellectual property originates can determine what may be transferred, to whom, and under what conditions, independently of any cybersecurity requirement.</w:t>
            </w:r>
          </w:p>
        </w:tc>
      </w:tr>
    </w:tbl>
    <w:p w14:paraId="62118455" w14:textId="77777777" w:rsidR="00483FDB" w:rsidRDefault="00483FDB">
      <w:pPr>
        <w:rPr>
          <w:kern w:val="0"/>
          <w14:ligatures w14:val="none"/>
        </w:rPr>
      </w:pPr>
    </w:p>
    <w:p w14:paraId="6C9C9F8B" w14:textId="3886F8B1" w:rsidR="00944130" w:rsidRPr="00944130" w:rsidRDefault="00483FDB" w:rsidP="0094413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br/>
      </w:r>
      <w:r w:rsidR="00944130" w:rsidRPr="00944130">
        <w:rPr>
          <w:rFonts w:ascii="Calibri" w:hAnsi="Calibri" w:cs="Calibri"/>
        </w:rPr>
        <w:t>The result is that two identical assets, built from the same parts and deployed in</w:t>
      </w:r>
      <w:r w:rsidR="00944130">
        <w:rPr>
          <w:rFonts w:ascii="Calibri" w:hAnsi="Calibri" w:cs="Calibri"/>
        </w:rPr>
        <w:t xml:space="preserve"> </w:t>
      </w:r>
      <w:r w:rsidR="00944130" w:rsidRPr="00944130">
        <w:rPr>
          <w:rFonts w:ascii="Calibri" w:hAnsi="Calibri" w:cs="Calibri"/>
        </w:rPr>
        <w:t>different markets, carry materially different conformity positions. That difference is</w:t>
      </w:r>
      <w:r w:rsidR="00944130">
        <w:rPr>
          <w:rFonts w:ascii="Calibri" w:hAnsi="Calibri" w:cs="Calibri"/>
        </w:rPr>
        <w:t xml:space="preserve"> </w:t>
      </w:r>
      <w:r w:rsidR="00944130" w:rsidRPr="00944130">
        <w:rPr>
          <w:rFonts w:ascii="Calibri" w:hAnsi="Calibri" w:cs="Calibri"/>
        </w:rPr>
        <w:t>invisible in a bill of materials and visible in a model that records origin,</w:t>
      </w:r>
      <w:r w:rsidR="00944130">
        <w:rPr>
          <w:rFonts w:ascii="Calibri" w:hAnsi="Calibri" w:cs="Calibri"/>
        </w:rPr>
        <w:t xml:space="preserve"> </w:t>
      </w:r>
      <w:r w:rsidR="00944130" w:rsidRPr="00944130">
        <w:rPr>
          <w:rFonts w:ascii="Calibri" w:hAnsi="Calibri" w:cs="Calibri"/>
        </w:rPr>
        <w:t>deployment and obligation as properties of the same component.</w:t>
      </w:r>
    </w:p>
    <w:p w14:paraId="0248E22E" w14:textId="5688ABEB" w:rsidR="00944130" w:rsidRPr="00944130" w:rsidRDefault="00944130" w:rsidP="00944130">
      <w:pPr>
        <w:rPr>
          <w:rFonts w:ascii="Calibri" w:hAnsi="Calibri" w:cs="Calibri"/>
          <w:b/>
          <w:bCs/>
          <w:sz w:val="28"/>
          <w:szCs w:val="28"/>
        </w:rPr>
      </w:pPr>
      <w:r w:rsidRPr="00944130">
        <w:rPr>
          <w:rFonts w:ascii="Calibri" w:hAnsi="Calibri" w:cs="Calibri"/>
          <w:b/>
          <w:bCs/>
          <w:sz w:val="28"/>
          <w:szCs w:val="28"/>
        </w:rPr>
        <w:t>What the corridor analysis delivers</w:t>
      </w:r>
    </w:p>
    <w:p w14:paraId="105D1E0E" w14:textId="543833BB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</w:rPr>
        <w:t>For the assets in scope, the pilot produces:</w:t>
      </w:r>
    </w:p>
    <w:p w14:paraId="1FD8A446" w14:textId="784726B6" w:rsidR="00944130" w:rsidRPr="00944130" w:rsidRDefault="00944130" w:rsidP="00944130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944130">
        <w:rPr>
          <w:rFonts w:ascii="Calibri" w:hAnsi="Calibri" w:cs="Calibri"/>
        </w:rPr>
        <w:t>Component origin and deployment destination recorded as part of the asset model,</w:t>
      </w:r>
      <w:r w:rsidRPr="00944130"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not as a separate spreadsheet</w:t>
      </w:r>
    </w:p>
    <w:p w14:paraId="1D6F4906" w14:textId="60620192" w:rsidR="00944130" w:rsidRPr="00944130" w:rsidRDefault="00944130" w:rsidP="00944130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944130">
        <w:rPr>
          <w:rFonts w:ascii="Calibri" w:hAnsi="Calibri" w:cs="Calibri"/>
        </w:rPr>
        <w:t>The obligations attaching to each component in each relevant jurisdiction</w:t>
      </w:r>
    </w:p>
    <w:p w14:paraId="005A7964" w14:textId="3923271D" w:rsidR="00944130" w:rsidRPr="00944130" w:rsidRDefault="00944130" w:rsidP="00944130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944130">
        <w:rPr>
          <w:rFonts w:ascii="Calibri" w:hAnsi="Calibri" w:cs="Calibri"/>
        </w:rPr>
        <w:t>The points along the corridor where obligations change or transfer</w:t>
      </w:r>
    </w:p>
    <w:p w14:paraId="50A55AB2" w14:textId="2B45B4CC" w:rsidR="00944130" w:rsidRPr="00944130" w:rsidRDefault="00944130" w:rsidP="00944130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944130">
        <w:rPr>
          <w:rFonts w:ascii="Calibri" w:hAnsi="Calibri" w:cs="Calibri"/>
        </w:rPr>
        <w:t>Gaps where supplier evidence is insufficient for the destination market, identified with the provision that creates the gap</w:t>
      </w:r>
    </w:p>
    <w:p w14:paraId="5FD9933A" w14:textId="26966002" w:rsidR="00944130" w:rsidRPr="00944130" w:rsidRDefault="00944130" w:rsidP="00944130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944130">
        <w:rPr>
          <w:rFonts w:ascii="Calibri" w:hAnsi="Calibri" w:cs="Calibri"/>
        </w:rPr>
        <w:t>The conformity route determination per component, with the basis stated</w:t>
      </w:r>
    </w:p>
    <w:p w14:paraId="79FCBBF9" w14:textId="76162EB8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</w:rPr>
        <w:t>For the European example we would use Ireland, where published gateway infrastructure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already exists and the regulatory position is concrete rather than illustrative.</w:t>
      </w:r>
    </w:p>
    <w:p w14:paraId="545B4421" w14:textId="667454BF" w:rsidR="00944130" w:rsidRPr="00944130" w:rsidRDefault="00944130" w:rsidP="00944130">
      <w:pPr>
        <w:rPr>
          <w:rFonts w:ascii="Calibri" w:hAnsi="Calibri" w:cs="Calibri"/>
          <w:b/>
          <w:bCs/>
          <w:sz w:val="28"/>
          <w:szCs w:val="28"/>
        </w:rPr>
      </w:pPr>
      <w:r w:rsidRPr="00944130">
        <w:rPr>
          <w:rFonts w:ascii="Calibri" w:hAnsi="Calibri" w:cs="Calibri"/>
          <w:b/>
          <w:bCs/>
          <w:sz w:val="28"/>
          <w:szCs w:val="28"/>
        </w:rPr>
        <w:t>Why doing this during the pilot is cheaper than doing it later</w:t>
      </w:r>
    </w:p>
    <w:p w14:paraId="47469A0B" w14:textId="590734CC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</w:rPr>
        <w:t>Conformity work is inexpensive while a design is open and expensive once a fleet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exists. A classification error found during design changes a requirement. The same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error found after deployment changes a product already on the market, across every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unit built to that configuration, in every jurisdiction it reached.</w:t>
      </w:r>
    </w:p>
    <w:p w14:paraId="4F23D332" w14:textId="3FBEF38D" w:rsidR="00944130" w:rsidRPr="00944130" w:rsidRDefault="00944130" w:rsidP="00944130">
      <w:pPr>
        <w:rPr>
          <w:rFonts w:ascii="Calibri" w:hAnsi="Calibri" w:cs="Calibri"/>
        </w:rPr>
      </w:pPr>
      <w:r w:rsidRPr="00944130">
        <w:rPr>
          <w:rFonts w:ascii="Calibri" w:hAnsi="Calibri" w:cs="Calibri"/>
        </w:rPr>
        <w:t>The pilot's value in this area is not that it produces a compliance report. It is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that it produces the conformity position as a property of the engineering model, so</w:t>
      </w:r>
      <w:r>
        <w:rPr>
          <w:rFonts w:ascii="Calibri" w:hAnsi="Calibri" w:cs="Calibri"/>
        </w:rPr>
        <w:t xml:space="preserve"> </w:t>
      </w:r>
      <w:r w:rsidRPr="00944130">
        <w:rPr>
          <w:rFonts w:ascii="Calibri" w:hAnsi="Calibri" w:cs="Calibri"/>
        </w:rPr>
        <w:t>that it stays current as the design changes and as the regulatory environment does.</w:t>
      </w:r>
    </w:p>
    <w:p w14:paraId="5EDB0407" w14:textId="77777777" w:rsidR="00944130" w:rsidRPr="00944130" w:rsidRDefault="00944130" w:rsidP="00944130">
      <w:pPr>
        <w:rPr>
          <w:rFonts w:ascii="Calibri" w:hAnsi="Calibri" w:cs="Calibri"/>
        </w:rPr>
      </w:pPr>
    </w:p>
    <w:p w14:paraId="7222A535" w14:textId="43814CB9" w:rsidR="00944130" w:rsidRPr="00944130" w:rsidRDefault="00944130" w:rsidP="00944130">
      <w:pPr>
        <w:rPr>
          <w:rFonts w:ascii="Calibri" w:hAnsi="Calibri" w:cs="Calibri"/>
          <w:i/>
          <w:iCs/>
        </w:rPr>
      </w:pPr>
      <w:r w:rsidRPr="00944130">
        <w:rPr>
          <w:rFonts w:ascii="Calibri" w:hAnsi="Calibri" w:cs="Calibri"/>
          <w:i/>
          <w:iCs/>
        </w:rPr>
        <w:t>*References are to Regulation (EU) 2024/2847 and to Commission Implementing</w:t>
      </w:r>
      <w:r w:rsidRPr="00944130">
        <w:rPr>
          <w:rFonts w:ascii="Calibri" w:hAnsi="Calibri" w:cs="Calibri"/>
          <w:i/>
          <w:iCs/>
        </w:rPr>
        <w:t xml:space="preserve"> </w:t>
      </w:r>
      <w:r w:rsidRPr="00944130">
        <w:rPr>
          <w:rFonts w:ascii="Calibri" w:hAnsi="Calibri" w:cs="Calibri"/>
          <w:i/>
          <w:iCs/>
        </w:rPr>
        <w:t>Regulation (EU) 2025/2392, which sets out the technical descriptions of the Annex III</w:t>
      </w:r>
      <w:r w:rsidRPr="00944130">
        <w:rPr>
          <w:rFonts w:ascii="Calibri" w:hAnsi="Calibri" w:cs="Calibri"/>
          <w:i/>
          <w:iCs/>
        </w:rPr>
        <w:t xml:space="preserve"> </w:t>
      </w:r>
      <w:r w:rsidRPr="00944130">
        <w:rPr>
          <w:rFonts w:ascii="Calibri" w:hAnsi="Calibri" w:cs="Calibri"/>
          <w:i/>
          <w:iCs/>
        </w:rPr>
        <w:t>and Annex IV product categories. Detailed provision-level citations are available on</w:t>
      </w:r>
      <w:r w:rsidRPr="00944130">
        <w:rPr>
          <w:rFonts w:ascii="Calibri" w:hAnsi="Calibri" w:cs="Calibri"/>
          <w:i/>
          <w:iCs/>
        </w:rPr>
        <w:t xml:space="preserve"> </w:t>
      </w:r>
      <w:proofErr w:type="gramStart"/>
      <w:r w:rsidRPr="00944130">
        <w:rPr>
          <w:rFonts w:ascii="Calibri" w:hAnsi="Calibri" w:cs="Calibri"/>
          <w:i/>
          <w:iCs/>
        </w:rPr>
        <w:t>request.</w:t>
      </w:r>
      <w:proofErr w:type="gramEnd"/>
    </w:p>
    <w:sectPr w:rsidR="00944130" w:rsidRPr="00944130" w:rsidSect="00C63C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128217" w14:textId="77777777" w:rsidR="008D6863" w:rsidRDefault="008D6863" w:rsidP="00C63CE4">
      <w:pPr>
        <w:spacing w:after="0" w:line="240" w:lineRule="auto"/>
      </w:pPr>
      <w:r>
        <w:separator/>
      </w:r>
    </w:p>
  </w:endnote>
  <w:endnote w:type="continuationSeparator" w:id="0">
    <w:p w14:paraId="2C0C71E2" w14:textId="77777777" w:rsidR="008D6863" w:rsidRDefault="008D6863" w:rsidP="00C63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54108815"/>
      <w:docPartObj>
        <w:docPartGallery w:val="Page Numbers (Bottom of Page)"/>
        <w:docPartUnique/>
      </w:docPartObj>
    </w:sdtPr>
    <w:sdtContent>
      <w:p w14:paraId="56C8EA81" w14:textId="4B0E9C7C" w:rsidR="00C63CE4" w:rsidRDefault="00C63CE4" w:rsidP="00142E5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D23AA5E" w14:textId="77777777" w:rsidR="00C63CE4" w:rsidRDefault="00C63CE4" w:rsidP="00C63C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ECEC" w14:textId="150781C5" w:rsidR="00C63CE4" w:rsidRDefault="00C63CE4" w:rsidP="00142E5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t xml:space="preserve">Page </w:t>
    </w:r>
    <w:sdt>
      <w:sdtPr>
        <w:rPr>
          <w:rStyle w:val="PageNumber"/>
        </w:rPr>
        <w:id w:val="1211307100"/>
        <w:docPartObj>
          <w:docPartGallery w:val="Page Numbers (Bottom of Page)"/>
          <w:docPartUnique/>
        </w:docPartObj>
      </w:sdtPr>
      <w:sdtContent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sdtContent>
    </w:sdt>
  </w:p>
  <w:p w14:paraId="404B3952" w14:textId="778C7F5A" w:rsidR="00C63CE4" w:rsidRDefault="00C63CE4" w:rsidP="00C63CE4">
    <w:pPr>
      <w:pStyle w:val="Footer"/>
      <w:ind w:right="360"/>
    </w:pPr>
    <w:r w:rsidRPr="00C63CE4">
      <w:rPr>
        <w:sz w:val="22"/>
        <w:szCs w:val="22"/>
      </w:rPr>
      <w:t>OXOT</w:t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6BD0BE" w14:textId="77777777" w:rsidR="004E4FE6" w:rsidRDefault="004E4F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6A0C9D" w14:textId="77777777" w:rsidR="008D6863" w:rsidRDefault="008D6863" w:rsidP="00C63CE4">
      <w:pPr>
        <w:spacing w:after="0" w:line="240" w:lineRule="auto"/>
      </w:pPr>
      <w:r>
        <w:separator/>
      </w:r>
    </w:p>
  </w:footnote>
  <w:footnote w:type="continuationSeparator" w:id="0">
    <w:p w14:paraId="76C3AA0F" w14:textId="77777777" w:rsidR="008D6863" w:rsidRDefault="008D6863" w:rsidP="00C63C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90CFB4" w14:textId="77777777" w:rsidR="004E4FE6" w:rsidRDefault="004E4F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0157B6" w14:textId="12AA10AA" w:rsidR="00F94BF5" w:rsidRPr="00944130" w:rsidRDefault="00F94BF5">
    <w:pPr>
      <w:pStyle w:val="Header"/>
      <w:rPr>
        <w:sz w:val="21"/>
        <w:szCs w:val="21"/>
      </w:rPr>
    </w:pPr>
    <w:r w:rsidRPr="00944130">
      <w:rPr>
        <w:sz w:val="21"/>
        <w:szCs w:val="21"/>
      </w:rPr>
      <w:t>OXOT CYBER DIGITAL TWIN PILOT PROPOSAL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68E78B" w14:textId="77777777" w:rsidR="004E4FE6" w:rsidRDefault="004E4F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60BA0"/>
    <w:multiLevelType w:val="hybridMultilevel"/>
    <w:tmpl w:val="785AA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833CA"/>
    <w:multiLevelType w:val="hybridMultilevel"/>
    <w:tmpl w:val="7A84B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D1A91"/>
    <w:multiLevelType w:val="multilevel"/>
    <w:tmpl w:val="4618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D4E39"/>
    <w:multiLevelType w:val="hybridMultilevel"/>
    <w:tmpl w:val="2D36C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039A6"/>
    <w:multiLevelType w:val="hybridMultilevel"/>
    <w:tmpl w:val="87962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BA6433"/>
    <w:multiLevelType w:val="hybridMultilevel"/>
    <w:tmpl w:val="B942BFE0"/>
    <w:lvl w:ilvl="0" w:tplc="3CCCBF0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14077"/>
    <w:multiLevelType w:val="hybridMultilevel"/>
    <w:tmpl w:val="87A438A6"/>
    <w:lvl w:ilvl="0" w:tplc="3CCCBF0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12BEC"/>
    <w:multiLevelType w:val="hybridMultilevel"/>
    <w:tmpl w:val="1340E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102515"/>
    <w:multiLevelType w:val="hybridMultilevel"/>
    <w:tmpl w:val="9DB60012"/>
    <w:lvl w:ilvl="0" w:tplc="3CCCBF0C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4242502">
    <w:abstractNumId w:val="2"/>
  </w:num>
  <w:num w:numId="2" w16cid:durableId="537544735">
    <w:abstractNumId w:val="0"/>
  </w:num>
  <w:num w:numId="3" w16cid:durableId="263344860">
    <w:abstractNumId w:val="7"/>
  </w:num>
  <w:num w:numId="4" w16cid:durableId="1862088419">
    <w:abstractNumId w:val="3"/>
  </w:num>
  <w:num w:numId="5" w16cid:durableId="157698093">
    <w:abstractNumId w:val="1"/>
  </w:num>
  <w:num w:numId="6" w16cid:durableId="606932397">
    <w:abstractNumId w:val="4"/>
  </w:num>
  <w:num w:numId="7" w16cid:durableId="1566909996">
    <w:abstractNumId w:val="5"/>
  </w:num>
  <w:num w:numId="8" w16cid:durableId="1244686318">
    <w:abstractNumId w:val="6"/>
  </w:num>
  <w:num w:numId="9" w16cid:durableId="1915165149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A9"/>
    <w:rsid w:val="00025BD2"/>
    <w:rsid w:val="0003540F"/>
    <w:rsid w:val="000F5426"/>
    <w:rsid w:val="00154549"/>
    <w:rsid w:val="0029034E"/>
    <w:rsid w:val="002B3AFF"/>
    <w:rsid w:val="0042012C"/>
    <w:rsid w:val="00453954"/>
    <w:rsid w:val="00483FDB"/>
    <w:rsid w:val="004972A9"/>
    <w:rsid w:val="004E4FE6"/>
    <w:rsid w:val="005912B5"/>
    <w:rsid w:val="005C5C57"/>
    <w:rsid w:val="005F5D76"/>
    <w:rsid w:val="007312A4"/>
    <w:rsid w:val="00830FD3"/>
    <w:rsid w:val="008D6863"/>
    <w:rsid w:val="00944130"/>
    <w:rsid w:val="00965F52"/>
    <w:rsid w:val="009E3272"/>
    <w:rsid w:val="00A850DF"/>
    <w:rsid w:val="00AD46DB"/>
    <w:rsid w:val="00B7501E"/>
    <w:rsid w:val="00BE4EB2"/>
    <w:rsid w:val="00C3205D"/>
    <w:rsid w:val="00C63CE4"/>
    <w:rsid w:val="00E3649B"/>
    <w:rsid w:val="00EB6773"/>
    <w:rsid w:val="00F9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03FD7"/>
  <w15:chartTrackingRefBased/>
  <w15:docId w15:val="{4F3A45BB-2CA9-9041-82A3-A6FA2FE09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2A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972A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72A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972A9"/>
    <w:rPr>
      <w:i/>
      <w:iCs/>
    </w:rPr>
  </w:style>
  <w:style w:type="paragraph" w:styleId="NoSpacing">
    <w:name w:val="No Spacing"/>
    <w:uiPriority w:val="1"/>
    <w:qFormat/>
    <w:rsid w:val="004972A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972A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972A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972A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72A9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972A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GridTable4-Accent1">
    <w:name w:val="Grid Table 4 Accent 1"/>
    <w:basedOn w:val="TableNormal"/>
    <w:uiPriority w:val="49"/>
    <w:rsid w:val="00E3649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">
    <w:name w:val="Grid Table 4"/>
    <w:basedOn w:val="TableNormal"/>
    <w:uiPriority w:val="49"/>
    <w:rsid w:val="009E327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63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CE4"/>
  </w:style>
  <w:style w:type="paragraph" w:styleId="Footer">
    <w:name w:val="footer"/>
    <w:basedOn w:val="Normal"/>
    <w:link w:val="FooterChar"/>
    <w:uiPriority w:val="99"/>
    <w:unhideWhenUsed/>
    <w:rsid w:val="00C63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CE4"/>
  </w:style>
  <w:style w:type="character" w:styleId="PageNumber">
    <w:name w:val="page number"/>
    <w:basedOn w:val="DefaultParagraphFont"/>
    <w:uiPriority w:val="99"/>
    <w:semiHidden/>
    <w:unhideWhenUsed/>
    <w:rsid w:val="00C63CE4"/>
  </w:style>
  <w:style w:type="table" w:styleId="GridTable2">
    <w:name w:val="Grid Table 2"/>
    <w:basedOn w:val="TableNormal"/>
    <w:uiPriority w:val="47"/>
    <w:rsid w:val="00483FD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E5BE50-E41C-5B4B-B76A-3D730713B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1098</Words>
  <Characters>5988</Characters>
  <Application>Microsoft Office Word</Application>
  <DocSecurity>0</DocSecurity>
  <Lines>92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McKenney</dc:creator>
  <cp:keywords/>
  <dc:description/>
  <cp:lastModifiedBy>Jim McKenney</cp:lastModifiedBy>
  <cp:revision>4</cp:revision>
  <cp:lastPrinted>2026-09-14T22:29:00Z</cp:lastPrinted>
  <dcterms:created xsi:type="dcterms:W3CDTF">2026-09-14T22:46:00Z</dcterms:created>
  <dcterms:modified xsi:type="dcterms:W3CDTF">2026-09-14T22:57:00Z</dcterms:modified>
</cp:coreProperties>
</file>