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A5112E" w14:textId="77D820D1" w:rsidR="005F5D76" w:rsidRPr="00F94BF5" w:rsidRDefault="00F94BF5" w:rsidP="005F5D76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/>
      </w:r>
      <w:r w:rsidR="005F5D76" w:rsidRPr="00F94BF5">
        <w:rPr>
          <w:rFonts w:ascii="Calibri" w:hAnsi="Calibri" w:cs="Calibri"/>
          <w:b/>
          <w:bCs/>
          <w:sz w:val="28"/>
          <w:szCs w:val="28"/>
        </w:rPr>
        <w:t>Cyber Digital Twin Pilot Project Proposal</w:t>
      </w:r>
    </w:p>
    <w:p w14:paraId="34D5FEC2" w14:textId="4C682235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Prepared for:  Michelle Piscula, Amazon</w:t>
      </w:r>
      <w:r w:rsidR="005912B5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br/>
        <w:t xml:space="preserve">Prepared by: </w:t>
      </w:r>
      <w:r w:rsidR="00F94BF5" w:rsidRPr="00F94BF5">
        <w:rPr>
          <w:rFonts w:ascii="Calibri" w:hAnsi="Calibri" w:cs="Calibri"/>
        </w:rPr>
        <w:t>Jim McKenney, Principle, OXOT</w:t>
      </w:r>
      <w:r w:rsidRPr="00F94BF5">
        <w:rPr>
          <w:rFonts w:ascii="Calibri" w:hAnsi="Calibri" w:cs="Calibri"/>
        </w:rPr>
        <w:br/>
      </w:r>
      <w:r w:rsidR="005912B5" w:rsidRPr="00F94BF5">
        <w:rPr>
          <w:rFonts w:ascii="Calibri" w:hAnsi="Calibri" w:cs="Calibri"/>
        </w:rPr>
        <w:t xml:space="preserve">Date: </w:t>
      </w:r>
      <w:r w:rsidRPr="00F94BF5">
        <w:rPr>
          <w:rFonts w:ascii="Calibri" w:hAnsi="Calibri" w:cs="Calibri"/>
        </w:rPr>
        <w:t>14 September 2026</w:t>
      </w:r>
    </w:p>
    <w:p w14:paraId="2C424679" w14:textId="0761A35A" w:rsidR="005F5D76" w:rsidRPr="00F94BF5" w:rsidRDefault="005F5D76" w:rsidP="005F5D76">
      <w:pPr>
        <w:rPr>
          <w:rFonts w:ascii="Calibri" w:hAnsi="Calibri" w:cs="Calibri"/>
          <w:b/>
          <w:bCs/>
        </w:rPr>
      </w:pPr>
      <w:r w:rsidRPr="00F94BF5">
        <w:rPr>
          <w:rFonts w:ascii="Calibri" w:hAnsi="Calibri" w:cs="Calibri"/>
        </w:rPr>
        <w:br/>
      </w:r>
      <w:r w:rsidRPr="00F94BF5">
        <w:rPr>
          <w:rFonts w:ascii="Calibri" w:hAnsi="Calibri" w:cs="Calibri"/>
          <w:b/>
          <w:bCs/>
          <w:sz w:val="28"/>
          <w:szCs w:val="28"/>
        </w:rPr>
        <w:t xml:space="preserve">The </w:t>
      </w:r>
      <w:r w:rsidR="00C63CE4" w:rsidRPr="00F94BF5">
        <w:rPr>
          <w:rFonts w:ascii="Calibri" w:hAnsi="Calibri" w:cs="Calibri"/>
          <w:b/>
          <w:bCs/>
          <w:sz w:val="28"/>
          <w:szCs w:val="28"/>
        </w:rPr>
        <w:t>challenge</w:t>
      </w:r>
    </w:p>
    <w:p w14:paraId="0634CC70" w14:textId="52B72BAD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Modern industrial infrastructure operates across complex, risk-indexed regulatory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environments, where compliance complexity in each jurisdiction dictates the scope of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sovereign risk management.</w:t>
      </w:r>
      <w:r w:rsidR="00C63CE4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Fragmented standards and disconnected supply chain data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prevent authoritative tracking of asset composition and vulnerabilities across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international shipping corridors.</w:t>
      </w:r>
    </w:p>
    <w:p w14:paraId="329396E4" w14:textId="77777777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That friction has two faces, and they compound each other.</w:t>
      </w:r>
    </w:p>
    <w:tbl>
      <w:tblPr>
        <w:tblStyle w:val="GridTable4"/>
        <w:tblW w:w="5000" w:type="pct"/>
        <w:tblLook w:val="04A0" w:firstRow="1" w:lastRow="0" w:firstColumn="1" w:lastColumn="0" w:noHBand="0" w:noVBand="1"/>
      </w:tblPr>
      <w:tblGrid>
        <w:gridCol w:w="5395"/>
        <w:gridCol w:w="5395"/>
      </w:tblGrid>
      <w:tr w:rsidR="00C63CE4" w:rsidRPr="00F94BF5" w14:paraId="4327CEC6" w14:textId="77777777" w:rsidTr="00C63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</w:tcPr>
          <w:p w14:paraId="454AFC76" w14:textId="0F922D72" w:rsidR="00C63CE4" w:rsidRPr="00F94BF5" w:rsidRDefault="00C63CE4" w:rsidP="00C63CE4">
            <w:pPr>
              <w:spacing w:after="160"/>
              <w:jc w:val="center"/>
              <w:rPr>
                <w:rFonts w:ascii="Calibri" w:hAnsi="Calibri" w:cs="Calibri"/>
                <w:kern w:val="0"/>
                <w14:ligatures w14:val="none"/>
              </w:rPr>
            </w:pPr>
            <w:r w:rsidRPr="00F94BF5">
              <w:rPr>
                <w:rFonts w:ascii="Calibri" w:hAnsi="Calibri" w:cs="Calibri"/>
              </w:rPr>
              <w:t>The record is fragmented</w:t>
            </w:r>
          </w:p>
        </w:tc>
        <w:tc>
          <w:tcPr>
            <w:tcW w:w="2500" w:type="pct"/>
          </w:tcPr>
          <w:p w14:paraId="68C40605" w14:textId="112CEB03" w:rsidR="00C63CE4" w:rsidRPr="00F94BF5" w:rsidRDefault="00C63CE4" w:rsidP="00C63CE4">
            <w:pPr>
              <w:spacing w:after="16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</w:rPr>
            </w:pPr>
            <w:r w:rsidRPr="00F94BF5">
              <w:rPr>
                <w:rFonts w:ascii="Calibri" w:hAnsi="Calibri" w:cs="Calibri"/>
              </w:rPr>
              <w:t>The obligations are not uniform</w:t>
            </w:r>
          </w:p>
        </w:tc>
      </w:tr>
      <w:tr w:rsidR="00C63CE4" w:rsidRPr="00F94BF5" w14:paraId="4170EF29" w14:textId="77777777" w:rsidTr="00C6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0" w:type="pct"/>
            <w:shd w:val="clear" w:color="auto" w:fill="auto"/>
            <w:hideMark/>
          </w:tcPr>
          <w:p w14:paraId="2CA5318B" w14:textId="77777777" w:rsidR="00C63CE4" w:rsidRPr="00F94BF5" w:rsidRDefault="00C63CE4">
            <w:pPr>
              <w:spacing w:after="160"/>
              <w:rPr>
                <w:rFonts w:ascii="Calibri" w:hAnsi="Calibri" w:cs="Calibri"/>
                <w:b w:val="0"/>
                <w:bCs w:val="0"/>
                <w:color w:val="000000" w:themeColor="text1"/>
                <w:sz w:val="21"/>
                <w:szCs w:val="21"/>
              </w:rPr>
            </w:pPr>
            <w:r w:rsidRPr="00F94BF5">
              <w:rPr>
                <w:rFonts w:ascii="Calibri" w:hAnsi="Calibri" w:cs="Calibri"/>
                <w:b w:val="0"/>
                <w:bCs w:val="0"/>
                <w:color w:val="000000" w:themeColor="text1"/>
                <w:sz w:val="21"/>
                <w:szCs w:val="21"/>
              </w:rPr>
              <w:t>Design drawings describe the physical plant. Bills of materials describe what was bought. Interface specifications describe how subsystems connect. Hazard logs describe what can go wrong.</w:t>
            </w:r>
          </w:p>
          <w:p w14:paraId="586A79C3" w14:textId="77777777" w:rsidR="00C63CE4" w:rsidRPr="00F94BF5" w:rsidRDefault="00C63CE4">
            <w:pPr>
              <w:spacing w:after="160"/>
              <w:rPr>
                <w:rFonts w:ascii="Calibri" w:hAnsi="Calibri" w:cs="Calibri"/>
                <w:b w:val="0"/>
                <w:bCs w:val="0"/>
                <w:color w:val="000000" w:themeColor="text1"/>
                <w:sz w:val="21"/>
                <w:szCs w:val="21"/>
              </w:rPr>
            </w:pPr>
            <w:r w:rsidRPr="00F94BF5">
              <w:rPr>
                <w:rFonts w:ascii="Calibri" w:hAnsi="Calibri" w:cs="Calibri"/>
                <w:b w:val="0"/>
                <w:bCs w:val="0"/>
                <w:color w:val="000000" w:themeColor="text1"/>
                <w:sz w:val="21"/>
                <w:szCs w:val="21"/>
              </w:rPr>
              <w:t>Each record is correct, but each is maintained by a different team. None can reliably answer a question that crosses two or more sources.</w:t>
            </w:r>
          </w:p>
        </w:tc>
        <w:tc>
          <w:tcPr>
            <w:tcW w:w="2500" w:type="pct"/>
            <w:shd w:val="clear" w:color="auto" w:fill="auto"/>
            <w:hideMark/>
          </w:tcPr>
          <w:p w14:paraId="05E131B2" w14:textId="7BD1DB5D" w:rsidR="00C63CE4" w:rsidRPr="00F94BF5" w:rsidRDefault="00C63CE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F94BF5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The same component acquires different duties depending on where it originated and where it is deployed. Each jurisdiction indexes risk differently and demand evidence in a different form.</w:t>
            </w:r>
          </w:p>
          <w:p w14:paraId="2B3C4006" w14:textId="77777777" w:rsidR="00C63CE4" w:rsidRPr="00F94BF5" w:rsidRDefault="00C63CE4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1"/>
                <w:szCs w:val="21"/>
              </w:rPr>
            </w:pPr>
            <w:r w:rsidRPr="00F94BF5">
              <w:rPr>
                <w:rFonts w:ascii="Calibri" w:hAnsi="Calibri" w:cs="Calibri"/>
                <w:color w:val="000000" w:themeColor="text1"/>
                <w:sz w:val="21"/>
                <w:szCs w:val="21"/>
              </w:rPr>
              <w:t>Whoever places the finished asset on a market inherits the obligations of everything inside it, so a supplier’s missing evidence becomes your gap.</w:t>
            </w:r>
          </w:p>
        </w:tc>
      </w:tr>
    </w:tbl>
    <w:p w14:paraId="7E203FCE" w14:textId="77777777" w:rsidR="00C63CE4" w:rsidRPr="00F94BF5" w:rsidRDefault="00C63CE4">
      <w:pPr>
        <w:rPr>
          <w:rFonts w:ascii="Calibri" w:hAnsi="Calibri" w:cs="Calibri"/>
          <w:kern w:val="0"/>
          <w14:ligatures w14:val="none"/>
        </w:rPr>
      </w:pPr>
    </w:p>
    <w:p w14:paraId="0C3ED99D" w14:textId="7B5099E1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Put together, straightforward questions take weeks. Which components are in this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configuration. Which carry a known issue. Which regulation applies to which part, in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which market. Whether the asset we built matches the one we designed. And the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difficulty scales with the fleet rather than staying fixed.</w:t>
      </w:r>
    </w:p>
    <w:p w14:paraId="411FB586" w14:textId="0625EB95" w:rsidR="005F5D76" w:rsidRPr="00F94BF5" w:rsidRDefault="005F5D76" w:rsidP="005F5D76">
      <w:pPr>
        <w:rPr>
          <w:rFonts w:ascii="Calibri" w:hAnsi="Calibri" w:cs="Calibri"/>
          <w:i/>
          <w:iCs/>
        </w:rPr>
      </w:pPr>
      <w:r w:rsidRPr="00F94BF5">
        <w:rPr>
          <w:rFonts w:ascii="Calibri" w:hAnsi="Calibri" w:cs="Calibri"/>
          <w:i/>
          <w:iCs/>
        </w:rPr>
        <w:t>A dedicated memo on Cyber Resilience Act conformity and the supply corridor analysis</w:t>
      </w:r>
      <w:r w:rsidR="009E3272" w:rsidRPr="00F94BF5">
        <w:rPr>
          <w:rFonts w:ascii="Calibri" w:hAnsi="Calibri" w:cs="Calibri"/>
          <w:i/>
          <w:iCs/>
        </w:rPr>
        <w:t xml:space="preserve"> </w:t>
      </w:r>
      <w:r w:rsidR="00C63CE4" w:rsidRPr="00F94BF5">
        <w:rPr>
          <w:rFonts w:ascii="Calibri" w:hAnsi="Calibri" w:cs="Calibri"/>
          <w:i/>
          <w:iCs/>
        </w:rPr>
        <w:t>accompanies</w:t>
      </w:r>
      <w:r w:rsidRPr="00F94BF5">
        <w:rPr>
          <w:rFonts w:ascii="Calibri" w:hAnsi="Calibri" w:cs="Calibri"/>
          <w:i/>
          <w:iCs/>
        </w:rPr>
        <w:t xml:space="preserve"> this proposal.</w:t>
      </w:r>
    </w:p>
    <w:p w14:paraId="23BA681C" w14:textId="4CD686FA" w:rsidR="005F5D76" w:rsidRPr="00F94BF5" w:rsidRDefault="005F5D76" w:rsidP="005F5D76">
      <w:pPr>
        <w:rPr>
          <w:rFonts w:ascii="Calibri" w:hAnsi="Calibri" w:cs="Calibri"/>
          <w:b/>
          <w:bCs/>
          <w:sz w:val="28"/>
          <w:szCs w:val="28"/>
        </w:rPr>
      </w:pPr>
      <w:r w:rsidRPr="00F94BF5">
        <w:rPr>
          <w:rFonts w:ascii="Calibri" w:hAnsi="Calibri" w:cs="Calibri"/>
          <w:b/>
          <w:bCs/>
          <w:sz w:val="28"/>
          <w:szCs w:val="28"/>
        </w:rPr>
        <w:t>The value</w:t>
      </w:r>
    </w:p>
    <w:p w14:paraId="368749AF" w14:textId="7762BD98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 xml:space="preserve">The pilot delivers </w:t>
      </w:r>
      <w:r w:rsidR="009E3272" w:rsidRPr="00F94BF5">
        <w:rPr>
          <w:rFonts w:ascii="Calibri" w:hAnsi="Calibri" w:cs="Calibri"/>
        </w:rPr>
        <w:t>six</w:t>
      </w:r>
      <w:r w:rsidRPr="00F94BF5">
        <w:rPr>
          <w:rFonts w:ascii="Calibri" w:hAnsi="Calibri" w:cs="Calibri"/>
        </w:rPr>
        <w:t xml:space="preserve"> things Amazon can use immediately</w:t>
      </w:r>
      <w:r w:rsidR="009E3272" w:rsidRPr="00F94BF5">
        <w:rPr>
          <w:rFonts w:ascii="Calibri" w:hAnsi="Calibri" w:cs="Calibri"/>
        </w:rPr>
        <w:t>;</w:t>
      </w:r>
    </w:p>
    <w:p w14:paraId="5F2D3CD2" w14:textId="4AEEEC32" w:rsidR="005F5D76" w:rsidRPr="00F94BF5" w:rsidRDefault="005F5D76" w:rsidP="009E327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t>One authoritative model.</w:t>
      </w:r>
      <w:r w:rsidRPr="00F94BF5">
        <w:rPr>
          <w:rFonts w:ascii="Calibri" w:hAnsi="Calibri" w:cs="Calibri"/>
        </w:rPr>
        <w:t xml:space="preserve"> A single view of the asset in which physical,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electrical and computational elements are connected, and every element traces back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to the document it came from. Questions that currently require assembling several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teams become queries.</w:t>
      </w:r>
    </w:p>
    <w:p w14:paraId="7EAED2E3" w14:textId="6FA36C63" w:rsidR="005F5D76" w:rsidRPr="00F94BF5" w:rsidRDefault="005F5D76" w:rsidP="009E327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t>Compliance answered from evidence</w:t>
      </w:r>
      <w:r w:rsidRPr="00F94BF5">
        <w:rPr>
          <w:rFonts w:ascii="Calibri" w:hAnsi="Calibri" w:cs="Calibri"/>
        </w:rPr>
        <w:t>.  Regulatory obligations, including the EU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Cyber Resilience Act, assessed against the actual configuration rather than against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 questionnaire. Where a gap exists, it is identified with the provision that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creates it.</w:t>
      </w:r>
    </w:p>
    <w:p w14:paraId="0FB2FEC0" w14:textId="2D27922D" w:rsidR="005F5D76" w:rsidRPr="00F94BF5" w:rsidRDefault="005F5D76" w:rsidP="009E327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lastRenderedPageBreak/>
        <w:t>Vulnerability effort spent where it matters.</w:t>
      </w:r>
      <w:r w:rsidRPr="00F94BF5">
        <w:rPr>
          <w:rFonts w:ascii="Calibri" w:hAnsi="Calibri" w:cs="Calibri"/>
        </w:rPr>
        <w:t xml:space="preserve">  Bills of materials correlated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against vulnerability data automatically, so that the small number of issues that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genuinely apply are separated from the large number that do not before anyone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spends engineering hours on them.</w:t>
      </w:r>
    </w:p>
    <w:p w14:paraId="3F8021AA" w14:textId="71A3C85C" w:rsidR="005F5D76" w:rsidRPr="00F94BF5" w:rsidRDefault="005F5D76" w:rsidP="009E327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t>Design decisions informed earlier.</w:t>
      </w:r>
      <w:r w:rsidRPr="00F94BF5">
        <w:rPr>
          <w:rFonts w:ascii="Calibri" w:hAnsi="Calibri" w:cs="Calibri"/>
        </w:rPr>
        <w:t xml:space="preserve"> Findings from the model expressed as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recommendations while a design is still open, which is when a change is cheap.</w:t>
      </w:r>
    </w:p>
    <w:p w14:paraId="6FDDD761" w14:textId="419F9E95" w:rsidR="005F5D76" w:rsidRPr="00F94BF5" w:rsidRDefault="005F5D76" w:rsidP="009E327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t>Consequence understood, not just inventory.</w:t>
      </w:r>
      <w:r w:rsidRPr="00F94BF5">
        <w:rPr>
          <w:rFonts w:ascii="Calibri" w:hAnsi="Calibri" w:cs="Calibri"/>
        </w:rPr>
        <w:t xml:space="preserve"> The platform runs consequence-driven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propagation simulations across the model, so the effect of a problem in one component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on the rest of the asset is established rather than estimated.</w:t>
      </w:r>
    </w:p>
    <w:p w14:paraId="0BD039D1" w14:textId="65CC0001" w:rsidR="005F5D76" w:rsidRPr="00F94BF5" w:rsidRDefault="005F5D76" w:rsidP="009E3272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t>A jurisdictional view of the supply corridor.</w:t>
      </w:r>
      <w:r w:rsidRPr="00F94BF5">
        <w:rPr>
          <w:rFonts w:ascii="Calibri" w:hAnsi="Calibri" w:cs="Calibri"/>
        </w:rPr>
        <w:t xml:space="preserve">  Component origin and deployment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destination held as properties of the model, so the obligations attaching to each part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in each market are visible alongside the part itself.</w:t>
      </w:r>
    </w:p>
    <w:p w14:paraId="63E725E1" w14:textId="60D1A5A1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The platform's wider capability set is available to the pilot rather than held back: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threat actor capability matching, quantified hazard analysis, security level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derivation, actuarial loss modelling and Monte Carlo simulation over the asset graph.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We scope the pilot to what produces value in three months, and nothing in the platform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is withheld from it.</w:t>
      </w:r>
    </w:p>
    <w:p w14:paraId="35A51C5B" w14:textId="77777777" w:rsidR="005F5D76" w:rsidRPr="00F94BF5" w:rsidRDefault="005F5D76" w:rsidP="005F5D76">
      <w:pPr>
        <w:rPr>
          <w:rFonts w:ascii="Calibri" w:hAnsi="Calibri" w:cs="Calibri"/>
        </w:rPr>
      </w:pPr>
    </w:p>
    <w:p w14:paraId="46552177" w14:textId="070A17A0" w:rsidR="005F5D76" w:rsidRPr="00F94BF5" w:rsidRDefault="005F5D76" w:rsidP="005F5D76">
      <w:pPr>
        <w:rPr>
          <w:rFonts w:ascii="Calibri" w:hAnsi="Calibri" w:cs="Calibri"/>
          <w:b/>
          <w:bCs/>
          <w:sz w:val="28"/>
          <w:szCs w:val="28"/>
        </w:rPr>
      </w:pPr>
      <w:r w:rsidRPr="00F94BF5">
        <w:rPr>
          <w:rFonts w:ascii="Calibri" w:hAnsi="Calibri" w:cs="Calibri"/>
          <w:b/>
          <w:bCs/>
          <w:sz w:val="28"/>
          <w:szCs w:val="28"/>
        </w:rPr>
        <w:t>The method</w:t>
      </w:r>
    </w:p>
    <w:p w14:paraId="34B65C76" w14:textId="36117BBC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Three months, in three stages.</w:t>
      </w:r>
    </w:p>
    <w:p w14:paraId="07EF3A7D" w14:textId="214DF84A" w:rsidR="005F5D76" w:rsidRPr="00F94BF5" w:rsidRDefault="005F5D76" w:rsidP="00F94BF5">
      <w:pPr>
        <w:ind w:left="720"/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t>Stage one, build the model.</w:t>
      </w:r>
      <w:r w:rsidRPr="00F94BF5">
        <w:rPr>
          <w:rFonts w:ascii="Calibri" w:hAnsi="Calibri" w:cs="Calibri"/>
        </w:rPr>
        <w:t xml:space="preserve"> We ingest the documentation you already have and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 xml:space="preserve">convert it into the unified model. Nothing new </w:t>
      </w:r>
      <w:proofErr w:type="gramStart"/>
      <w:r w:rsidRPr="00F94BF5">
        <w:rPr>
          <w:rFonts w:ascii="Calibri" w:hAnsi="Calibri" w:cs="Calibri"/>
        </w:rPr>
        <w:t>has to</w:t>
      </w:r>
      <w:proofErr w:type="gramEnd"/>
      <w:r w:rsidRPr="00F94BF5">
        <w:rPr>
          <w:rFonts w:ascii="Calibri" w:hAnsi="Calibri" w:cs="Calibri"/>
        </w:rPr>
        <w:t xml:space="preserve"> be authored. We also record,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with your teams, how long the current process takes for a defined set of questions,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so that improvement can be demonstrated rather than asserted.</w:t>
      </w:r>
    </w:p>
    <w:p w14:paraId="4BCADEC0" w14:textId="69DC5BD7" w:rsidR="005F5D76" w:rsidRPr="00F94BF5" w:rsidRDefault="005F5D76" w:rsidP="00C63CE4">
      <w:pPr>
        <w:ind w:left="720"/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t>Stage two, assess.</w:t>
      </w:r>
      <w:r w:rsidRPr="00F94BF5">
        <w:rPr>
          <w:rFonts w:ascii="Calibri" w:hAnsi="Calibri" w:cs="Calibri"/>
        </w:rPr>
        <w:t xml:space="preserve"> IEC 62443 is our standard engineering process, and we run it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here. Security level targets are derived from consequence, using the hazard analysis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and safety integrity level the asset already carries, rather than assigned by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category. Where a target cannot be met, the deviation is justified quantitatively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rather than waived.</w:t>
      </w:r>
    </w:p>
    <w:p w14:paraId="0427F47E" w14:textId="2137F653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That process produces a requirements allocation with acceptance criteria attached,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 xml:space="preserve">which is the same artefact a conformity assessment </w:t>
      </w:r>
      <w:proofErr w:type="gramStart"/>
      <w:r w:rsidRPr="00F94BF5">
        <w:rPr>
          <w:rFonts w:ascii="Calibri" w:hAnsi="Calibri" w:cs="Calibri"/>
        </w:rPr>
        <w:t>needs</w:t>
      </w:r>
      <w:proofErr w:type="gramEnd"/>
      <w:r w:rsidRPr="00F94BF5">
        <w:rPr>
          <w:rFonts w:ascii="Calibri" w:hAnsi="Calibri" w:cs="Calibri"/>
        </w:rPr>
        <w:t>. One body of engineering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work, two outputs: an asset secure by design under a recognized industrial standard,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and the evidence a regulator or notified body asks for. The alternative is running two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 xml:space="preserve">programs, which most </w:t>
      </w:r>
      <w:proofErr w:type="gramStart"/>
      <w:r w:rsidRPr="00F94BF5">
        <w:rPr>
          <w:rFonts w:ascii="Calibri" w:hAnsi="Calibri" w:cs="Calibri"/>
        </w:rPr>
        <w:t>organizations’</w:t>
      </w:r>
      <w:proofErr w:type="gramEnd"/>
      <w:r w:rsidRPr="00F94BF5">
        <w:rPr>
          <w:rFonts w:ascii="Calibri" w:hAnsi="Calibri" w:cs="Calibri"/>
        </w:rPr>
        <w:t xml:space="preserve"> discover only when the second audit arrives.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Compliance checks run across the assets in scope, and vulnerability data is correlated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against the bills of materials. Output is a gap analysis per asset.</w:t>
      </w:r>
    </w:p>
    <w:p w14:paraId="6132E873" w14:textId="07EC21EF" w:rsidR="005F5D76" w:rsidRPr="00F94BF5" w:rsidRDefault="005F5D76" w:rsidP="00C63CE4">
      <w:pPr>
        <w:ind w:left="720"/>
        <w:rPr>
          <w:rFonts w:ascii="Calibri" w:hAnsi="Calibri" w:cs="Calibri"/>
        </w:rPr>
      </w:pPr>
      <w:r w:rsidRPr="00F94BF5">
        <w:rPr>
          <w:rFonts w:ascii="Calibri" w:hAnsi="Calibri" w:cs="Calibri"/>
          <w:b/>
          <w:bCs/>
        </w:rPr>
        <w:t>Stage three, apply.</w:t>
      </w:r>
      <w:r w:rsidRPr="00F94BF5">
        <w:rPr>
          <w:rFonts w:ascii="Calibri" w:hAnsi="Calibri" w:cs="Calibri"/>
        </w:rPr>
        <w:t xml:space="preserve">  We simulate how a problem propagates through the model,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produce design recommendations, complete the supply corridor analysis, and re-measure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the same questions from stage one. The engagement closes with an on-site readout.</w:t>
      </w:r>
    </w:p>
    <w:p w14:paraId="3DA26033" w14:textId="77777777" w:rsidR="00F94BF5" w:rsidRDefault="00F94BF5" w:rsidP="005F5D76">
      <w:pPr>
        <w:rPr>
          <w:rFonts w:ascii="Calibri" w:hAnsi="Calibri" w:cs="Calibri"/>
          <w:b/>
          <w:bCs/>
          <w:sz w:val="28"/>
          <w:szCs w:val="28"/>
        </w:rPr>
      </w:pPr>
    </w:p>
    <w:p w14:paraId="6BA999F9" w14:textId="473B0101" w:rsidR="005F5D76" w:rsidRPr="00F94BF5" w:rsidRDefault="005F5D76" w:rsidP="005F5D76">
      <w:pPr>
        <w:rPr>
          <w:rFonts w:ascii="Calibri" w:hAnsi="Calibri" w:cs="Calibri"/>
          <w:b/>
          <w:bCs/>
          <w:sz w:val="28"/>
          <w:szCs w:val="28"/>
        </w:rPr>
      </w:pPr>
      <w:r w:rsidRPr="00F94BF5">
        <w:rPr>
          <w:rFonts w:ascii="Calibri" w:hAnsi="Calibri" w:cs="Calibri"/>
          <w:b/>
          <w:bCs/>
          <w:sz w:val="28"/>
          <w:szCs w:val="28"/>
        </w:rPr>
        <w:lastRenderedPageBreak/>
        <w:t>Scope</w:t>
      </w:r>
    </w:p>
    <w:p w14:paraId="507F0BF7" w14:textId="5AA50636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One gateway earth station, one Gen1 satellite and one Gen2 satellite.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Three assets rather than three of the same kind, because they share a supply chain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and sit under different regulatory regimes. That combination is what makes the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model useful beyond any single asset, and it is what lets the approach scale across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 fleet afterwards.</w:t>
      </w:r>
    </w:p>
    <w:p w14:paraId="15EFAA18" w14:textId="79DB253B" w:rsidR="005F5D76" w:rsidRPr="00F94BF5" w:rsidRDefault="005F5D76" w:rsidP="005F5D76">
      <w:pPr>
        <w:rPr>
          <w:rFonts w:ascii="Calibri" w:hAnsi="Calibri" w:cs="Calibri"/>
          <w:b/>
          <w:bCs/>
          <w:sz w:val="28"/>
          <w:szCs w:val="28"/>
        </w:rPr>
      </w:pPr>
      <w:r w:rsidRPr="00F94BF5">
        <w:rPr>
          <w:rFonts w:ascii="Calibri" w:hAnsi="Calibri" w:cs="Calibri"/>
          <w:b/>
          <w:bCs/>
          <w:sz w:val="28"/>
          <w:szCs w:val="28"/>
        </w:rPr>
        <w:t>What you receive</w:t>
      </w:r>
    </w:p>
    <w:p w14:paraId="265D1F21" w14:textId="15E36FEF" w:rsidR="005F5D76" w:rsidRPr="00F94BF5" w:rsidRDefault="005F5D76" w:rsidP="005F5D7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94BF5">
        <w:rPr>
          <w:rFonts w:ascii="Calibri" w:hAnsi="Calibri" w:cs="Calibri"/>
        </w:rPr>
        <w:t>The unified asset model, with provenance to source documents</w:t>
      </w:r>
    </w:p>
    <w:p w14:paraId="5D80089B" w14:textId="5149D08E" w:rsidR="005F5D76" w:rsidRPr="00F94BF5" w:rsidRDefault="005F5D76" w:rsidP="005F5D7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94BF5">
        <w:rPr>
          <w:rFonts w:ascii="Calibri" w:hAnsi="Calibri" w:cs="Calibri"/>
        </w:rPr>
        <w:t>A compliance gap analysis for each of the three assets</w:t>
      </w:r>
    </w:p>
    <w:p w14:paraId="13D7176D" w14:textId="17D2C249" w:rsidR="005F5D76" w:rsidRPr="00F94BF5" w:rsidRDefault="005F5D76" w:rsidP="005F5D7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94BF5">
        <w:rPr>
          <w:rFonts w:ascii="Calibri" w:hAnsi="Calibri" w:cs="Calibri"/>
        </w:rPr>
        <w:t>Design recommendations, each traceable to a specific finding</w:t>
      </w:r>
    </w:p>
    <w:p w14:paraId="3DAA6067" w14:textId="0B74372D" w:rsidR="005F5D76" w:rsidRPr="00F94BF5" w:rsidRDefault="005F5D76" w:rsidP="005F5D7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94BF5">
        <w:rPr>
          <w:rFonts w:ascii="Calibri" w:hAnsi="Calibri" w:cs="Calibri"/>
        </w:rPr>
        <w:t>A reusable reference model of the gateway, which Amazon keeps</w:t>
      </w:r>
    </w:p>
    <w:p w14:paraId="4C4124E9" w14:textId="2553A431" w:rsidR="005F5D76" w:rsidRPr="00F94BF5" w:rsidRDefault="005F5D76" w:rsidP="005F5D7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94BF5">
        <w:rPr>
          <w:rFonts w:ascii="Calibri" w:hAnsi="Calibri" w:cs="Calibri"/>
        </w:rPr>
        <w:t xml:space="preserve">A supply corridor analysis covering regulatory friction between </w:t>
      </w:r>
      <w:proofErr w:type="gramStart"/>
      <w:r w:rsidRPr="00F94BF5">
        <w:rPr>
          <w:rFonts w:ascii="Calibri" w:hAnsi="Calibri" w:cs="Calibri"/>
        </w:rPr>
        <w:t>where</w:t>
      </w:r>
      <w:proofErr w:type="gramEnd"/>
      <w:r w:rsidRPr="00F94BF5">
        <w:rPr>
          <w:rFonts w:ascii="Calibri" w:hAnsi="Calibri" w:cs="Calibri"/>
        </w:rPr>
        <w:t xml:space="preserve"> components</w:t>
      </w:r>
    </w:p>
    <w:p w14:paraId="7A31E225" w14:textId="4A4360C0" w:rsidR="005F5D76" w:rsidRPr="00F94BF5" w:rsidRDefault="005F5D76" w:rsidP="005F5D76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F94BF5">
        <w:rPr>
          <w:rFonts w:ascii="Calibri" w:hAnsi="Calibri" w:cs="Calibri"/>
        </w:rPr>
        <w:t xml:space="preserve">originate and where they are deployed </w:t>
      </w:r>
    </w:p>
    <w:p w14:paraId="66BDAE09" w14:textId="3374CDEF" w:rsidR="005F5D76" w:rsidRPr="00F94BF5" w:rsidRDefault="005F5D76" w:rsidP="005F5D7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94BF5">
        <w:rPr>
          <w:rFonts w:ascii="Calibri" w:hAnsi="Calibri" w:cs="Calibri"/>
        </w:rPr>
        <w:t>Before-and-after measurement against the agreed measures below</w:t>
      </w:r>
    </w:p>
    <w:p w14:paraId="11F2A00D" w14:textId="58E1A82B" w:rsidR="005F5D76" w:rsidRPr="00F94BF5" w:rsidRDefault="005F5D76" w:rsidP="005F5D76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F94BF5">
        <w:rPr>
          <w:rFonts w:ascii="Calibri" w:hAnsi="Calibri" w:cs="Calibri"/>
        </w:rPr>
        <w:t>An on-site readout</w:t>
      </w:r>
    </w:p>
    <w:p w14:paraId="379876F0" w14:textId="26D1585A" w:rsidR="005F5D76" w:rsidRPr="00F94BF5" w:rsidRDefault="005F5D76" w:rsidP="005F5D76">
      <w:pPr>
        <w:rPr>
          <w:rFonts w:ascii="Calibri" w:hAnsi="Calibri" w:cs="Calibri"/>
          <w:b/>
          <w:bCs/>
          <w:sz w:val="28"/>
          <w:szCs w:val="28"/>
        </w:rPr>
      </w:pPr>
      <w:r w:rsidRPr="00F94BF5">
        <w:rPr>
          <w:rFonts w:ascii="Calibri" w:hAnsi="Calibri" w:cs="Calibri"/>
          <w:b/>
          <w:bCs/>
          <w:sz w:val="28"/>
          <w:szCs w:val="28"/>
        </w:rPr>
        <w:t>How success is measured</w:t>
      </w:r>
    </w:p>
    <w:p w14:paraId="5F0D167B" w14:textId="4CA29793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Five measures, each with a starting point captured in stage one and re-measured at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the readout, using the same method both times.</w:t>
      </w:r>
    </w:p>
    <w:tbl>
      <w:tblPr>
        <w:tblStyle w:val="GridTable4"/>
        <w:tblW w:w="4842" w:type="pct"/>
        <w:tblLook w:val="04A0" w:firstRow="1" w:lastRow="0" w:firstColumn="1" w:lastColumn="0" w:noHBand="0" w:noVBand="1"/>
      </w:tblPr>
      <w:tblGrid>
        <w:gridCol w:w="4119"/>
        <w:gridCol w:w="6330"/>
      </w:tblGrid>
      <w:tr w:rsidR="009E3272" w:rsidRPr="00F94BF5" w14:paraId="03932E39" w14:textId="77777777" w:rsidTr="00C63CE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1" w:type="pct"/>
            <w:hideMark/>
          </w:tcPr>
          <w:p w14:paraId="7B8EB442" w14:textId="77777777" w:rsidR="009E3272" w:rsidRPr="00F94BF5" w:rsidRDefault="009E3272">
            <w:pPr>
              <w:spacing w:after="160"/>
              <w:rPr>
                <w:rFonts w:ascii="Calibri" w:hAnsi="Calibri" w:cs="Calibri"/>
                <w:kern w:val="0"/>
                <w:sz w:val="22"/>
                <w:szCs w:val="22"/>
                <w14:ligatures w14:val="none"/>
              </w:rPr>
            </w:pPr>
            <w:r w:rsidRPr="00F94BF5">
              <w:rPr>
                <w:rFonts w:ascii="Calibri" w:hAnsi="Calibri" w:cs="Calibri"/>
                <w:sz w:val="22"/>
                <w:szCs w:val="22"/>
              </w:rPr>
              <w:t>Measure</w:t>
            </w:r>
          </w:p>
        </w:tc>
        <w:tc>
          <w:tcPr>
            <w:tcW w:w="3029" w:type="pct"/>
            <w:hideMark/>
          </w:tcPr>
          <w:p w14:paraId="2CA6518C" w14:textId="77777777" w:rsidR="009E3272" w:rsidRPr="00F94BF5" w:rsidRDefault="009E3272">
            <w:pPr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2"/>
                <w:szCs w:val="22"/>
              </w:rPr>
            </w:pPr>
            <w:r w:rsidRPr="00F94BF5">
              <w:rPr>
                <w:rFonts w:ascii="Calibri" w:hAnsi="Calibri" w:cs="Calibri"/>
                <w:sz w:val="22"/>
                <w:szCs w:val="22"/>
              </w:rPr>
              <w:t>How it is established</w:t>
            </w:r>
          </w:p>
        </w:tc>
      </w:tr>
      <w:tr w:rsidR="009E3272" w:rsidRPr="00F94BF5" w14:paraId="2468E761" w14:textId="77777777" w:rsidTr="00C6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1" w:type="pct"/>
            <w:hideMark/>
          </w:tcPr>
          <w:p w14:paraId="4060E353" w14:textId="77777777" w:rsidR="009E3272" w:rsidRPr="00F94BF5" w:rsidRDefault="009E3272">
            <w:pPr>
              <w:spacing w:after="16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Compliance audit time</w:t>
            </w:r>
          </w:p>
        </w:tc>
        <w:tc>
          <w:tcPr>
            <w:tcW w:w="3029" w:type="pct"/>
            <w:hideMark/>
          </w:tcPr>
          <w:p w14:paraId="5FFDBDD8" w14:textId="77777777" w:rsidR="009E3272" w:rsidRPr="00F94BF5" w:rsidRDefault="009E32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Your team answers a fixed set of questions, timed, at the start and again at the end.</w:t>
            </w:r>
          </w:p>
        </w:tc>
      </w:tr>
      <w:tr w:rsidR="009E3272" w:rsidRPr="00F94BF5" w14:paraId="6F81BA91" w14:textId="77777777" w:rsidTr="00C63CE4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1" w:type="pct"/>
            <w:hideMark/>
          </w:tcPr>
          <w:p w14:paraId="67813AE5" w14:textId="77777777" w:rsidR="009E3272" w:rsidRPr="00F94BF5" w:rsidRDefault="009E3272">
            <w:pPr>
              <w:spacing w:after="16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Vulnerability remediation cycle time</w:t>
            </w:r>
          </w:p>
        </w:tc>
        <w:tc>
          <w:tcPr>
            <w:tcW w:w="3029" w:type="pct"/>
            <w:hideMark/>
          </w:tcPr>
          <w:p w14:paraId="63BD480B" w14:textId="77777777" w:rsidR="009E3272" w:rsidRPr="00F94BF5" w:rsidRDefault="009E32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Time from an advisory to a defensible list of affected components.</w:t>
            </w:r>
          </w:p>
        </w:tc>
      </w:tr>
      <w:tr w:rsidR="009E3272" w:rsidRPr="00F94BF5" w14:paraId="64BD0578" w14:textId="77777777" w:rsidTr="00C6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1" w:type="pct"/>
            <w:hideMark/>
          </w:tcPr>
          <w:p w14:paraId="5EDF2E15" w14:textId="77777777" w:rsidR="009E3272" w:rsidRPr="00F94BF5" w:rsidRDefault="009E3272">
            <w:pPr>
              <w:spacing w:after="16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Engineering redesign and rework cost</w:t>
            </w:r>
          </w:p>
        </w:tc>
        <w:tc>
          <w:tcPr>
            <w:tcW w:w="3029" w:type="pct"/>
            <w:hideMark/>
          </w:tcPr>
          <w:p w14:paraId="32F7BA90" w14:textId="77777777" w:rsidR="009E3272" w:rsidRPr="00F94BF5" w:rsidRDefault="009E32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 xml:space="preserve">Your own cost figures, applied to findings </w:t>
            </w:r>
            <w:proofErr w:type="gramStart"/>
            <w:r w:rsidRPr="00F94BF5">
              <w:rPr>
                <w:rFonts w:ascii="Calibri" w:hAnsi="Calibri" w:cs="Calibri"/>
                <w:sz w:val="21"/>
                <w:szCs w:val="21"/>
              </w:rPr>
              <w:t>actually acted</w:t>
            </w:r>
            <w:proofErr w:type="gramEnd"/>
            <w:r w:rsidRPr="00F94BF5">
              <w:rPr>
                <w:rFonts w:ascii="Calibri" w:hAnsi="Calibri" w:cs="Calibri"/>
                <w:sz w:val="21"/>
                <w:szCs w:val="21"/>
              </w:rPr>
              <w:t xml:space="preserve"> on.</w:t>
            </w:r>
          </w:p>
        </w:tc>
      </w:tr>
      <w:tr w:rsidR="009E3272" w:rsidRPr="00F94BF5" w14:paraId="544BF2C2" w14:textId="77777777" w:rsidTr="00C63CE4">
        <w:trPr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1" w:type="pct"/>
            <w:hideMark/>
          </w:tcPr>
          <w:p w14:paraId="4287C0A8" w14:textId="77777777" w:rsidR="009E3272" w:rsidRPr="00F94BF5" w:rsidRDefault="009E3272">
            <w:pPr>
              <w:spacing w:after="16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Hardware compliant before deployment</w:t>
            </w:r>
          </w:p>
        </w:tc>
        <w:tc>
          <w:tcPr>
            <w:tcW w:w="3029" w:type="pct"/>
            <w:hideMark/>
          </w:tcPr>
          <w:p w14:paraId="6CF6D4BB" w14:textId="77777777" w:rsidR="009E3272" w:rsidRPr="00F94BF5" w:rsidRDefault="009E3272">
            <w:pPr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Proportion of in-scope components with complete evidence.</w:t>
            </w:r>
          </w:p>
        </w:tc>
      </w:tr>
      <w:tr w:rsidR="009E3272" w:rsidRPr="00F94BF5" w14:paraId="4BB270E9" w14:textId="77777777" w:rsidTr="00C63CE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1" w:type="pct"/>
            <w:hideMark/>
          </w:tcPr>
          <w:p w14:paraId="00ACDAD1" w14:textId="77777777" w:rsidR="009E3272" w:rsidRPr="00F94BF5" w:rsidRDefault="009E3272">
            <w:pPr>
              <w:spacing w:after="16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Lifecycle configuration accuracy</w:t>
            </w:r>
          </w:p>
        </w:tc>
        <w:tc>
          <w:tcPr>
            <w:tcW w:w="3029" w:type="pct"/>
            <w:hideMark/>
          </w:tcPr>
          <w:p w14:paraId="02532B58" w14:textId="77777777" w:rsidR="009E3272" w:rsidRPr="00F94BF5" w:rsidRDefault="009E3272">
            <w:pPr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21"/>
                <w:szCs w:val="21"/>
              </w:rPr>
            </w:pPr>
            <w:r w:rsidRPr="00F94BF5">
              <w:rPr>
                <w:rFonts w:ascii="Calibri" w:hAnsi="Calibri" w:cs="Calibri"/>
                <w:sz w:val="21"/>
                <w:szCs w:val="21"/>
              </w:rPr>
              <w:t>Sampled comparison of the model against as-built reality.</w:t>
            </w:r>
          </w:p>
        </w:tc>
      </w:tr>
    </w:tbl>
    <w:p w14:paraId="5A20ECB7" w14:textId="77777777" w:rsidR="005F5D76" w:rsidRPr="00F94BF5" w:rsidRDefault="005F5D76" w:rsidP="005F5D76">
      <w:pPr>
        <w:rPr>
          <w:rFonts w:ascii="Calibri" w:hAnsi="Calibri" w:cs="Calibri"/>
        </w:rPr>
      </w:pPr>
    </w:p>
    <w:p w14:paraId="6BCC2EAF" w14:textId="28F235BA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The current-state figures and internal cost rates come from Amazon. We would rather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work from your numbers than present ours, because yours are the ones that carry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weight internally afterwards.</w:t>
      </w:r>
    </w:p>
    <w:p w14:paraId="7B3558EB" w14:textId="0B57C6DC" w:rsidR="005F5D76" w:rsidRPr="00F94BF5" w:rsidRDefault="005F5D76" w:rsidP="005F5D76">
      <w:pPr>
        <w:rPr>
          <w:rFonts w:ascii="Calibri" w:hAnsi="Calibri" w:cs="Calibri"/>
          <w:b/>
          <w:bCs/>
        </w:rPr>
      </w:pPr>
      <w:r w:rsidRPr="00F94BF5">
        <w:rPr>
          <w:rFonts w:ascii="Calibri" w:hAnsi="Calibri" w:cs="Calibri"/>
          <w:b/>
          <w:bCs/>
        </w:rPr>
        <w:t>Deployment</w:t>
      </w:r>
    </w:p>
    <w:p w14:paraId="5BA5721E" w14:textId="6F03F8E9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The platform runs on a secure dedicated instance within Amazon's own cloud, with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access to GPU capacity for the inference models. Your data and the models stay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inside your environment.</w:t>
      </w:r>
    </w:p>
    <w:p w14:paraId="2ABF0808" w14:textId="76F6CAFC" w:rsidR="005F5D76" w:rsidRPr="00F94BF5" w:rsidRDefault="005F5D76" w:rsidP="005F5D76">
      <w:pPr>
        <w:rPr>
          <w:rFonts w:ascii="Calibri" w:hAnsi="Calibri" w:cs="Calibri"/>
          <w:b/>
          <w:bCs/>
          <w:sz w:val="28"/>
          <w:szCs w:val="28"/>
        </w:rPr>
      </w:pPr>
      <w:r w:rsidRPr="00F94BF5">
        <w:rPr>
          <w:rFonts w:ascii="Calibri" w:hAnsi="Calibri" w:cs="Calibri"/>
          <w:b/>
          <w:bCs/>
          <w:sz w:val="28"/>
          <w:szCs w:val="28"/>
        </w:rPr>
        <w:t>Governance</w:t>
      </w:r>
    </w:p>
    <w:p w14:paraId="291C287D" w14:textId="3ED1C8BD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lastRenderedPageBreak/>
        <w:t>A named point of contact on each side per asset. Workshops with engineering,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operations, security, compliance and procurement at the start, middle and end.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Readout sessions validate deliverables, confirm roles, set the communication cadence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and record sign-off against the list above.</w:t>
      </w:r>
    </w:p>
    <w:p w14:paraId="48C563B1" w14:textId="110EE0F1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A thirty-day alignment period before kickoff covers project management,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communications, documentation access and infrastructure setup, so that month one is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engineering rather than administration.</w:t>
      </w:r>
    </w:p>
    <w:p w14:paraId="0D6C5254" w14:textId="4B49B1A5" w:rsidR="005F5D76" w:rsidRPr="00F94BF5" w:rsidRDefault="005F5D76" w:rsidP="005F5D76">
      <w:pPr>
        <w:rPr>
          <w:rFonts w:ascii="Calibri" w:hAnsi="Calibri" w:cs="Calibri"/>
          <w:b/>
          <w:bCs/>
          <w:sz w:val="28"/>
          <w:szCs w:val="28"/>
        </w:rPr>
      </w:pPr>
      <w:r w:rsidRPr="00F94BF5">
        <w:rPr>
          <w:rFonts w:ascii="Calibri" w:hAnsi="Calibri" w:cs="Calibri"/>
          <w:b/>
          <w:bCs/>
          <w:sz w:val="28"/>
          <w:szCs w:val="28"/>
        </w:rPr>
        <w:t>Investment</w:t>
      </w:r>
    </w:p>
    <w:p w14:paraId="64253093" w14:textId="42F3F56A" w:rsidR="005F5D76" w:rsidRPr="00F94BF5" w:rsidRDefault="00F94BF5" w:rsidP="005F5D76">
      <w:pPr>
        <w:rPr>
          <w:rFonts w:ascii="Calibri" w:hAnsi="Calibri" w:cs="Calibri"/>
        </w:rPr>
      </w:pPr>
      <w:r>
        <w:rPr>
          <w:rFonts w:ascii="Calibri" w:hAnsi="Calibri" w:cs="Calibri"/>
        </w:rPr>
        <w:t>F</w:t>
      </w:r>
      <w:r w:rsidR="005F5D76" w:rsidRPr="00F94BF5">
        <w:rPr>
          <w:rFonts w:ascii="Calibri" w:hAnsi="Calibri" w:cs="Calibri"/>
        </w:rPr>
        <w:t xml:space="preserve">ee of </w:t>
      </w:r>
      <w:r>
        <w:rPr>
          <w:rFonts w:ascii="Calibri" w:hAnsi="Calibri" w:cs="Calibri"/>
        </w:rPr>
        <w:t>XXX</w:t>
      </w:r>
      <w:r w:rsidR="005F5D76" w:rsidRPr="00F94BF5">
        <w:rPr>
          <w:rFonts w:ascii="Calibri" w:hAnsi="Calibri" w:cs="Calibri"/>
        </w:rPr>
        <w:t xml:space="preserve"> US dollars for </w:t>
      </w:r>
      <w:proofErr w:type="gramStart"/>
      <w:r>
        <w:rPr>
          <w:rFonts w:ascii="Calibri" w:hAnsi="Calibri" w:cs="Calibri"/>
        </w:rPr>
        <w:t>a an</w:t>
      </w:r>
      <w:proofErr w:type="gramEnd"/>
      <w:r>
        <w:rPr>
          <w:rFonts w:ascii="Calibri" w:hAnsi="Calibri" w:cs="Calibri"/>
        </w:rPr>
        <w:t xml:space="preserve"> estimated</w:t>
      </w:r>
      <w:r w:rsidR="005F5D76" w:rsidRPr="00F94BF5">
        <w:rPr>
          <w:rFonts w:ascii="Calibri" w:hAnsi="Calibri" w:cs="Calibri"/>
        </w:rPr>
        <w:t xml:space="preserve"> three-month engagement, including the</w:t>
      </w:r>
      <w:r w:rsidR="009E3272" w:rsidRPr="00F94BF5">
        <w:rPr>
          <w:rFonts w:ascii="Calibri" w:hAnsi="Calibri" w:cs="Calibri"/>
        </w:rPr>
        <w:t xml:space="preserve"> </w:t>
      </w:r>
      <w:r w:rsidR="005F5D76" w:rsidRPr="00F94BF5">
        <w:rPr>
          <w:rFonts w:ascii="Calibri" w:hAnsi="Calibri" w:cs="Calibri"/>
        </w:rPr>
        <w:t>alignment period and travel for the on-site sessions.</w:t>
      </w:r>
    </w:p>
    <w:p w14:paraId="4A33E3F6" w14:textId="34696B64" w:rsidR="005F5D76" w:rsidRPr="00F94BF5" w:rsidRDefault="005F5D76" w:rsidP="005F5D76">
      <w:pPr>
        <w:rPr>
          <w:rFonts w:ascii="Calibri" w:hAnsi="Calibri" w:cs="Calibri"/>
          <w:b/>
          <w:bCs/>
          <w:sz w:val="28"/>
          <w:szCs w:val="28"/>
        </w:rPr>
      </w:pPr>
      <w:r w:rsidRPr="00F94BF5">
        <w:rPr>
          <w:rFonts w:ascii="Calibri" w:hAnsi="Calibri" w:cs="Calibri"/>
          <w:b/>
          <w:bCs/>
          <w:sz w:val="28"/>
          <w:szCs w:val="28"/>
        </w:rPr>
        <w:t>About OXOT</w:t>
      </w:r>
    </w:p>
    <w:p w14:paraId="611BF4D9" w14:textId="61F23B58" w:rsidR="005F5D76" w:rsidRPr="00F94BF5" w:rsidRDefault="005F5D76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>OXOT builds and operates the Cyber Digital Twin platform. Its development was funded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 xml:space="preserve">under </w:t>
      </w:r>
      <w:r w:rsidRPr="00F94BF5">
        <w:rPr>
          <w:rFonts w:ascii="Calibri" w:hAnsi="Calibri" w:cs="Calibri"/>
          <w:b/>
          <w:bCs/>
        </w:rPr>
        <w:t>CIF-NL 2025</w:t>
      </w:r>
      <w:r w:rsidRPr="00F94BF5">
        <w:rPr>
          <w:rFonts w:ascii="Calibri" w:hAnsi="Calibri" w:cs="Calibri"/>
        </w:rPr>
        <w:t>, the Dutch government innovation grant administered by RVO, the</w:t>
      </w:r>
      <w:r w:rsidR="009E3272" w:rsidRPr="00F94BF5">
        <w:rPr>
          <w:rFonts w:ascii="Calibri" w:hAnsi="Calibri" w:cs="Calibri"/>
        </w:rPr>
        <w:t xml:space="preserve"> </w:t>
      </w:r>
      <w:r w:rsidRPr="00F94BF5">
        <w:rPr>
          <w:rFonts w:ascii="Calibri" w:hAnsi="Calibri" w:cs="Calibri"/>
        </w:rPr>
        <w:t>Netherlands Enterprise Agency,</w:t>
      </w:r>
    </w:p>
    <w:p w14:paraId="40855003" w14:textId="5A6CF091" w:rsidR="004972A9" w:rsidRPr="00F94BF5" w:rsidRDefault="009E3272" w:rsidP="005F5D76">
      <w:pPr>
        <w:rPr>
          <w:rFonts w:ascii="Calibri" w:hAnsi="Calibri" w:cs="Calibri"/>
        </w:rPr>
      </w:pPr>
      <w:r w:rsidRPr="00F94BF5">
        <w:rPr>
          <w:rFonts w:ascii="Calibri" w:hAnsi="Calibri" w:cs="Calibri"/>
        </w:rPr>
        <w:t xml:space="preserve">OXOT supports open and transparent </w:t>
      </w:r>
      <w:r w:rsidR="00F94BF5">
        <w:rPr>
          <w:rFonts w:ascii="Calibri" w:hAnsi="Calibri" w:cs="Calibri"/>
        </w:rPr>
        <w:t>standards and models</w:t>
      </w:r>
      <w:r w:rsidR="005F5D76" w:rsidRPr="00F94BF5">
        <w:rPr>
          <w:rFonts w:ascii="Calibri" w:hAnsi="Calibri" w:cs="Calibri"/>
        </w:rPr>
        <w:t xml:space="preserve">, so your engineers can evaluate the </w:t>
      </w:r>
      <w:r w:rsidR="005912B5" w:rsidRPr="00F94BF5">
        <w:rPr>
          <w:rFonts w:ascii="Calibri" w:hAnsi="Calibri" w:cs="Calibri"/>
        </w:rPr>
        <w:t xml:space="preserve">platform </w:t>
      </w:r>
      <w:r w:rsidR="005F5D76" w:rsidRPr="00F94BF5">
        <w:rPr>
          <w:rFonts w:ascii="Calibri" w:hAnsi="Calibri" w:cs="Calibri"/>
        </w:rPr>
        <w:t>standard</w:t>
      </w:r>
      <w:r w:rsidR="005912B5" w:rsidRPr="00F94BF5">
        <w:rPr>
          <w:rFonts w:ascii="Calibri" w:hAnsi="Calibri" w:cs="Calibri"/>
        </w:rPr>
        <w:t>s</w:t>
      </w:r>
      <w:r w:rsidR="005F5D76" w:rsidRPr="00F94BF5">
        <w:rPr>
          <w:rFonts w:ascii="Calibri" w:hAnsi="Calibri" w:cs="Calibri"/>
        </w:rPr>
        <w:t xml:space="preserve"> independently</w:t>
      </w:r>
      <w:r w:rsidRPr="00F94BF5">
        <w:rPr>
          <w:rFonts w:ascii="Calibri" w:hAnsi="Calibri" w:cs="Calibri"/>
        </w:rPr>
        <w:t xml:space="preserve"> </w:t>
      </w:r>
      <w:r w:rsidR="005F5D76" w:rsidRPr="00F94BF5">
        <w:rPr>
          <w:rFonts w:ascii="Calibri" w:hAnsi="Calibri" w:cs="Calibri"/>
        </w:rPr>
        <w:t>of the company implementing it. Supporting documentation on the model and the</w:t>
      </w:r>
      <w:r w:rsidRPr="00F94BF5">
        <w:rPr>
          <w:rFonts w:ascii="Calibri" w:hAnsi="Calibri" w:cs="Calibri"/>
        </w:rPr>
        <w:t xml:space="preserve"> </w:t>
      </w:r>
      <w:r w:rsidR="005F5D76" w:rsidRPr="00F94BF5">
        <w:rPr>
          <w:rFonts w:ascii="Calibri" w:hAnsi="Calibri" w:cs="Calibri"/>
        </w:rPr>
        <w:t>standards it uses is available on request.</w:t>
      </w:r>
    </w:p>
    <w:sectPr w:rsidR="004972A9" w:rsidRPr="00F94BF5" w:rsidSect="00C63CE4">
      <w:headerReference w:type="default" r:id="rId8"/>
      <w:footerReference w:type="even" r:id="rId9"/>
      <w:footerReference w:type="default" r:id="rId10"/>
      <w:pgSz w:w="12240" w:h="15840"/>
      <w:pgMar w:top="720" w:right="720" w:bottom="720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81B40A8" w14:textId="77777777" w:rsidR="00C13D2E" w:rsidRDefault="00C13D2E" w:rsidP="00C63CE4">
      <w:pPr>
        <w:spacing w:after="0" w:line="240" w:lineRule="auto"/>
      </w:pPr>
      <w:r>
        <w:separator/>
      </w:r>
    </w:p>
  </w:endnote>
  <w:endnote w:type="continuationSeparator" w:id="0">
    <w:p w14:paraId="78344E6E" w14:textId="77777777" w:rsidR="00C13D2E" w:rsidRDefault="00C13D2E" w:rsidP="00C63C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54108815"/>
      <w:docPartObj>
        <w:docPartGallery w:val="Page Numbers (Bottom of Page)"/>
        <w:docPartUnique/>
      </w:docPartObj>
    </w:sdtPr>
    <w:sdtContent>
      <w:p w14:paraId="56C8EA81" w14:textId="4B0E9C7C" w:rsidR="00C63CE4" w:rsidRDefault="00C63CE4" w:rsidP="00142E5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5D23AA5E" w14:textId="77777777" w:rsidR="00C63CE4" w:rsidRDefault="00C63CE4" w:rsidP="00C63C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85ECEC" w14:textId="150781C5" w:rsidR="00C63CE4" w:rsidRDefault="00C63CE4" w:rsidP="00142E5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t xml:space="preserve">Page </w:t>
    </w:r>
    <w:sdt>
      <w:sdtPr>
        <w:rPr>
          <w:rStyle w:val="PageNumber"/>
        </w:rPr>
        <w:id w:val="1211307100"/>
        <w:docPartObj>
          <w:docPartGallery w:val="Page Numbers (Bottom of Page)"/>
          <w:docPartUnique/>
        </w:docPartObj>
      </w:sdtPr>
      <w:sdtContent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sdtContent>
    </w:sdt>
  </w:p>
  <w:p w14:paraId="404B3952" w14:textId="778C7F5A" w:rsidR="00C63CE4" w:rsidRDefault="00C63CE4" w:rsidP="00C63CE4">
    <w:pPr>
      <w:pStyle w:val="Footer"/>
      <w:ind w:right="360"/>
    </w:pPr>
    <w:r w:rsidRPr="00C63CE4">
      <w:rPr>
        <w:sz w:val="22"/>
        <w:szCs w:val="22"/>
      </w:rPr>
      <w:t>OXOT</w:t>
    </w:r>
    <w:r>
      <w:tab/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D0D7A1" w14:textId="77777777" w:rsidR="00C13D2E" w:rsidRDefault="00C13D2E" w:rsidP="00C63CE4">
      <w:pPr>
        <w:spacing w:after="0" w:line="240" w:lineRule="auto"/>
      </w:pPr>
      <w:r>
        <w:separator/>
      </w:r>
    </w:p>
  </w:footnote>
  <w:footnote w:type="continuationSeparator" w:id="0">
    <w:p w14:paraId="4C76F9B9" w14:textId="77777777" w:rsidR="00C13D2E" w:rsidRDefault="00C13D2E" w:rsidP="00C63C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0157B6" w14:textId="12AA10AA" w:rsidR="00F94BF5" w:rsidRPr="00186273" w:rsidRDefault="00F94BF5">
    <w:pPr>
      <w:pStyle w:val="Header"/>
      <w:rPr>
        <w:sz w:val="21"/>
        <w:szCs w:val="21"/>
      </w:rPr>
    </w:pPr>
    <w:r w:rsidRPr="00186273">
      <w:rPr>
        <w:sz w:val="21"/>
        <w:szCs w:val="21"/>
      </w:rPr>
      <w:t>OXOT CYBER DIGITAL TWIN PILOT PROPOSAL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D60BA0"/>
    <w:multiLevelType w:val="hybridMultilevel"/>
    <w:tmpl w:val="785AA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833CA"/>
    <w:multiLevelType w:val="hybridMultilevel"/>
    <w:tmpl w:val="7A84B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CD1A91"/>
    <w:multiLevelType w:val="multilevel"/>
    <w:tmpl w:val="46185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0FD4E39"/>
    <w:multiLevelType w:val="hybridMultilevel"/>
    <w:tmpl w:val="2D36C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912BEC"/>
    <w:multiLevelType w:val="hybridMultilevel"/>
    <w:tmpl w:val="1340E2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4242502">
    <w:abstractNumId w:val="2"/>
  </w:num>
  <w:num w:numId="2" w16cid:durableId="537544735">
    <w:abstractNumId w:val="0"/>
  </w:num>
  <w:num w:numId="3" w16cid:durableId="263344860">
    <w:abstractNumId w:val="4"/>
  </w:num>
  <w:num w:numId="4" w16cid:durableId="1862088419">
    <w:abstractNumId w:val="3"/>
  </w:num>
  <w:num w:numId="5" w16cid:durableId="15769809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A9"/>
    <w:rsid w:val="0003540F"/>
    <w:rsid w:val="00154549"/>
    <w:rsid w:val="00186273"/>
    <w:rsid w:val="0029034E"/>
    <w:rsid w:val="002B3AFF"/>
    <w:rsid w:val="0042012C"/>
    <w:rsid w:val="00453954"/>
    <w:rsid w:val="004972A9"/>
    <w:rsid w:val="005912B5"/>
    <w:rsid w:val="005C5C57"/>
    <w:rsid w:val="005F5D76"/>
    <w:rsid w:val="007312A4"/>
    <w:rsid w:val="00830FD3"/>
    <w:rsid w:val="00965F52"/>
    <w:rsid w:val="009E3272"/>
    <w:rsid w:val="00A850DF"/>
    <w:rsid w:val="00AD46DB"/>
    <w:rsid w:val="00AE17DF"/>
    <w:rsid w:val="00B7501E"/>
    <w:rsid w:val="00BE4EB2"/>
    <w:rsid w:val="00C13D2E"/>
    <w:rsid w:val="00C3205D"/>
    <w:rsid w:val="00C43285"/>
    <w:rsid w:val="00C63CE4"/>
    <w:rsid w:val="00E3649B"/>
    <w:rsid w:val="00EB6773"/>
    <w:rsid w:val="00F44883"/>
    <w:rsid w:val="00F9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03FD7"/>
  <w15:chartTrackingRefBased/>
  <w15:docId w15:val="{4F3A45BB-2CA9-9041-82A3-A6FA2FE09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2A9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4972A9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972A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4972A9"/>
    <w:rPr>
      <w:i/>
      <w:iCs/>
    </w:rPr>
  </w:style>
  <w:style w:type="paragraph" w:styleId="NoSpacing">
    <w:name w:val="No Spacing"/>
    <w:uiPriority w:val="1"/>
    <w:qFormat/>
    <w:rsid w:val="004972A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4972A9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4972A9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4972A9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972A9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972A9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table" w:styleId="GridTable4-Accent1">
    <w:name w:val="Grid Table 4 Accent 1"/>
    <w:basedOn w:val="TableNormal"/>
    <w:uiPriority w:val="49"/>
    <w:rsid w:val="00E3649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">
    <w:name w:val="Grid Table 4"/>
    <w:basedOn w:val="TableNormal"/>
    <w:uiPriority w:val="49"/>
    <w:rsid w:val="009E327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63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CE4"/>
  </w:style>
  <w:style w:type="paragraph" w:styleId="Footer">
    <w:name w:val="footer"/>
    <w:basedOn w:val="Normal"/>
    <w:link w:val="FooterChar"/>
    <w:uiPriority w:val="99"/>
    <w:unhideWhenUsed/>
    <w:rsid w:val="00C63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CE4"/>
  </w:style>
  <w:style w:type="character" w:styleId="PageNumber">
    <w:name w:val="page number"/>
    <w:basedOn w:val="DefaultParagraphFont"/>
    <w:uiPriority w:val="99"/>
    <w:semiHidden/>
    <w:unhideWhenUsed/>
    <w:rsid w:val="00C63C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CC14AA3-FDA2-1E44-A809-BB0D3EDF6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1207</Words>
  <Characters>6825</Characters>
  <Application>Microsoft Office Word</Application>
  <DocSecurity>0</DocSecurity>
  <Lines>129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McKenney</dc:creator>
  <cp:keywords/>
  <dc:description/>
  <cp:lastModifiedBy>Jim McKenney</cp:lastModifiedBy>
  <cp:revision>2</cp:revision>
  <cp:lastPrinted>2026-09-14T22:29:00Z</cp:lastPrinted>
  <dcterms:created xsi:type="dcterms:W3CDTF">2026-09-14T22:58:00Z</dcterms:created>
  <dcterms:modified xsi:type="dcterms:W3CDTF">2026-09-14T22:58:00Z</dcterms:modified>
</cp:coreProperties>
</file>