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936" w:type="dxa"/>
        <w:tblLayout w:type="fixed"/>
        <w:tblCellMar>
          <w:top w:w="120" w:type="dxa"/>
          <w:bottom w:w="120" w:type="dxa"/>
          <w:left w:w="150" w:type="dxa"/>
          <w:right w:w="150" w:type="dxa"/>
        </w:tblCellMar>
      </w:tblPr>
      <w:tblGrid>
        <w:gridCol w:w="9936"/>
      </w:tblGrid>
      <w:tr>
        <w:tc>
          <w:tcPr>
            <w:tcW w:w="9936" w:type="dxa"/>
            <w:shd w:val="clear" w:fill="16203B"/>
          </w:tcPr>
          <w:p>
            <w:pPr>
              <w:spacing w:before="0" w:after="120" w:line="240" w:lineRule="auto"/>
            </w:pPr>
            <w:r>
              <w:rPr>
                <w:rFonts w:ascii="Calibri" w:hAnsi="Calibri"/>
                <w:b/>
                <w:color w:val="EE7623"/>
                <w:sz w:val="19"/>
                <w:spacing w:val="24"/>
              </w:rPr>
              <w:t xml:space="preserve">OXOT · CYBER DIGITAL TWIN</w:t>
            </w:r>
          </w:p>
          <w:p>
            <w:pPr>
              <w:spacing w:before="0" w:after="140" w:line="250" w:lineRule="auto"/>
            </w:pPr>
            <w:r>
              <w:rPr>
                <w:rFonts w:ascii="Georgia" w:hAnsi="Georgia"/>
                <w:b/>
                <w:color w:val="FBFAF8"/>
                <w:sz w:val="52"/>
              </w:rPr>
              <w:t xml:space="preserve">Model your facility. Simulate the failure. Know where to spend.</w:t>
            </w:r>
          </w:p>
          <w:p>
            <w:pPr>
              <w:spacing w:before="0" w:after="120" w:line="270" w:lineRule="auto"/>
            </w:pPr>
            <w:r>
              <w:rPr>
                <w:rFonts w:ascii="Calibri" w:hAnsi="Calibri"/>
                <w:color w:val="C3CCDE"/>
                <w:sz w:val="22"/>
              </w:rPr>
              <w:t xml:space="preserve">OXOT's Cyber Digital Twin is a living engineering model of your facility — not a checklist, not an industry-average score. Change something in the model and see the real consequence: what breaks, what it costs, who's affected. Then fix what actually matters first.</w:t>
            </w:r>
          </w:p>
          <w:p>
            <w:pPr>
              <w:spacing w:before="0" w:after="40" w:line="240" w:lineRule="auto"/>
            </w:pPr>
            <w:r>
              <w:rPr>
                <w:rFonts w:ascii="Calibri" w:hAnsi="Calibri"/>
                <w:b/>
                <w:color w:val="EE7623"/>
                <w:sz w:val="22"/>
              </w:rPr>
              <w:t xml:space="preserve">Geometry</w:t>
            </w:r>
            <w:r>
              <w:rPr>
                <w:rFonts w:ascii="Calibri" w:hAnsi="Calibri"/>
                <w:color w:val="8794AE"/>
                <w:sz w:val="18"/>
              </w:rPr>
              <w:t xml:space="preserve">  the plant as built    </w:t>
            </w:r>
            <w:r>
              <w:rPr>
                <w:rFonts w:ascii="Calibri" w:hAnsi="Calibri"/>
                <w:b/>
                <w:color w:val="EE7623"/>
                <w:sz w:val="22"/>
              </w:rPr>
              <w:t xml:space="preserve">Topology</w:t>
            </w:r>
            <w:r>
              <w:rPr>
                <w:rFonts w:ascii="Calibri" w:hAnsi="Calibri"/>
                <w:color w:val="8794AE"/>
                <w:sz w:val="18"/>
              </w:rPr>
              <w:t xml:space="preserve">  every routed connection</w:t>
            </w:r>
          </w:p>
          <w:p>
            <w:pPr>
              <w:spacing w:before="0" w:after="0" w:line="240" w:lineRule="auto"/>
            </w:pPr>
            <w:r>
              <w:rPr>
                <w:rFonts w:ascii="Calibri" w:hAnsi="Calibri"/>
                <w:b/>
                <w:color w:val="EE7623"/>
                <w:sz w:val="22"/>
              </w:rPr>
              <w:t xml:space="preserve">Attributes</w:t>
            </w:r>
            <w:r>
              <w:rPr>
                <w:rFonts w:ascii="Calibri" w:hAnsi="Calibri"/>
                <w:color w:val="8794AE"/>
                <w:sz w:val="18"/>
              </w:rPr>
              <w:t xml:space="preserve">  the cyber &amp; safety record    </w:t>
            </w:r>
            <w:r>
              <w:rPr>
                <w:rFonts w:ascii="Calibri" w:hAnsi="Calibri"/>
                <w:b/>
                <w:color w:val="EE7623"/>
                <w:sz w:val="22"/>
              </w:rPr>
              <w:t xml:space="preserve">Behaviour</w:t>
            </w:r>
            <w:r>
              <w:rPr>
                <w:rFonts w:ascii="Calibri" w:hAnsi="Calibri"/>
                <w:color w:val="8794AE"/>
                <w:sz w:val="18"/>
              </w:rPr>
              <w:t xml:space="preserve">  what happens when it breaks</w:t>
            </w:r>
          </w:p>
        </w:tc>
      </w:tr>
    </w:tbl>
    <w:p>
      <w:pPr>
        <w:spacing w:after="120" w:line="120" w:lineRule="auto"/>
      </w:pPr>
    </w:p>
    <w:p>
      <w:pPr>
        <w:keepNext/>
        <w:spacing w:before="0" w:after="60" w:line="260" w:lineRule="auto"/>
      </w:pPr>
      <w:r>
        <w:rPr>
          <w:rFonts w:ascii="Calibri" w:hAnsi="Calibri"/>
          <w:b/>
          <w:color w:val="EE7623"/>
          <w:sz w:val="17"/>
          <w:spacing w:val="24"/>
        </w:rPr>
        <w:t xml:space="preserve">WHAT IT IS, IN ONE SENTENCE</w:t>
      </w:r>
    </w:p>
    <w:p>
      <w:pPr>
        <w:keepNext/>
        <w:spacing w:before="0" w:after="120" w:line="240" w:lineRule="auto"/>
      </w:pPr>
      <w:r>
        <w:rPr>
          <w:rFonts w:ascii="Georgia" w:hAnsi="Georgia"/>
          <w:b/>
          <w:color w:val="16203B"/>
          <w:sz w:val="34"/>
        </w:rPr>
        <w:t xml:space="preserve">Ask your facility a question — and get a real, engineering-grounded answer.</w:t>
      </w:r>
    </w:p>
    <w:p>
      <w:pPr>
        <w:pBdr>
          <w:bottom w:val="single" w:sz="18" w:space="1" w:color="EE7623"/>
        </w:pBdr>
        <w:spacing w:after="140"/>
      </w:pPr>
    </w:p>
    <w:p>
      <w:pPr>
        <w:spacing w:before="0" w:after="140" w:line="270" w:lineRule="auto"/>
      </w:pPr>
      <w:r>
        <w:rPr>
          <w:rFonts w:ascii="Calibri" w:hAnsi="Calibri"/>
          <w:color w:val="3D4759"/>
          <w:sz w:val="21"/>
        </w:rPr>
        <w:t xml:space="preserve">Most security tools watch your network and tell you when something looks wrong. OXOT does something different: it builds an actual model of your facility — every asset, every connection, every safety zone — from your real engineering data. Then you can change that model. Simulate a compromised device. Simulate a vendor going down. Simulate a patch you haven't applied yet. The twin shows you which systems are affected, what it would cost, and what your safety and reliability engineers would actually see happen. That's the difference between an alert and an answer.</w:t>
      </w:r>
    </w:p>
    <w:tbl>
      <w:tblPr>
        <w:tblW w:w="9936" w:type="dxa"/>
        <w:tblLayout w:type="fixed"/>
        <w:tblCellMar>
          <w:top w:w="120" w:type="dxa"/>
          <w:bottom w:w="120" w:type="dxa"/>
          <w:left w:w="150" w:type="dxa"/>
          <w:right w:w="150" w:type="dxa"/>
        </w:tblCellMar>
      </w:tblPr>
      <w:tblGrid>
        <w:gridCol w:w="3312"/>
        <w:gridCol w:w="3312"/>
        <w:gridCol w:w="3312"/>
      </w:tblGrid>
      <w:tr>
        <w:tc>
          <w:tcPr>
            <w:tcW w:w="3312" w:type="dxa"/>
            <w:shd w:val="clear" w:fill="16203B"/>
          </w:tcPr>
          <w:p>
            <w:pPr>
              <w:spacing w:before="0" w:after="50" w:line="240" w:lineRule="auto"/>
            </w:pPr>
            <w:r>
              <w:rPr>
                <w:rFonts w:ascii="Calibri" w:hAnsi="Calibri"/>
                <w:b/>
                <w:color w:val="EE7623"/>
                <w:sz w:val="22"/>
              </w:rPr>
              <w:t xml:space="preserve">Stop guessing where to spend</w:t>
            </w:r>
          </w:p>
          <w:p>
            <w:pPr>
              <w:spacing w:before="0" w:after="0" w:line="250" w:lineRule="auto"/>
            </w:pPr>
            <w:r>
              <w:rPr>
                <w:rFonts w:ascii="Calibri" w:hAnsi="Calibri"/>
                <w:color w:val="C3CCDE"/>
                <w:sz w:val="19"/>
              </w:rPr>
              <w:t xml:space="preserve">See the actual exposure on your specific equipment, not an industry benchmark.</w:t>
            </w:r>
          </w:p>
        </w:tc>
        <w:tc>
          <w:tcPr>
            <w:tcW w:w="3312" w:type="dxa"/>
            <w:shd w:val="clear" w:fill="16203B"/>
          </w:tcPr>
          <w:p>
            <w:pPr>
              <w:spacing w:before="0" w:after="50" w:line="240" w:lineRule="auto"/>
            </w:pPr>
            <w:r>
              <w:rPr>
                <w:rFonts w:ascii="Calibri" w:hAnsi="Calibri"/>
                <w:b/>
                <w:color w:val="EE7623"/>
                <w:sz w:val="22"/>
              </w:rPr>
              <w:t xml:space="preserve">Speak one language across teams</w:t>
            </w:r>
          </w:p>
          <w:p>
            <w:pPr>
              <w:spacing w:before="0" w:after="0" w:line="250" w:lineRule="auto"/>
            </w:pPr>
            <w:r>
              <w:rPr>
                <w:rFonts w:ascii="Calibri" w:hAnsi="Calibri"/>
                <w:color w:val="C3CCDE"/>
                <w:sz w:val="19"/>
              </w:rPr>
              <w:t xml:space="preserve">Safety, engineering, IT and finance ask the same model different questions and get consistent answers.</w:t>
            </w:r>
          </w:p>
        </w:tc>
        <w:tc>
          <w:tcPr>
            <w:tcW w:w="3312" w:type="dxa"/>
            <w:shd w:val="clear" w:fill="16203B"/>
          </w:tcPr>
          <w:p>
            <w:pPr>
              <w:spacing w:before="0" w:after="50" w:line="240" w:lineRule="auto"/>
            </w:pPr>
            <w:r>
              <w:rPr>
                <w:rFonts w:ascii="Calibri" w:hAnsi="Calibri"/>
                <w:b/>
                <w:color w:val="EE7623"/>
                <w:sz w:val="22"/>
              </w:rPr>
              <w:t xml:space="preserve">Compliance as a byproduct</w:t>
            </w:r>
          </w:p>
          <w:p>
            <w:pPr>
              <w:spacing w:before="0" w:after="0" w:line="250" w:lineRule="auto"/>
            </w:pPr>
            <w:r>
              <w:rPr>
                <w:rFonts w:ascii="Calibri" w:hAnsi="Calibri"/>
                <w:color w:val="C3CCDE"/>
                <w:sz w:val="19"/>
              </w:rPr>
              <w:t xml:space="preserve">Your IEC 62443 zones and target security levels update as your facility does — not once a year in a spreadsheet.</w:t>
            </w:r>
          </w:p>
        </w:tc>
      </w:tr>
    </w:tbl>
    <w:p>
      <w:pPr>
        <w:spacing w:after="120" w:line="120" w:lineRule="auto"/>
      </w:pPr>
    </w:p>
    <w:p>
      <w:pPr>
        <w:spacing w:before="60" w:after="60"/>
        <w:jc w:val="center"/>
      </w:pPr>
      <w:r>
        <w:drawing>
          <wp:inline distT="0" distB="0" distL="0" distR="0">
            <wp:extent cx="4068064" cy="2377440"/>
            <wp:docPr id="1" name="Picture 1"/>
            <a:graphic xmlns:a="http://schemas.openxmlformats.org/drawingml/2006/main">
              <a:graphicData uri="http://schemas.openxmlformats.org/drawingml/2006/picture">
                <pic:pic xmlns:pic="http://schemas.openxmlformats.org/drawingml/2006/picture">
                  <pic:nvPicPr>
                    <pic:cNvPr id="1" name="img1.png"/>
                    <pic:cNvPicPr/>
                  </pic:nvPicPr>
                  <pic:blipFill>
                    <a:blip r:embed="rIdImg1"/>
                    <a:stretch>
                      <a:fillRect/>
                    </a:stretch>
                  </pic:blipFill>
                  <pic:spPr>
                    <a:xfrm>
                      <a:off x="0" y="0"/>
                      <a:ext cx="4068064" cy="2377440"/>
                    </a:xfrm>
                    <a:prstGeom prst="rect">
                      <a:avLst/>
                    </a:prstGeom>
                  </pic:spPr>
                </pic:pic>
              </a:graphicData>
            </a:graphic>
          </wp:inline>
        </w:drawing>
      </w:r>
    </w:p>
    <w:p>
      <w:pPr>
        <w:spacing w:before="0" w:after="140" w:line="260" w:lineRule="auto"/>
      </w:pPr>
      <w:r>
        <w:rPr>
          <w:rFonts w:ascii="Calibri" w:hAnsi="Calibri"/>
          <w:i/>
          <w:color w:val="7A879E"/>
          <w:sz w:val="17"/>
        </w:rPr>
        <w:t xml:space="preserve">Worked example throughout: a hyperscale AI data centre — 96 racks, 7 engineered systems, 4,000+ named components.</w:t>
      </w:r>
    </w:p>
    <w:p>
      <w:r>
        <w:br w:type="page"/>
      </w:r>
    </w:p>
    <w:p>
      <w:pPr>
        <w:keepNext/>
        <w:spacing w:before="0" w:after="60" w:line="260" w:lineRule="auto"/>
      </w:pPr>
      <w:r>
        <w:rPr>
          <w:rFonts w:ascii="Calibri" w:hAnsi="Calibri"/>
          <w:b/>
          <w:color w:val="EE7623"/>
          <w:sz w:val="17"/>
          <w:spacing w:val="24"/>
        </w:rPr>
        <w:t xml:space="preserve">THE PROBLEM</w:t>
      </w:r>
    </w:p>
    <w:p>
      <w:pPr>
        <w:pBdr>
          <w:bottom w:val="single" w:sz="12" w:space="1" w:color="16203B"/>
        </w:pBdr>
        <w:spacing w:after="160"/>
      </w:pPr>
    </w:p>
    <w:p>
      <w:pPr>
        <w:keepNext/>
        <w:spacing w:before="0" w:after="120" w:line="240" w:lineRule="auto"/>
      </w:pPr>
      <w:r>
        <w:rPr>
          <w:rFonts w:ascii="Georgia" w:hAnsi="Georgia"/>
          <w:b/>
          <w:color w:val="16203B"/>
          <w:sz w:val="48"/>
        </w:rPr>
        <w:t xml:space="preserve">Security tools that don't know what a valve does.</w:t>
      </w:r>
    </w:p>
    <w:p>
      <w:pPr>
        <w:spacing w:before="0" w:after="140" w:line="270" w:lineRule="auto"/>
      </w:pPr>
      <w:r>
        <w:rPr>
          <w:rFonts w:ascii="Calibri" w:hAnsi="Calibri"/>
          <w:color w:val="3D4759"/>
          <w:sz w:val="21"/>
        </w:rPr>
        <w:t xml:space="preserve">OT and industrial security inherited its playbook from IT — firewalls, patch cadence, network monitoring. None of it was built to understand that patching this system might disable a safety interlock, or that this “low-severity” vulnerability sits on the one asset that would shut down your whole facility if it failed.</w:t>
      </w:r>
    </w:p>
    <w:tbl>
      <w:tblPr>
        <w:tblW w:w="9936" w:type="dxa"/>
        <w:tblLayout w:type="fixed"/>
        <w:tblCellMar>
          <w:top w:w="120" w:type="dxa"/>
          <w:bottom w:w="120" w:type="dxa"/>
          <w:left w:w="150" w:type="dxa"/>
          <w:right w:w="150" w:type="dxa"/>
        </w:tblCellMar>
      </w:tblPr>
      <w:tblGrid>
        <w:gridCol w:w="4968"/>
        <w:gridCol w:w="4968"/>
      </w:tblGrid>
      <w:tr>
        <w:tc>
          <w:tcPr>
            <w:tcW w:w="4968" w:type="dxa"/>
            <w:shd w:val="clear" w:fill="F2F0EA"/>
          </w:tcPr>
          <w:p>
            <w:pPr>
              <w:spacing w:before="0" w:after="50" w:line="240" w:lineRule="auto"/>
            </w:pPr>
            <w:r>
              <w:rPr>
                <w:rFonts w:ascii="Calibri" w:hAnsi="Calibri"/>
                <w:b/>
                <w:color w:val="7A6A55"/>
                <w:sz w:val="17"/>
              </w:rPr>
              <w:t xml:space="preserve">THE GAP</w:t>
            </w:r>
          </w:p>
          <w:p>
            <w:pPr>
              <w:spacing w:before="0" w:after="0" w:line="250" w:lineRule="auto"/>
            </w:pPr>
            <w:r>
              <w:rPr>
                <w:rFonts w:ascii="Calibri" w:hAnsi="Calibri"/>
                <w:color w:val="3D4759"/>
                <w:sz w:val="19"/>
              </w:rPr>
              <w:t xml:space="preserve">A vulnerability scanner can tell you a device is running old firmware. It can’t tell you that device also happens to control cooling for your most critical row of equipment — or that a failure there cascades into three other systems before anyone notices.</w:t>
            </w:r>
          </w:p>
        </w:tc>
        <w:tc>
          <w:tcPr>
            <w:tcW w:w="4968" w:type="dxa"/>
            <w:shd w:val="clear" w:fill="EFF3FA"/>
          </w:tcPr>
          <w:p>
            <w:pPr>
              <w:spacing w:before="0" w:after="50" w:line="240" w:lineRule="auto"/>
            </w:pPr>
            <w:r>
              <w:rPr>
                <w:rFonts w:ascii="Calibri" w:hAnsi="Calibri"/>
                <w:b/>
                <w:color w:val="16203B"/>
                <w:sz w:val="17"/>
              </w:rPr>
              <w:t xml:space="preserve">WHERE REAL RISK HIDES</w:t>
            </w:r>
          </w:p>
          <w:p>
            <w:pPr>
              <w:spacing w:before="0" w:after="0" w:line="250" w:lineRule="auto"/>
            </w:pPr>
            <w:r>
              <w:rPr>
                <w:rFonts w:ascii="Calibri" w:hAnsi="Calibri"/>
                <w:color w:val="3D4759"/>
                <w:sz w:val="19"/>
              </w:rPr>
              <w:t xml:space="preserve">That gap — between what a security tool sees and what actually happens on your plant floor — is where real risk hides. Not because anyone missed something. Because the tool was never built to see it in the first place.</w:t>
            </w:r>
          </w:p>
        </w:tc>
      </w:tr>
    </w:tbl>
    <w:p>
      <w:pPr>
        <w:spacing w:after="120" w:line="120" w:lineRule="auto"/>
      </w:pPr>
    </w:p>
    <w:tbl>
      <w:tblPr>
        <w:tblW w:w="9936" w:type="dxa"/>
        <w:tblLayout w:type="fixed"/>
        <w:tblCellMar>
          <w:top w:w="120" w:type="dxa"/>
          <w:bottom w:w="120" w:type="dxa"/>
          <w:left w:w="150" w:type="dxa"/>
          <w:right w:w="150" w:type="dxa"/>
        </w:tblCellMar>
      </w:tblPr>
      <w:tblGrid>
        <w:gridCol w:w="9936"/>
      </w:tblGrid>
      <w:tr>
        <w:tc>
          <w:tcPr>
            <w:tcW w:w="9936" w:type="dxa"/>
            <w:shd w:val="clear" w:fill="16203B"/>
          </w:tcPr>
          <w:p>
            <w:pPr>
              <w:spacing w:before="0" w:after="60" w:line="240" w:lineRule="auto"/>
            </w:pPr>
            <w:r>
              <w:rPr>
                <w:rFonts w:ascii="Calibri" w:hAnsi="Calibri"/>
                <w:b/>
                <w:color w:val="EE7623"/>
                <w:sz w:val="17"/>
                <w:spacing w:val="20"/>
              </w:rPr>
              <w:t xml:space="preserve">WHAT THIS COSTS TEAMS, CONCRETELY</w:t>
            </w:r>
          </w:p>
          <w:p>
            <w:pPr>
              <w:spacing w:before="0" w:after="0" w:line="260" w:lineRule="auto"/>
            </w:pPr>
            <w:r>
              <w:rPr>
                <w:rFonts w:ascii="Calibri" w:hAnsi="Calibri"/>
                <w:color w:val="C3CCDE"/>
                <w:sz w:val="20"/>
              </w:rPr>
              <w:t xml:space="preserve">Without a model of physical consequence, every security decision becomes a negotiation nobody can win cleanly: patch now and risk the maintenance window, or wait and carry the exposure. Isolate the system, or keep the safety logic intact. These decisions get made — but usually on judgment and urgency, not on an actual number for what’s really at stake.</w:t>
            </w:r>
          </w:p>
        </w:tc>
      </w:tr>
    </w:tbl>
    <w:p>
      <w:pPr>
        <w:spacing w:after="120" w:line="120" w:lineRule="auto"/>
      </w:pPr>
    </w:p>
    <w:p>
      <w:pPr>
        <w:keepNext/>
        <w:spacing w:before="0" w:after="60" w:line="260" w:lineRule="auto"/>
      </w:pPr>
      <w:r>
        <w:rPr>
          <w:rFonts w:ascii="Calibri" w:hAnsi="Calibri"/>
          <w:b/>
          <w:color w:val="EE7623"/>
          <w:sz w:val="17"/>
          <w:spacing w:val="24"/>
        </w:rPr>
        <w:t xml:space="preserve">WHAT CLOSES THE GAP</w:t>
      </w:r>
    </w:p>
    <w:p>
      <w:pPr>
        <w:keepNext/>
        <w:spacing w:before="0" w:after="100" w:line="240" w:lineRule="auto"/>
      </w:pPr>
      <w:r>
        <w:rPr>
          <w:rFonts w:ascii="Georgia" w:hAnsi="Georgia"/>
          <w:b/>
          <w:color w:val="16203B"/>
          <w:sz w:val="26"/>
        </w:rPr>
        <w:t xml:space="preserve">Turn the negotiation into a calculation.</w:t>
      </w:r>
    </w:p>
    <w:p>
      <w:pPr>
        <w:spacing w:before="0" w:after="140" w:line="270" w:lineRule="auto"/>
      </w:pPr>
      <w:r>
        <w:rPr>
          <w:rFonts w:ascii="Calibri" w:hAnsi="Calibri"/>
          <w:color w:val="3D4759"/>
          <w:sz w:val="21"/>
        </w:rPr>
        <w:t xml:space="preserve">A model that understands both sides — the cyber exposure and the physical engineering behind it — changes the question. Not “patch or don’t.”</w:t>
      </w:r>
    </w:p>
    <w:tbl>
      <w:tblPr>
        <w:tblW w:w="9936" w:type="dxa"/>
        <w:tblLayout w:type="fixed"/>
        <w:tblCellMar>
          <w:top w:w="120" w:type="dxa"/>
          <w:bottom w:w="120" w:type="dxa"/>
          <w:left w:w="150" w:type="dxa"/>
          <w:right w:w="150" w:type="dxa"/>
        </w:tblCellMar>
      </w:tblPr>
      <w:tblGrid>
        <w:gridCol w:w="4968"/>
        <w:gridCol w:w="4968"/>
      </w:tblGrid>
      <w:tr>
        <w:tc>
          <w:tcPr>
            <w:tcW w:w="4968" w:type="dxa"/>
            <w:shd w:val="clear" w:fill="FDEEDC"/>
          </w:tcPr>
          <w:p>
            <w:pPr>
              <w:spacing w:before="0" w:after="50" w:line="240" w:lineRule="auto"/>
            </w:pPr>
            <w:r>
              <w:rPr>
                <w:rFonts w:ascii="Calibri" w:hAnsi="Calibri"/>
                <w:b/>
                <w:color w:val="16203B"/>
                <w:sz w:val="24"/>
              </w:rPr>
              <w:t xml:space="preserve">Here’s what patching costs you.</w:t>
            </w:r>
          </w:p>
          <w:p>
            <w:pPr>
              <w:spacing w:before="0" w:after="0" w:line="250" w:lineRule="auto"/>
            </w:pPr>
            <w:r>
              <w:rPr>
                <w:rFonts w:ascii="Calibri" w:hAnsi="Calibri"/>
                <w:color w:val="5A4630"/>
                <w:sz w:val="19"/>
              </w:rPr>
              <w:t xml:space="preserve">Maintenance window, load transfer, redundancy lost while the work is live.</w:t>
            </w:r>
          </w:p>
        </w:tc>
        <w:tc>
          <w:tcPr>
            <w:tcW w:w="4968" w:type="dxa"/>
            <w:shd w:val="clear" w:fill="FDEEDC"/>
          </w:tcPr>
          <w:p>
            <w:pPr>
              <w:spacing w:before="0" w:after="50" w:line="240" w:lineRule="auto"/>
            </w:pPr>
            <w:r>
              <w:rPr>
                <w:rFonts w:ascii="Calibri" w:hAnsi="Calibri"/>
                <w:b/>
                <w:color w:val="16203B"/>
                <w:sz w:val="24"/>
              </w:rPr>
              <w:t xml:space="preserve">Here’s what waiting costs you.</w:t>
            </w:r>
          </w:p>
          <w:p>
            <w:pPr>
              <w:spacing w:before="0" w:after="0" w:line="250" w:lineRule="auto"/>
            </w:pPr>
            <w:r>
              <w:rPr>
                <w:rFonts w:ascii="Calibri" w:hAnsi="Calibri"/>
                <w:color w:val="5A4630"/>
                <w:sz w:val="19"/>
              </w:rPr>
              <w:t xml:space="preserve">Carried exposure, priced — with the actual number for each side of the decision.</w:t>
            </w:r>
          </w:p>
        </w:tc>
      </w:tr>
    </w:tbl>
    <w:p>
      <w:pPr>
        <w:spacing w:after="120" w:line="120" w:lineRule="auto"/>
      </w:pPr>
    </w:p>
    <w:p>
      <w:pPr>
        <w:spacing w:before="60" w:after="60"/>
        <w:jc w:val="center"/>
      </w:pPr>
      <w:r>
        <w:drawing>
          <wp:inline distT="0" distB="0" distL="0" distR="0">
            <wp:extent cx="3911600" cy="2286000"/>
            <wp:docPr id="2" name="Picture 2"/>
            <a:graphic xmlns:a="http://schemas.openxmlformats.org/drawingml/2006/main">
              <a:graphicData uri="http://schemas.openxmlformats.org/drawingml/2006/picture">
                <pic:pic xmlns:pic="http://schemas.openxmlformats.org/drawingml/2006/picture">
                  <pic:nvPicPr>
                    <pic:cNvPr id="2" name="img2.png"/>
                    <pic:cNvPicPr/>
                  </pic:nvPicPr>
                  <pic:blipFill>
                    <a:blip r:embed="rIdImg2"/>
                    <a:stretch>
                      <a:fillRect/>
                    </a:stretch>
                  </pic:blipFill>
                  <pic:spPr>
                    <a:xfrm>
                      <a:off x="0" y="0"/>
                      <a:ext cx="3911600" cy="2286000"/>
                    </a:xfrm>
                    <a:prstGeom prst="rect">
                      <a:avLst/>
                    </a:prstGeom>
                  </pic:spPr>
                </pic:pic>
              </a:graphicData>
            </a:graphic>
          </wp:inline>
        </w:drawing>
      </w:r>
    </w:p>
    <w:p>
      <w:r>
        <w:br w:type="page"/>
      </w:r>
    </w:p>
    <w:p>
      <w:pPr>
        <w:keepNext/>
        <w:spacing w:before="0" w:after="60" w:line="260" w:lineRule="auto"/>
      </w:pPr>
      <w:r>
        <w:rPr>
          <w:rFonts w:ascii="Calibri" w:hAnsi="Calibri"/>
          <w:b/>
          <w:color w:val="EE7623"/>
          <w:sz w:val="17"/>
          <w:spacing w:val="24"/>
        </w:rPr>
        <w:t xml:space="preserve">THE MODEL · GEOMETRY AND TOPOLOGY</w:t>
      </w:r>
    </w:p>
    <w:p>
      <w:pPr>
        <w:pBdr>
          <w:bottom w:val="single" w:sz="12" w:space="1" w:color="16203B"/>
        </w:pBdr>
        <w:spacing w:after="160"/>
      </w:pPr>
    </w:p>
    <w:p>
      <w:pPr>
        <w:keepNext/>
        <w:spacing w:before="0" w:after="120" w:line="240" w:lineRule="auto"/>
      </w:pPr>
      <w:r>
        <w:rPr>
          <w:rFonts w:ascii="Georgia" w:hAnsi="Georgia"/>
          <w:b/>
          <w:color w:val="16203B"/>
          <w:sz w:val="48"/>
        </w:rPr>
        <w:t xml:space="preserve">Selectable to the single tray. Traversable end to end.</w:t>
      </w:r>
    </w:p>
    <w:p>
      <w:pPr>
        <w:spacing w:before="0" w:after="140" w:line="270" w:lineRule="auto"/>
      </w:pPr>
      <w:r>
        <w:rPr>
          <w:rFonts w:ascii="Calibri" w:hAnsi="Calibri"/>
          <w:color w:val="3D4759"/>
          <w:sz w:val="21"/>
        </w:rPr>
        <w:t xml:space="preserve">Click any object and the twin returns its identity, not a highlight. One 48U liquid-cooled rack resolves to compute trays, switch trays, power shelves, storage, blind-mate coolant couplings and the DC busbar behind them — and every run between them is drawn as an actual routed path between actual endpoints, so dependency is a traversal rather than an assumption.</w:t>
      </w:r>
    </w:p>
    <w:p>
      <w:pPr>
        <w:spacing w:before="60" w:after="60"/>
        <w:jc w:val="center"/>
      </w:pPr>
      <w:r>
        <w:drawing>
          <wp:inline distT="0" distB="0" distL="0" distR="0">
            <wp:extent cx="4537456" cy="2651760"/>
            <wp:docPr id="3" name="Picture 3"/>
            <a:graphic xmlns:a="http://schemas.openxmlformats.org/drawingml/2006/main">
              <a:graphicData uri="http://schemas.openxmlformats.org/drawingml/2006/picture">
                <pic:pic xmlns:pic="http://schemas.openxmlformats.org/drawingml/2006/picture">
                  <pic:nvPicPr>
                    <pic:cNvPr id="3" name="img3.png"/>
                    <pic:cNvPicPr/>
                  </pic:nvPicPr>
                  <pic:blipFill>
                    <a:blip r:embed="rIdImg3"/>
                    <a:stretch>
                      <a:fillRect/>
                    </a:stretch>
                  </pic:blipFill>
                  <pic:spPr>
                    <a:xfrm>
                      <a:off x="0" y="0"/>
                      <a:ext cx="4537456" cy="2651760"/>
                    </a:xfrm>
                    <a:prstGeom prst="rect">
                      <a:avLst/>
                    </a:prstGeom>
                  </pic:spPr>
                </pic:pic>
              </a:graphicData>
            </a:graphic>
          </wp:inline>
        </w:drawing>
      </w:r>
    </w:p>
    <w:p>
      <w:pPr>
        <w:spacing w:before="60" w:after="60"/>
        <w:jc w:val="center"/>
      </w:pPr>
      <w:r>
        <w:drawing>
          <wp:inline distT="0" distB="0" distL="0" distR="0">
            <wp:extent cx="3442208" cy="2011680"/>
            <wp:docPr id="4" name="Picture 4"/>
            <a:graphic xmlns:a="http://schemas.openxmlformats.org/drawingml/2006/main">
              <a:graphicData uri="http://schemas.openxmlformats.org/drawingml/2006/picture">
                <pic:pic xmlns:pic="http://schemas.openxmlformats.org/drawingml/2006/picture">
                  <pic:nvPicPr>
                    <pic:cNvPr id="4" name="img4.png"/>
                    <pic:cNvPicPr/>
                  </pic:nvPicPr>
                  <pic:blipFill>
                    <a:blip r:embed="rIdImg4"/>
                    <a:stretch>
                      <a:fillRect/>
                    </a:stretch>
                  </pic:blipFill>
                  <pic:spPr>
                    <a:xfrm>
                      <a:off x="0" y="0"/>
                      <a:ext cx="3442208" cy="2011680"/>
                    </a:xfrm>
                    <a:prstGeom prst="rect">
                      <a:avLst/>
                    </a:prstGeom>
                  </pic:spPr>
                </pic:pic>
              </a:graphicData>
            </a:graphic>
          </wp:inline>
        </w:drawing>
      </w:r>
    </w:p>
    <w:p>
      <w:pPr>
        <w:keepNext/>
        <w:spacing w:before="0" w:after="60" w:line="260" w:lineRule="auto"/>
      </w:pPr>
      <w:r>
        <w:rPr>
          <w:rFonts w:ascii="Calibri" w:hAnsi="Calibri"/>
          <w:b/>
          <w:color w:val="EE7623"/>
          <w:sz w:val="17"/>
          <w:spacing w:val="24"/>
        </w:rPr>
        <w:t xml:space="preserve">P&amp;ID DISCIPLINE, IN THREE DIMENSIONS</w:t>
      </w:r>
    </w:p>
    <w:tbl>
      <w:tblPr>
        <w:tblW w:w="9936" w:type="dxa"/>
        <w:tblLayout w:type="fixed"/>
        <w:tblCellMar>
          <w:top w:w="120" w:type="dxa"/>
          <w:bottom w:w="120" w:type="dxa"/>
          <w:left w:w="150" w:type="dxa"/>
          <w:right w:w="150" w:type="dxa"/>
        </w:tblCellMar>
      </w:tblPr>
      <w:tblGrid>
        <w:gridCol w:w="2400"/>
        <w:gridCol w:w="7536"/>
      </w:tblGrid>
      <w:tr>
        <w:tc>
          <w:tcPr>
            <w:tcW w:w="2400" w:type="dxa"/>
          </w:tcPr>
          <w:p>
            <w:pPr>
              <w:spacing w:before="0" w:after="0" w:line="250" w:lineRule="auto"/>
            </w:pPr>
            <w:r>
              <w:rPr>
                <w:rFonts w:ascii="Calibri" w:hAnsi="Calibri"/>
                <w:b/>
                <w:color w:val="16203B"/>
                <w:sz w:val="21"/>
              </w:rPr>
              <w:t xml:space="preserve">Coolant supply</w:t>
            </w:r>
          </w:p>
        </w:tc>
        <w:tc>
          <w:tcPr>
            <w:tcW w:w="7536" w:type="dxa"/>
          </w:tcPr>
          <w:p>
            <w:pPr>
              <w:spacing w:before="0" w:after="0" w:line="250" w:lineRule="auto"/>
            </w:pPr>
            <w:r>
              <w:rPr>
                <w:rFonts w:ascii="Calibri" w:hAnsi="Calibri"/>
                <w:color w:val="3D4759"/>
                <w:sz w:val="19"/>
              </w:rPr>
              <w:t xml:space="preserve">Plant → CDU → rack manifold</w:t>
            </w:r>
          </w:p>
        </w:tc>
      </w:tr>
      <w:tr>
        <w:tc>
          <w:tcPr>
            <w:tcW w:w="2400" w:type="dxa"/>
          </w:tcPr>
          <w:p>
            <w:pPr>
              <w:spacing w:before="0" w:after="0" w:line="250" w:lineRule="auto"/>
            </w:pPr>
            <w:r>
              <w:rPr>
                <w:rFonts w:ascii="Calibri" w:hAnsi="Calibri"/>
                <w:b/>
                <w:color w:val="16203B"/>
                <w:sz w:val="21"/>
              </w:rPr>
              <w:t xml:space="preserve">Coolant return</w:t>
            </w:r>
          </w:p>
        </w:tc>
        <w:tc>
          <w:tcPr>
            <w:tcW w:w="7536" w:type="dxa"/>
          </w:tcPr>
          <w:p>
            <w:pPr>
              <w:spacing w:before="0" w:after="0" w:line="250" w:lineRule="auto"/>
            </w:pPr>
            <w:r>
              <w:rPr>
                <w:rFonts w:ascii="Calibri" w:hAnsi="Calibri"/>
                <w:color w:val="3D4759"/>
                <w:sz w:val="19"/>
              </w:rPr>
              <w:t xml:space="preserve">Closed secondary loop per row</w:t>
            </w:r>
          </w:p>
        </w:tc>
      </w:tr>
      <w:tr>
        <w:tc>
          <w:tcPr>
            <w:tcW w:w="2400" w:type="dxa"/>
          </w:tcPr>
          <w:p>
            <w:pPr>
              <w:spacing w:before="0" w:after="0" w:line="250" w:lineRule="auto"/>
            </w:pPr>
            <w:r>
              <w:rPr>
                <w:rFonts w:ascii="Calibri" w:hAnsi="Calibri"/>
                <w:b/>
                <w:color w:val="16203B"/>
                <w:sz w:val="21"/>
              </w:rPr>
              <w:t xml:space="preserve">Condenser loop</w:t>
            </w:r>
          </w:p>
        </w:tc>
        <w:tc>
          <w:tcPr>
            <w:tcW w:w="7536" w:type="dxa"/>
          </w:tcPr>
          <w:p>
            <w:pPr>
              <w:spacing w:before="0" w:after="0" w:line="250" w:lineRule="auto"/>
            </w:pPr>
            <w:r>
              <w:rPr>
                <w:rFonts w:ascii="Calibri" w:hAnsi="Calibri"/>
                <w:color w:val="3D4759"/>
                <w:sz w:val="19"/>
              </w:rPr>
              <w:t xml:space="preserve">Chiller ↔ cooling tower</w:t>
            </w:r>
          </w:p>
        </w:tc>
      </w:tr>
      <w:tr>
        <w:tc>
          <w:tcPr>
            <w:tcW w:w="2400" w:type="dxa"/>
          </w:tcPr>
          <w:p>
            <w:pPr>
              <w:spacing w:before="0" w:after="0" w:line="250" w:lineRule="auto"/>
            </w:pPr>
            <w:r>
              <w:rPr>
                <w:rFonts w:ascii="Calibri" w:hAnsi="Calibri"/>
                <w:b/>
                <w:color w:val="16203B"/>
                <w:sz w:val="21"/>
              </w:rPr>
              <w:t xml:space="preserve">Busway &amp; tap-offs</w:t>
            </w:r>
          </w:p>
        </w:tc>
        <w:tc>
          <w:tcPr>
            <w:tcW w:w="7536" w:type="dxa"/>
          </w:tcPr>
          <w:p>
            <w:pPr>
              <w:spacing w:before="0" w:after="0" w:line="250" w:lineRule="auto"/>
            </w:pPr>
            <w:r>
              <w:rPr>
                <w:rFonts w:ascii="Calibri" w:hAnsi="Calibri"/>
                <w:color w:val="3D4759"/>
                <w:sz w:val="19"/>
              </w:rPr>
              <w:t xml:space="preserve">RPP → row → rack</w:t>
            </w:r>
          </w:p>
        </w:tc>
      </w:tr>
      <w:tr>
        <w:tc>
          <w:tcPr>
            <w:tcW w:w="2400" w:type="dxa"/>
          </w:tcPr>
          <w:p>
            <w:pPr>
              <w:spacing w:before="0" w:after="0" w:line="250" w:lineRule="auto"/>
            </w:pPr>
            <w:r>
              <w:rPr>
                <w:rFonts w:ascii="Calibri" w:hAnsi="Calibri"/>
                <w:b/>
                <w:color w:val="16203B"/>
                <w:sz w:val="21"/>
              </w:rPr>
              <w:t xml:space="preserve">IT fabric</w:t>
            </w:r>
          </w:p>
        </w:tc>
        <w:tc>
          <w:tcPr>
            <w:tcW w:w="7536" w:type="dxa"/>
          </w:tcPr>
          <w:p>
            <w:pPr>
              <w:spacing w:before="0" w:after="0" w:line="250" w:lineRule="auto"/>
            </w:pPr>
            <w:r>
              <w:rPr>
                <w:rFonts w:ascii="Calibri" w:hAnsi="Calibri"/>
                <w:color w:val="3D4759"/>
                <w:sz w:val="19"/>
              </w:rPr>
              <w:t xml:space="preserve">Carrier → core → spine → ToR</w:t>
            </w:r>
          </w:p>
        </w:tc>
      </w:tr>
      <w:tr>
        <w:tc>
          <w:tcPr>
            <w:tcW w:w="2400" w:type="dxa"/>
          </w:tcPr>
          <w:p>
            <w:pPr>
              <w:spacing w:before="0" w:after="0" w:line="250" w:lineRule="auto"/>
            </w:pPr>
            <w:r>
              <w:rPr>
                <w:rFonts w:ascii="Calibri" w:hAnsi="Calibri"/>
                <w:b/>
                <w:color w:val="16203B"/>
                <w:sz w:val="21"/>
              </w:rPr>
              <w:t xml:space="preserve">OT signal path</w:t>
            </w:r>
          </w:p>
        </w:tc>
        <w:tc>
          <w:tcPr>
            <w:tcW w:w="7536" w:type="dxa"/>
          </w:tcPr>
          <w:p>
            <w:pPr>
              <w:spacing w:before="0" w:after="0" w:line="250" w:lineRule="auto"/>
            </w:pPr>
            <w:r>
              <w:rPr>
                <w:rFonts w:ascii="Calibri" w:hAnsi="Calibri"/>
                <w:color w:val="3D4759"/>
                <w:sz w:val="19"/>
              </w:rPr>
              <w:t xml:space="preserve">Field controllers → OT switch → diode</w:t>
            </w:r>
          </w:p>
        </w:tc>
      </w:tr>
    </w:tbl>
    <w:p>
      <w:pPr>
        <w:spacing w:after="120" w:line="120" w:lineRule="auto"/>
      </w:pPr>
    </w:p>
    <w:tbl>
      <w:tblPr>
        <w:tblW w:w="9936" w:type="dxa"/>
        <w:tblLayout w:type="fixed"/>
        <w:tblCellMar>
          <w:top w:w="120" w:type="dxa"/>
          <w:bottom w:w="120" w:type="dxa"/>
          <w:left w:w="150" w:type="dxa"/>
          <w:right w:w="150" w:type="dxa"/>
        </w:tblCellMar>
      </w:tblPr>
      <w:tblGrid>
        <w:gridCol w:w="4968"/>
        <w:gridCol w:w="4968"/>
      </w:tblGrid>
      <w:tr>
        <w:tc>
          <w:tcPr>
            <w:tcW w:w="4968" w:type="dxa"/>
            <w:shd w:val="clear" w:fill="EFF3FA"/>
            <w:tcBorders>
              <w:top w:val="single" w:sz="6" w:space="0" w:color="DCE4F2"/>
              <w:left w:val="single" w:sz="6" w:space="0" w:color="DCE4F2"/>
              <w:bottom w:val="single" w:sz="6" w:space="0" w:color="DCE4F2"/>
              <w:right w:val="single" w:sz="6" w:space="0" w:color="DCE4F2"/>
            </w:tcBorders>
          </w:tcPr>
          <w:p>
            <w:pPr>
              <w:spacing w:before="0" w:after="50" w:line="240" w:lineRule="auto"/>
            </w:pPr>
            <w:r>
              <w:rPr>
                <w:rFonts w:ascii="Calibri" w:hAnsi="Calibri"/>
                <w:b/>
                <w:color w:val="16203B"/>
                <w:sz w:val="22"/>
              </w:rPr>
              <w:t xml:space="preserve">Power — substation to rack busbar</w:t>
            </w:r>
          </w:p>
          <w:p>
            <w:pPr>
              <w:spacing w:before="0" w:after="0" w:line="250" w:lineRule="auto"/>
            </w:pPr>
            <w:r>
              <w:rPr>
                <w:rFonts w:ascii="Calibri" w:hAnsi="Calibri"/>
                <w:color w:val="3D4759"/>
                <w:sz w:val="19"/>
              </w:rPr>
              <w:t xml:space="preserve">GIS and MV switchgear, protection relays, transformers, ATS and STS, UPS and battery strings, generators with day tanks and bulk fuel, BESS, RPPs, busway tap-offs — one unbroken chain, with the EPMS metering that watches it.</w:t>
            </w:r>
          </w:p>
        </w:tc>
        <w:tc>
          <w:tcPr>
            <w:tcW w:w="4968" w:type="dxa"/>
            <w:shd w:val="clear" w:fill="EFF3FA"/>
            <w:tcBorders>
              <w:top w:val="single" w:sz="6" w:space="0" w:color="DCE4F2"/>
              <w:left w:val="single" w:sz="6" w:space="0" w:color="DCE4F2"/>
              <w:bottom w:val="single" w:sz="6" w:space="0" w:color="DCE4F2"/>
              <w:right w:val="single" w:sz="6" w:space="0" w:color="DCE4F2"/>
            </w:tcBorders>
          </w:tcPr>
          <w:p>
            <w:pPr>
              <w:spacing w:before="0" w:after="50" w:line="240" w:lineRule="auto"/>
            </w:pPr>
            <w:r>
              <w:rPr>
                <w:rFonts w:ascii="Calibri" w:hAnsi="Calibri"/>
                <w:b/>
                <w:color w:val="16203B"/>
                <w:sz w:val="22"/>
              </w:rPr>
              <w:t xml:space="preserve">Thermal — tower to chip</w:t>
            </w:r>
          </w:p>
          <w:p>
            <w:pPr>
              <w:spacing w:before="0" w:after="0" w:line="250" w:lineRule="auto"/>
            </w:pPr>
            <w:r>
              <w:rPr>
                <w:rFonts w:ascii="Calibri" w:hAnsi="Calibri"/>
                <w:color w:val="3D4759"/>
                <w:sz w:val="19"/>
              </w:rPr>
              <w:t xml:space="preserve">Cooling towers and dry-cooler economisers, chiller plant, primary pumps and VFDs, facility-water spines, row CDUs, rack manifolds and every quick-disconnect — with leak detection and control attached.</w:t>
            </w:r>
          </w:p>
        </w:tc>
      </w:tr>
    </w:tbl>
    <w:p>
      <w:pPr>
        <w:spacing w:after="120" w:line="120" w:lineRule="auto"/>
      </w:pPr>
    </w:p>
    <w:tbl>
      <w:tblPr>
        <w:tblW w:w="9936" w:type="dxa"/>
        <w:tblLayout w:type="fixed"/>
        <w:tblCellMar>
          <w:top w:w="120" w:type="dxa"/>
          <w:bottom w:w="120" w:type="dxa"/>
          <w:left w:w="150" w:type="dxa"/>
          <w:right w:w="150" w:type="dxa"/>
        </w:tblCellMar>
      </w:tblPr>
      <w:tblGrid>
        <w:gridCol w:w="9936"/>
      </w:tblGrid>
      <w:tr>
        <w:tc>
          <w:tcPr>
            <w:tcW w:w="9936" w:type="dxa"/>
            <w:shd w:val="clear" w:fill="16203B"/>
          </w:tcPr>
          <w:p>
            <w:pPr>
              <w:spacing w:before="0" w:after="60" w:line="240" w:lineRule="auto"/>
            </w:pPr>
            <w:r>
              <w:rPr>
                <w:rFonts w:ascii="Calibri" w:hAnsi="Calibri"/>
                <w:b/>
                <w:color w:val="EE7623"/>
                <w:sz w:val="17"/>
                <w:spacing w:val="20"/>
              </w:rPr>
              <w:t xml:space="preserve">WHERE IT STOPS BEING AN ENGINEERING MODEL</w:t>
            </w:r>
          </w:p>
          <w:p>
            <w:pPr>
              <w:spacing w:before="0" w:after="0" w:line="260" w:lineRule="auto"/>
            </w:pPr>
            <w:r>
              <w:rPr>
                <w:rFonts w:ascii="Calibri" w:hAnsi="Calibri"/>
                <w:color w:val="C3CCDE"/>
                <w:sz w:val="20"/>
              </w:rPr>
              <w:t xml:space="preserve">The twin carries segmentation as geometry. The IT fabric — carrier entries, ISP routers, perimeter firewalls, core spine, leaf, end-of-row and ToR — and the OT signal path — CDU and chiller PLCs, EPMS, generator controllers, gas sensing and BMS field devices behind a hardened OT switch, OT firewall and one-way data diode — are physically distinct objects. You can see the boundary, and you can see every place something crosses it.</w:t>
            </w:r>
          </w:p>
        </w:tc>
      </w:tr>
    </w:tbl>
    <w:p>
      <w:pPr>
        <w:spacing w:after="120" w:line="120" w:lineRule="auto"/>
      </w:pPr>
    </w:p>
    <w:p>
      <w:r>
        <w:br w:type="page"/>
      </w:r>
    </w:p>
    <w:p>
      <w:pPr>
        <w:keepNext/>
        <w:spacing w:before="0" w:after="60" w:line="260" w:lineRule="auto"/>
      </w:pPr>
      <w:r>
        <w:rPr>
          <w:rFonts w:ascii="Calibri" w:hAnsi="Calibri"/>
          <w:b/>
          <w:color w:val="EE7623"/>
          <w:sz w:val="17"/>
          <w:spacing w:val="24"/>
        </w:rPr>
        <w:t xml:space="preserve">HOW IT THINKS</w:t>
      </w:r>
    </w:p>
    <w:p>
      <w:pPr>
        <w:pBdr>
          <w:bottom w:val="single" w:sz="12" w:space="1" w:color="16203B"/>
        </w:pBdr>
        <w:spacing w:after="160"/>
      </w:pPr>
    </w:p>
    <w:p>
      <w:pPr>
        <w:keepNext/>
        <w:spacing w:before="0" w:after="120" w:line="240" w:lineRule="auto"/>
      </w:pPr>
      <w:r>
        <w:rPr>
          <w:rFonts w:ascii="Georgia" w:hAnsi="Georgia"/>
          <w:b/>
          <w:color w:val="16203B"/>
          <w:sz w:val="48"/>
        </w:rPr>
        <w:t xml:space="preserve">A real number, not a checklist score.</w:t>
      </w:r>
    </w:p>
    <w:p>
      <w:pPr>
        <w:spacing w:before="0" w:after="140" w:line="270" w:lineRule="auto"/>
      </w:pPr>
      <w:r>
        <w:rPr>
          <w:rFonts w:ascii="Calibri" w:hAnsi="Calibri"/>
          <w:color w:val="3D4759"/>
          <w:sz w:val="21"/>
        </w:rPr>
        <w:t xml:space="preserve">Most security and compliance tools give you a score against a generic standard — a percentage, a letter grade, a checklist completion rate. OXOT gives you something a budget conversation can actually use: a defensible number, built from your real equipment and its real failure history — not an industry average.</w:t>
      </w:r>
    </w:p>
    <w:tbl>
      <w:tblPr>
        <w:tblW w:w="9936" w:type="dxa"/>
        <w:tblLayout w:type="fixed"/>
        <w:tblCellMar>
          <w:top w:w="120" w:type="dxa"/>
          <w:bottom w:w="120" w:type="dxa"/>
          <w:left w:w="150" w:type="dxa"/>
          <w:right w:w="150" w:type="dxa"/>
        </w:tblCellMar>
      </w:tblPr>
      <w:tblGrid>
        <w:gridCol w:w="4968"/>
        <w:gridCol w:w="4968"/>
      </w:tblGrid>
      <w:tr>
        <w:tc>
          <w:tcPr>
            <w:tcW w:w="4968" w:type="dxa"/>
            <w:shd w:val="clear" w:fill="EFF3FA"/>
            <w:tcBorders>
              <w:top w:val="single" w:sz="6" w:space="0" w:color="DCE4F2"/>
              <w:left w:val="single" w:sz="6" w:space="0" w:color="DCE4F2"/>
              <w:bottom w:val="single" w:sz="6" w:space="0" w:color="DCE4F2"/>
              <w:right w:val="single" w:sz="6" w:space="0" w:color="DCE4F2"/>
            </w:tcBorders>
          </w:tcPr>
          <w:p>
            <w:pPr>
              <w:spacing w:before="0" w:after="50" w:line="240" w:lineRule="auto"/>
            </w:pPr>
            <w:r>
              <w:rPr>
                <w:rFonts w:ascii="Calibri" w:hAnsi="Calibri"/>
                <w:b/>
                <w:color w:val="EE7623"/>
                <w:sz w:val="17"/>
              </w:rPr>
              <w:t xml:space="preserve">HOW IT'S BUILT</w:t>
            </w:r>
          </w:p>
          <w:p>
            <w:pPr>
              <w:spacing w:before="0" w:after="0" w:line="250" w:lineRule="auto"/>
            </w:pPr>
            <w:r>
              <w:rPr>
                <w:rFonts w:ascii="Calibri" w:hAnsi="Calibri"/>
                <w:color w:val="3D4759"/>
                <w:sz w:val="19"/>
              </w:rPr>
              <w:t xml:space="preserve">Underneath, the twin runs the same kind of engineering analysis reliability and safety engineers already trust — failure mode analysis, reliability figures, hazard assessment — and combines it with live threat intelligence: which vulnerabilities are actively exploited, which ones matter for your specific equipment, and which ones are just noise. The result isn’t a guess dressed up as a score. It’s a calculation: how likely is this, and what would it actually cost.</w:t>
            </w:r>
          </w:p>
        </w:tc>
        <w:tc>
          <w:tcPr>
            <w:tcW w:w="4968" w:type="dxa"/>
            <w:shd w:val="clear" w:fill="16203B"/>
          </w:tcPr>
          <w:p>
            <w:pPr>
              <w:spacing w:before="0" w:after="50" w:line="240" w:lineRule="auto"/>
            </w:pPr>
            <w:r>
              <w:rPr>
                <w:rFonts w:ascii="Calibri" w:hAnsi="Calibri"/>
                <w:b/>
                <w:color w:val="EE7623"/>
                <w:sz w:val="17"/>
              </w:rPr>
              <w:t xml:space="preserve">WHY GENERIC BEST PRACTICE ISN'T ENOUGH</w:t>
            </w:r>
          </w:p>
          <w:p>
            <w:pPr>
              <w:spacing w:before="0" w:after="0" w:line="250" w:lineRule="auto"/>
            </w:pPr>
            <w:r>
              <w:rPr>
                <w:rFonts w:ascii="Calibri" w:hAnsi="Calibri"/>
                <w:color w:val="C3CCDE"/>
                <w:sz w:val="19"/>
              </w:rPr>
              <w:t xml:space="preserve">An industry checklist tells you what most facilities like yours should probably do. It can’t tell you what your facility should do — because it doesn’t know your equipment, your layout, your history. Two facilities can look identical on a compliance checklist and have completely different actual risk. The twin is built from your plant, not a template of one.</w:t>
            </w:r>
          </w:p>
        </w:tc>
      </w:tr>
    </w:tbl>
    <w:p>
      <w:pPr>
        <w:spacing w:after="120" w:line="120" w:lineRule="auto"/>
      </w:pPr>
    </w:p>
    <w:tbl>
      <w:tblPr>
        <w:tblW w:w="9936" w:type="dxa"/>
        <w:tblLayout w:type="fixed"/>
        <w:tblCellMar>
          <w:top w:w="120" w:type="dxa"/>
          <w:bottom w:w="120" w:type="dxa"/>
          <w:left w:w="150" w:type="dxa"/>
          <w:right w:w="150" w:type="dxa"/>
        </w:tblCellMar>
      </w:tblPr>
      <w:tblGrid>
        <w:gridCol w:w="9936"/>
      </w:tblGrid>
      <w:tr>
        <w:tc>
          <w:tcPr>
            <w:tcW w:w="9936" w:type="dxa"/>
            <w:shd w:val="clear" w:fill="F2F0EA"/>
          </w:tcPr>
          <w:p>
            <w:pPr>
              <w:spacing w:before="0" w:after="0" w:line="260" w:lineRule="auto"/>
            </w:pPr>
            <w:r>
              <w:rPr>
                <w:rFonts w:ascii="Calibri" w:hAnsi="Calibri"/>
                <w:i/>
                <w:color w:val="2B3550"/>
                <w:sz w:val="20"/>
              </w:rPr>
              <w:t xml:space="preserve">For the engineers who want the specifics: FMECA and reliability analysis, IEC 62443 zone and target security-level modelling, and CVE/exploit-intelligence matching, feeding an actuarial-style loss calculation. We’re happy to walk through the full methodology in a briefing.</w:t>
            </w:r>
          </w:p>
        </w:tc>
      </w:tr>
    </w:tbl>
    <w:p>
      <w:pPr>
        <w:spacing w:after="120" w:line="120" w:lineRule="auto"/>
      </w:pPr>
    </w:p>
    <w:p>
      <w:pPr>
        <w:keepNext/>
        <w:spacing w:before="0" w:after="60" w:line="260" w:lineRule="auto"/>
      </w:pPr>
      <w:r>
        <w:rPr>
          <w:rFonts w:ascii="Calibri" w:hAnsi="Calibri"/>
          <w:b/>
          <w:color w:val="EE7623"/>
          <w:sz w:val="17"/>
          <w:spacing w:val="24"/>
        </w:rPr>
        <w:t xml:space="preserve">THE BILL OF MATERIALS · WHAT MAKES THE MATCHING POSSIBLE</w:t>
      </w:r>
    </w:p>
    <w:p>
      <w:pPr>
        <w:keepNext/>
        <w:spacing w:before="0" w:after="100" w:line="240" w:lineRule="auto"/>
      </w:pPr>
      <w:r>
        <w:rPr>
          <w:rFonts w:ascii="Georgia" w:hAnsi="Georgia"/>
          <w:b/>
          <w:color w:val="16203B"/>
          <w:sz w:val="26"/>
        </w:rPr>
        <w:t xml:space="preserve">Every object carries its own attack surface.</w:t>
      </w:r>
    </w:p>
    <w:tbl>
      <w:tblPr>
        <w:tblW w:w="9936" w:type="dxa"/>
        <w:tblLayout w:type="fixed"/>
        <w:tblCellMar>
          <w:top w:w="120" w:type="dxa"/>
          <w:bottom w:w="120" w:type="dxa"/>
          <w:left w:w="150" w:type="dxa"/>
          <w:right w:w="150" w:type="dxa"/>
        </w:tblCellMar>
      </w:tblPr>
      <w:tblGrid>
        <w:gridCol w:w="4968"/>
        <w:gridCol w:w="4968"/>
      </w:tblGrid>
      <w:tr>
        <w:tc>
          <w:tcPr>
            <w:tcW w:w="4968" w:type="dxa"/>
            <w:shd w:val="clear" w:fill="F2F0EA"/>
          </w:tcPr>
          <w:p>
            <w:pPr>
              <w:spacing w:before="0" w:after="50" w:line="240" w:lineRule="auto"/>
            </w:pPr>
            <w:r>
              <w:rPr>
                <w:rFonts w:ascii="Calibri" w:hAnsi="Calibri"/>
                <w:b/>
                <w:color w:val="16203B"/>
                <w:sz w:val="21"/>
              </w:rPr>
              <w:t xml:space="preserve">HBOM · hardware</w:t>
            </w:r>
          </w:p>
          <w:p>
            <w:pPr>
              <w:spacing w:before="0" w:after="0" w:line="250" w:lineRule="auto"/>
            </w:pPr>
            <w:r>
              <w:rPr>
                <w:rFonts w:ascii="Calibri" w:hAnsi="Calibri"/>
                <w:color w:val="3D4759"/>
                <w:sz w:val="19"/>
              </w:rPr>
              <w:t xml:space="preserve">Make, model, revision, firmware level, end-of-support date, supply-chain provenance.</w:t>
            </w:r>
          </w:p>
        </w:tc>
        <w:tc>
          <w:tcPr>
            <w:tcW w:w="4968" w:type="dxa"/>
            <w:shd w:val="clear" w:fill="F2F0EA"/>
          </w:tcPr>
          <w:p>
            <w:pPr>
              <w:spacing w:before="0" w:after="50" w:line="240" w:lineRule="auto"/>
            </w:pPr>
            <w:r>
              <w:rPr>
                <w:rFonts w:ascii="Calibri" w:hAnsi="Calibri"/>
                <w:b/>
                <w:color w:val="16203B"/>
                <w:sz w:val="21"/>
              </w:rPr>
              <w:t xml:space="preserve">SBOM · software</w:t>
            </w:r>
          </w:p>
          <w:p>
            <w:pPr>
              <w:spacing w:before="0" w:after="0" w:line="250" w:lineRule="auto"/>
            </w:pPr>
            <w:r>
              <w:rPr>
                <w:rFonts w:ascii="Calibri" w:hAnsi="Calibri"/>
                <w:color w:val="3D4759"/>
                <w:sz w:val="19"/>
              </w:rPr>
              <w:t xml:space="preserve">Components and transitive dependencies in every controller, gateway and appliance image.</w:t>
            </w:r>
          </w:p>
        </w:tc>
      </w:tr>
    </w:tbl>
    <w:p>
      <w:pPr>
        <w:spacing w:after="120" w:line="120" w:lineRule="auto"/>
      </w:pPr>
    </w:p>
    <w:tbl>
      <w:tblPr>
        <w:tblW w:w="9936" w:type="dxa"/>
        <w:tblLayout w:type="fixed"/>
        <w:tblCellMar>
          <w:top w:w="120" w:type="dxa"/>
          <w:bottom w:w="120" w:type="dxa"/>
          <w:left w:w="150" w:type="dxa"/>
          <w:right w:w="150" w:type="dxa"/>
        </w:tblCellMar>
      </w:tblPr>
      <w:tblGrid>
        <w:gridCol w:w="4968"/>
        <w:gridCol w:w="4968"/>
      </w:tblGrid>
      <w:tr>
        <w:tc>
          <w:tcPr>
            <w:tcW w:w="4968" w:type="dxa"/>
            <w:shd w:val="clear" w:fill="F2F0EA"/>
          </w:tcPr>
          <w:p>
            <w:pPr>
              <w:spacing w:before="0" w:after="50" w:line="240" w:lineRule="auto"/>
            </w:pPr>
            <w:r>
              <w:rPr>
                <w:rFonts w:ascii="Calibri" w:hAnsi="Calibri"/>
                <w:b/>
                <w:color w:val="16203B"/>
                <w:sz w:val="21"/>
              </w:rPr>
              <w:t xml:space="preserve">CBOM · cryptography</w:t>
            </w:r>
          </w:p>
          <w:p>
            <w:pPr>
              <w:spacing w:before="0" w:after="0" w:line="250" w:lineRule="auto"/>
            </w:pPr>
            <w:r>
              <w:rPr>
                <w:rFonts w:ascii="Calibri" w:hAnsi="Calibri"/>
                <w:color w:val="3D4759"/>
                <w:sz w:val="19"/>
              </w:rPr>
              <w:t xml:space="preserve">Algorithms, key lengths, certificate expiry, trust anchors and post-quantum exposure.</w:t>
            </w:r>
          </w:p>
        </w:tc>
        <w:tc>
          <w:tcPr>
            <w:tcW w:w="4968" w:type="dxa"/>
            <w:shd w:val="clear" w:fill="F2F0EA"/>
          </w:tcPr>
          <w:p>
            <w:pPr>
              <w:spacing w:before="0" w:after="50" w:line="240" w:lineRule="auto"/>
            </w:pPr>
            <w:r>
              <w:rPr>
                <w:rFonts w:ascii="Calibri" w:hAnsi="Calibri"/>
                <w:b/>
                <w:color w:val="16203B"/>
                <w:sz w:val="21"/>
              </w:rPr>
              <w:t xml:space="preserve">SaaS &amp; service BOM</w:t>
            </w:r>
          </w:p>
          <w:p>
            <w:pPr>
              <w:spacing w:before="0" w:after="0" w:line="250" w:lineRule="auto"/>
            </w:pPr>
            <w:r>
              <w:rPr>
                <w:rFonts w:ascii="Calibri" w:hAnsi="Calibri"/>
                <w:color w:val="3D4759"/>
                <w:sz w:val="19"/>
              </w:rPr>
              <w:t xml:space="preserve">Vendor remote access, cloud control planes, telemetry egress and licence dependencies.</w:t>
            </w:r>
          </w:p>
        </w:tc>
      </w:tr>
    </w:tbl>
    <w:p>
      <w:pPr>
        <w:spacing w:after="120" w:line="120" w:lineRule="auto"/>
      </w:pPr>
    </w:p>
    <w:tbl>
      <w:tblPr>
        <w:tblW w:w="9936" w:type="dxa"/>
        <w:tblLayout w:type="fixed"/>
        <w:tblCellMar>
          <w:top w:w="120" w:type="dxa"/>
          <w:bottom w:w="120" w:type="dxa"/>
          <w:left w:w="150" w:type="dxa"/>
          <w:right w:w="150" w:type="dxa"/>
        </w:tblCellMar>
      </w:tblPr>
      <w:tblGrid>
        <w:gridCol w:w="9936"/>
      </w:tblGrid>
      <w:tr>
        <w:tc>
          <w:tcPr>
            <w:tcW w:w="9936" w:type="dxa"/>
            <w:shd w:val="clear" w:fill="16203B"/>
          </w:tcPr>
          <w:p>
            <w:pPr>
              <w:spacing w:before="0" w:after="60" w:line="240" w:lineRule="auto"/>
            </w:pPr>
            <w:r>
              <w:rPr>
                <w:rFonts w:ascii="Calibri" w:hAnsi="Calibri"/>
                <w:b/>
                <w:color w:val="EE7623"/>
                <w:sz w:val="17"/>
                <w:spacing w:val="20"/>
              </w:rPr>
              <w:t xml:space="preserve">CONTINUOUSLY CROSS-REFERENCED AGAINST</w:t>
            </w:r>
          </w:p>
          <w:p>
            <w:pPr>
              <w:spacing w:before="0" w:after="0" w:line="260" w:lineRule="auto"/>
            </w:pPr>
            <w:r>
              <w:rPr>
                <w:rFonts w:ascii="Calibri" w:hAnsi="Calibri"/>
                <w:color w:val="C3CCDE"/>
                <w:sz w:val="20"/>
              </w:rPr>
              <w:t xml:space="preserve">CVE / NVD  ·  CISA KEV  ·  EPSS exploit probability  ·  ICS-CERT advisories  ·  Vendor PSIRT  ·  Exploit availability  ·  Threat-actor TTPs  ·  End-of-life status</w:t>
            </w:r>
          </w:p>
        </w:tc>
      </w:tr>
    </w:tbl>
    <w:p>
      <w:pPr>
        <w:spacing w:after="120" w:line="120" w:lineRule="auto"/>
      </w:pPr>
    </w:p>
    <w:p>
      <w:pPr>
        <w:spacing w:before="0" w:after="140" w:line="270" w:lineRule="auto"/>
      </w:pPr>
      <w:r>
        <w:rPr>
          <w:rFonts w:ascii="Calibri" w:hAnsi="Calibri"/>
          <w:color w:val="2B3550"/>
          <w:sz w:val="21"/>
        </w:rPr>
        <w:t xml:space="preserve">A CVE alone is noise. A CVE on this controller, reachable through this conduit, holding up this cooling loop, is a decision.</w:t>
      </w:r>
    </w:p>
    <w:p>
      <w:r>
        <w:br w:type="page"/>
      </w:r>
    </w:p>
    <w:p>
      <w:pPr>
        <w:keepNext/>
        <w:spacing w:before="0" w:after="60" w:line="260" w:lineRule="auto"/>
      </w:pPr>
      <w:r>
        <w:rPr>
          <w:rFonts w:ascii="Calibri" w:hAnsi="Calibri"/>
          <w:b/>
          <w:color w:val="EE7623"/>
          <w:sz w:val="17"/>
          <w:spacing w:val="24"/>
        </w:rPr>
        <w:t xml:space="preserve">WHAT-IF AND PROBABILISTIC OUTCOMES</w:t>
      </w:r>
    </w:p>
    <w:p>
      <w:pPr>
        <w:pBdr>
          <w:bottom w:val="single" w:sz="12" w:space="1" w:color="16203B"/>
        </w:pBdr>
        <w:spacing w:after="160"/>
      </w:pPr>
    </w:p>
    <w:p>
      <w:pPr>
        <w:keepNext/>
        <w:spacing w:before="0" w:after="120" w:line="240" w:lineRule="auto"/>
      </w:pPr>
      <w:r>
        <w:rPr>
          <w:rFonts w:ascii="Georgia" w:hAnsi="Georgia"/>
          <w:b/>
          <w:color w:val="16203B"/>
          <w:sz w:val="48"/>
        </w:rPr>
        <w:t xml:space="preserve">Consequence first. Then likelihood.</w:t>
      </w:r>
    </w:p>
    <w:p>
      <w:pPr>
        <w:spacing w:before="0" w:after="140" w:line="270" w:lineRule="auto"/>
      </w:pPr>
      <w:r>
        <w:rPr>
          <w:rFonts w:ascii="Calibri" w:hAnsi="Calibri"/>
          <w:color w:val="3D4759"/>
          <w:sz w:val="21"/>
        </w:rPr>
        <w:t xml:space="preserve">We define the minimum operating requirements with your engineers before we model a single threat. A scenario only matters if it breaches one of them.</w:t>
      </w:r>
    </w:p>
    <w:tbl>
      <w:tblPr>
        <w:tblW w:w="9936" w:type="dxa"/>
        <w:tblLayout w:type="fixed"/>
        <w:tblCellMar>
          <w:top w:w="120" w:type="dxa"/>
          <w:bottom w:w="120" w:type="dxa"/>
          <w:left w:w="150" w:type="dxa"/>
          <w:right w:w="150" w:type="dxa"/>
        </w:tblCellMar>
      </w:tblPr>
      <w:tblGrid>
        <w:gridCol w:w="3312"/>
        <w:gridCol w:w="3312"/>
        <w:gridCol w:w="3312"/>
      </w:tblGrid>
      <w:tr>
        <w:tc>
          <w:tcPr>
            <w:tcW w:w="3312" w:type="dxa"/>
            <w:shd w:val="clear" w:fill="16203B"/>
          </w:tcPr>
          <w:p>
            <w:pPr>
              <w:spacing w:before="0" w:after="50" w:line="240" w:lineRule="auto"/>
            </w:pPr>
            <w:r>
              <w:rPr>
                <w:rFonts w:ascii="Calibri" w:hAnsi="Calibri"/>
                <w:b/>
                <w:color w:val="EE7623"/>
                <w:sz w:val="17"/>
              </w:rPr>
              <w:t xml:space="preserve">SAFETY</w:t>
            </w:r>
          </w:p>
          <w:p>
            <w:pPr>
              <w:spacing w:before="0" w:after="0" w:line="250" w:lineRule="auto"/>
            </w:pPr>
            <w:r>
              <w:rPr>
                <w:rFonts w:ascii="Calibri" w:hAnsi="Calibri"/>
                <w:color w:val="C3CCDE"/>
                <w:sz w:val="19"/>
              </w:rPr>
              <w:t xml:space="preserve">No condition that endangers people or defeats a protective function.</w:t>
            </w:r>
          </w:p>
        </w:tc>
        <w:tc>
          <w:tcPr>
            <w:tcW w:w="3312" w:type="dxa"/>
            <w:shd w:val="clear" w:fill="16203B"/>
          </w:tcPr>
          <w:p>
            <w:pPr>
              <w:spacing w:before="0" w:after="50" w:line="240" w:lineRule="auto"/>
            </w:pPr>
            <w:r>
              <w:rPr>
                <w:rFonts w:ascii="Calibri" w:hAnsi="Calibri"/>
                <w:b/>
                <w:color w:val="EE7623"/>
                <w:sz w:val="17"/>
              </w:rPr>
              <w:t xml:space="preserve">RELIABILITY</w:t>
            </w:r>
          </w:p>
          <w:p>
            <w:pPr>
              <w:spacing w:before="0" w:after="0" w:line="250" w:lineRule="auto"/>
            </w:pPr>
            <w:r>
              <w:rPr>
                <w:rFonts w:ascii="Calibri" w:hAnsi="Calibri"/>
                <w:color w:val="C3CCDE"/>
                <w:sz w:val="19"/>
              </w:rPr>
              <w:t xml:space="preserve">Concurrent maintainability and N+1 held on both power and cooling.</w:t>
            </w:r>
          </w:p>
        </w:tc>
        <w:tc>
          <w:tcPr>
            <w:tcW w:w="3312" w:type="dxa"/>
            <w:shd w:val="clear" w:fill="16203B"/>
          </w:tcPr>
          <w:p>
            <w:pPr>
              <w:spacing w:before="0" w:after="50" w:line="240" w:lineRule="auto"/>
            </w:pPr>
            <w:r>
              <w:rPr>
                <w:rFonts w:ascii="Calibri" w:hAnsi="Calibri"/>
                <w:b/>
                <w:color w:val="EE7623"/>
                <w:sz w:val="17"/>
              </w:rPr>
              <w:t xml:space="preserve">MINIMUM OPERATION</w:t>
            </w:r>
          </w:p>
          <w:p>
            <w:pPr>
              <w:spacing w:before="0" w:after="0" w:line="250" w:lineRule="auto"/>
            </w:pPr>
            <w:r>
              <w:rPr>
                <w:rFonts w:ascii="Calibri" w:hAnsi="Calibri"/>
                <w:color w:val="C3CCDE"/>
                <w:sz w:val="19"/>
              </w:rPr>
              <w:t xml:space="preserve">The floor below which the service is contractually and legally in breach.</w:t>
            </w:r>
          </w:p>
        </w:tc>
      </w:tr>
    </w:tbl>
    <w:p>
      <w:pPr>
        <w:spacing w:after="120" w:line="120" w:lineRule="auto"/>
      </w:pPr>
    </w:p>
    <w:tbl>
      <w:tblPr>
        <w:tblW w:w="9936" w:type="dxa"/>
        <w:tblLayout w:type="fixed"/>
        <w:tblBorders>
          <w:top w:val="single" w:sz="12" w:space="0" w:color="16203B"/>
          <w:insideH w:val="single" w:sz="4" w:space="0" w:color="E2E6EE"/>
          <w:bottom w:val="single" w:sz="4" w:space="0" w:color="E2E6EE"/>
        </w:tblBorders>
        <w:tblCellMar>
          <w:top w:w="100" w:type="dxa"/>
          <w:bottom w:w="100" w:type="dxa"/>
          <w:left w:w="0" w:type="dxa"/>
          <w:right w:w="120" w:type="dxa"/>
        </w:tblCellMar>
      </w:tblPr>
      <w:tblGrid>
        <w:gridCol w:w="4200"/>
        <w:gridCol w:w="4200"/>
        <w:gridCol w:w="1536"/>
      </w:tblGrid>
      <w:tr>
        <w:trPr>
          <w:tblHeader/>
        </w:trPr>
        <w:tc>
          <w:tcPr>
            <w:tcW w:w="4200" w:type="dxa"/>
          </w:tcPr>
          <w:p>
            <w:pPr>
              <w:spacing w:before="0" w:after="0" w:line="240" w:lineRule="auto"/>
            </w:pPr>
            <w:r>
              <w:rPr>
                <w:rFonts w:ascii="Calibri" w:hAnsi="Calibri"/>
                <w:b/>
                <w:color w:val="16203B"/>
                <w:sz w:val="17"/>
                <w:spacing w:val="16"/>
              </w:rPr>
              <w:t xml:space="preserve">WHAT-IF SCENARIO</w:t>
            </w:r>
          </w:p>
        </w:tc>
        <w:tc>
          <w:tcPr>
            <w:tcW w:w="4200" w:type="dxa"/>
          </w:tcPr>
          <w:p>
            <w:pPr>
              <w:spacing w:before="0" w:after="0" w:line="240" w:lineRule="auto"/>
            </w:pPr>
            <w:r>
              <w:rPr>
                <w:rFonts w:ascii="Calibri" w:hAnsi="Calibri"/>
                <w:b/>
                <w:color w:val="16203B"/>
                <w:sz w:val="17"/>
                <w:spacing w:val="16"/>
              </w:rPr>
              <w:t xml:space="preserve">MODELLED CONSEQUENCE</w:t>
            </w:r>
          </w:p>
        </w:tc>
        <w:tc>
          <w:tcPr>
            <w:tcW w:w="1536" w:type="dxa"/>
          </w:tcPr>
          <w:p>
            <w:pPr>
              <w:spacing w:before="0" w:after="0" w:line="240" w:lineRule="auto"/>
            </w:pPr>
            <w:r>
              <w:rPr>
                <w:rFonts w:ascii="Calibri" w:hAnsi="Calibri"/>
                <w:b/>
                <w:color w:val="16203B"/>
                <w:sz w:val="17"/>
                <w:spacing w:val="16"/>
              </w:rPr>
              <w:t xml:space="preserve">MOR</w:t>
            </w:r>
          </w:p>
        </w:tc>
      </w:tr>
      <w:tr>
        <w:tc>
          <w:tcPr>
            <w:tcW w:w="4200" w:type="dxa"/>
          </w:tcPr>
          <w:p>
            <w:pPr>
              <w:spacing w:before="0" w:after="0" w:line="240" w:lineRule="auto"/>
            </w:pPr>
            <w:r>
              <w:rPr>
                <w:rFonts w:ascii="Calibri" w:hAnsi="Calibri"/>
                <w:b/>
                <w:color w:val="2B3550"/>
                <w:sz w:val="19"/>
              </w:rPr>
              <w:t xml:space="preserve">Ransomware reaches the DCIM and BMS head end</w:t>
            </w:r>
          </w:p>
        </w:tc>
        <w:tc>
          <w:tcPr>
            <w:tcW w:w="4200" w:type="dxa"/>
          </w:tcPr>
          <w:p>
            <w:pPr>
              <w:spacing w:before="0" w:after="0" w:line="240" w:lineRule="auto"/>
            </w:pPr>
            <w:r>
              <w:rPr>
                <w:rFonts w:ascii="Calibri" w:hAnsi="Calibri"/>
                <w:color w:val="3D4759"/>
                <w:sz w:val="19"/>
              </w:rPr>
              <w:t xml:space="preserve">Loss of visibility; manual cooling control</w:t>
            </w:r>
          </w:p>
        </w:tc>
        <w:tc>
          <w:tcPr>
            <w:tcW w:w="1536" w:type="dxa"/>
          </w:tcPr>
          <w:p>
            <w:pPr>
              <w:spacing w:before="0" w:after="0" w:line="240" w:lineRule="auto"/>
            </w:pPr>
            <w:r>
              <w:rPr>
                <w:rFonts w:ascii="Calibri" w:hAnsi="Calibri"/>
                <w:b/>
                <w:color w:val="C8332A"/>
                <w:sz w:val="19"/>
              </w:rPr>
              <w:t xml:space="preserve">Breach</w:t>
            </w:r>
          </w:p>
        </w:tc>
      </w:tr>
      <w:tr>
        <w:tc>
          <w:tcPr>
            <w:tcW w:w="4200" w:type="dxa"/>
          </w:tcPr>
          <w:p>
            <w:pPr>
              <w:spacing w:before="0" w:after="0" w:line="240" w:lineRule="auto"/>
            </w:pPr>
            <w:r>
              <w:rPr>
                <w:rFonts w:ascii="Calibri" w:hAnsi="Calibri"/>
                <w:b/>
                <w:color w:val="2B3550"/>
                <w:sz w:val="19"/>
              </w:rPr>
              <w:t xml:space="preserve">Compromised row-CDU controller stalls both pumps</w:t>
            </w:r>
          </w:p>
        </w:tc>
        <w:tc>
          <w:tcPr>
            <w:tcW w:w="4200" w:type="dxa"/>
          </w:tcPr>
          <w:p>
            <w:pPr>
              <w:spacing w:before="0" w:after="0" w:line="240" w:lineRule="auto"/>
            </w:pPr>
            <w:r>
              <w:rPr>
                <w:rFonts w:ascii="Calibri" w:hAnsi="Calibri"/>
                <w:color w:val="3D4759"/>
                <w:sz w:val="19"/>
              </w:rPr>
              <w:t xml:space="preserve">Thermal runaway in ~90 s at full load</w:t>
            </w:r>
          </w:p>
        </w:tc>
        <w:tc>
          <w:tcPr>
            <w:tcW w:w="1536" w:type="dxa"/>
          </w:tcPr>
          <w:p>
            <w:pPr>
              <w:spacing w:before="0" w:after="0" w:line="240" w:lineRule="auto"/>
            </w:pPr>
            <w:r>
              <w:rPr>
                <w:rFonts w:ascii="Calibri" w:hAnsi="Calibri"/>
                <w:b/>
                <w:color w:val="C8332A"/>
                <w:sz w:val="19"/>
              </w:rPr>
              <w:t xml:space="preserve">Breach</w:t>
            </w:r>
          </w:p>
        </w:tc>
      </w:tr>
      <w:tr>
        <w:tc>
          <w:tcPr>
            <w:tcW w:w="4200" w:type="dxa"/>
          </w:tcPr>
          <w:p>
            <w:pPr>
              <w:spacing w:before="0" w:after="0" w:line="240" w:lineRule="auto"/>
            </w:pPr>
            <w:r>
              <w:rPr>
                <w:rFonts w:ascii="Calibri" w:hAnsi="Calibri"/>
                <w:b/>
                <w:color w:val="2B3550"/>
                <w:sz w:val="19"/>
              </w:rPr>
              <w:t xml:space="preserve">Malicious firmware in a power-shelf PSU family</w:t>
            </w:r>
          </w:p>
        </w:tc>
        <w:tc>
          <w:tcPr>
            <w:tcW w:w="4200" w:type="dxa"/>
          </w:tcPr>
          <w:p>
            <w:pPr>
              <w:spacing w:before="0" w:after="0" w:line="240" w:lineRule="auto"/>
            </w:pPr>
            <w:r>
              <w:rPr>
                <w:rFonts w:ascii="Calibri" w:hAnsi="Calibri"/>
                <w:color w:val="3D4759"/>
                <w:sz w:val="19"/>
              </w:rPr>
              <w:t xml:space="preserve">Correlated failure across every row at once</w:t>
            </w:r>
          </w:p>
        </w:tc>
        <w:tc>
          <w:tcPr>
            <w:tcW w:w="1536" w:type="dxa"/>
          </w:tcPr>
          <w:p>
            <w:pPr>
              <w:spacing w:before="0" w:after="0" w:line="240" w:lineRule="auto"/>
            </w:pPr>
            <w:r>
              <w:rPr>
                <w:rFonts w:ascii="Calibri" w:hAnsi="Calibri"/>
                <w:b/>
                <w:color w:val="C8332A"/>
                <w:sz w:val="19"/>
              </w:rPr>
              <w:t xml:space="preserve">Breach</w:t>
            </w:r>
          </w:p>
        </w:tc>
      </w:tr>
      <w:tr>
        <w:tc>
          <w:tcPr>
            <w:tcW w:w="4200" w:type="dxa"/>
          </w:tcPr>
          <w:p>
            <w:pPr>
              <w:spacing w:before="0" w:after="0" w:line="240" w:lineRule="auto"/>
            </w:pPr>
            <w:r>
              <w:rPr>
                <w:rFonts w:ascii="Calibri" w:hAnsi="Calibri"/>
                <w:b/>
                <w:color w:val="2B3550"/>
                <w:sz w:val="19"/>
              </w:rPr>
              <w:t xml:space="preserve">Expired certificate on the OT protocol gateway</w:t>
            </w:r>
          </w:p>
        </w:tc>
        <w:tc>
          <w:tcPr>
            <w:tcW w:w="4200" w:type="dxa"/>
          </w:tcPr>
          <w:p>
            <w:pPr>
              <w:spacing w:before="0" w:after="0" w:line="240" w:lineRule="auto"/>
            </w:pPr>
            <w:r>
              <w:rPr>
                <w:rFonts w:ascii="Calibri" w:hAnsi="Calibri"/>
                <w:color w:val="3D4759"/>
                <w:sz w:val="19"/>
              </w:rPr>
              <w:t xml:space="preserve">Silent loss of telemetry; degraded response</w:t>
            </w:r>
          </w:p>
        </w:tc>
        <w:tc>
          <w:tcPr>
            <w:tcW w:w="1536" w:type="dxa"/>
          </w:tcPr>
          <w:p>
            <w:pPr>
              <w:spacing w:before="0" w:after="0" w:line="240" w:lineRule="auto"/>
            </w:pPr>
            <w:r>
              <w:rPr>
                <w:rFonts w:ascii="Calibri" w:hAnsi="Calibri"/>
                <w:b/>
                <w:color w:val="EE7623"/>
                <w:sz w:val="19"/>
              </w:rPr>
              <w:t xml:space="preserve">Degraded</w:t>
            </w:r>
          </w:p>
        </w:tc>
      </w:tr>
      <w:tr>
        <w:tc>
          <w:tcPr>
            <w:tcW w:w="4200" w:type="dxa"/>
          </w:tcPr>
          <w:p>
            <w:pPr>
              <w:spacing w:before="0" w:after="0" w:line="240" w:lineRule="auto"/>
            </w:pPr>
            <w:r>
              <w:rPr>
                <w:rFonts w:ascii="Calibri" w:hAnsi="Calibri"/>
                <w:b/>
                <w:color w:val="2B3550"/>
                <w:sz w:val="19"/>
              </w:rPr>
              <w:t xml:space="preserve">Vendor SaaS control plane unavailable 72 hours</w:t>
            </w:r>
          </w:p>
        </w:tc>
        <w:tc>
          <w:tcPr>
            <w:tcW w:w="4200" w:type="dxa"/>
          </w:tcPr>
          <w:p>
            <w:pPr>
              <w:spacing w:before="0" w:after="0" w:line="240" w:lineRule="auto"/>
            </w:pPr>
            <w:r>
              <w:rPr>
                <w:rFonts w:ascii="Calibri" w:hAnsi="Calibri"/>
                <w:color w:val="3D4759"/>
                <w:sz w:val="19"/>
              </w:rPr>
              <w:t xml:space="preserve">No orchestration or remote diagnostics</w:t>
            </w:r>
          </w:p>
        </w:tc>
        <w:tc>
          <w:tcPr>
            <w:tcW w:w="1536" w:type="dxa"/>
          </w:tcPr>
          <w:p>
            <w:pPr>
              <w:spacing w:before="0" w:after="0" w:line="240" w:lineRule="auto"/>
            </w:pPr>
            <w:r>
              <w:rPr>
                <w:rFonts w:ascii="Calibri" w:hAnsi="Calibri"/>
                <w:b/>
                <w:color w:val="EE7623"/>
                <w:sz w:val="19"/>
              </w:rPr>
              <w:t xml:space="preserve">Degraded</w:t>
            </w:r>
          </w:p>
        </w:tc>
      </w:tr>
    </w:tbl>
    <w:p>
      <w:pPr>
        <w:spacing w:after="120" w:line="120" w:lineRule="auto"/>
      </w:pPr>
    </w:p>
    <w:p>
      <w:pPr>
        <w:keepNext/>
        <w:spacing w:before="0" w:after="60" w:line="260" w:lineRule="auto"/>
      </w:pPr>
      <w:r>
        <w:rPr>
          <w:rFonts w:ascii="Calibri" w:hAnsi="Calibri"/>
          <w:b/>
          <w:color w:val="EE7623"/>
          <w:sz w:val="17"/>
          <w:spacing w:val="24"/>
        </w:rPr>
        <w:t xml:space="preserve">MONTE CARLO · 10,000 ITERATIONS PER SCENARIO</w:t>
      </w:r>
    </w:p>
    <w:p>
      <w:pPr>
        <w:keepNext/>
        <w:spacing w:before="0" w:after="100" w:line="240" w:lineRule="auto"/>
      </w:pPr>
      <w:r>
        <w:rPr>
          <w:rFonts w:ascii="Georgia" w:hAnsi="Georgia"/>
          <w:b/>
          <w:color w:val="16203B"/>
          <w:sz w:val="26"/>
        </w:rPr>
        <w:t xml:space="preserve">A range of outcomes, not a red square.</w:t>
      </w:r>
    </w:p>
    <w:p>
      <w:pPr>
        <w:spacing w:before="0" w:after="140" w:line="270" w:lineRule="auto"/>
      </w:pPr>
      <w:r>
        <w:rPr>
          <w:rFonts w:ascii="Calibri" w:hAnsi="Calibri"/>
          <w:color w:val="3D4759"/>
          <w:sz w:val="21"/>
        </w:rPr>
        <w:t xml:space="preserve">Each pathway gets a frequency and an impact distribution — downtime, equipment loss, SLA credits, response cost, regulatory exposure — turned into an annualised loss the business can budget against.</w:t>
      </w:r>
    </w:p>
    <w:tbl>
      <w:tblPr>
        <w:tblW w:w="9936" w:type="dxa"/>
        <w:tblLayout w:type="fixed"/>
        <w:tblCellMar>
          <w:top w:w="120" w:type="dxa"/>
          <w:bottom w:w="120" w:type="dxa"/>
          <w:left w:w="150" w:type="dxa"/>
          <w:right w:w="150" w:type="dxa"/>
        </w:tblCellMar>
      </w:tblPr>
      <w:tblGrid>
        <w:gridCol w:w="2484"/>
        <w:gridCol w:w="2484"/>
        <w:gridCol w:w="2484"/>
        <w:gridCol w:w="2484"/>
      </w:tblGrid>
      <w:tr>
        <w:tc>
          <w:tcPr>
            <w:tcW w:w="2484" w:type="dxa"/>
            <w:shd w:val="clear" w:fill="16203B"/>
          </w:tcPr>
          <w:p>
            <w:pPr>
              <w:spacing w:before="0" w:after="50" w:line="240" w:lineRule="auto"/>
            </w:pPr>
            <w:r>
              <w:rPr>
                <w:rFonts w:ascii="Calibri" w:hAnsi="Calibri"/>
                <w:b/>
                <w:color w:val="EE7623"/>
                <w:sz w:val="32"/>
              </w:rPr>
              <w:t xml:space="preserve">10,000</w:t>
            </w:r>
          </w:p>
          <w:p>
            <w:pPr>
              <w:spacing w:before="0" w:after="0" w:line="250" w:lineRule="auto"/>
            </w:pPr>
            <w:r>
              <w:rPr>
                <w:rFonts w:ascii="Calibri" w:hAnsi="Calibri"/>
                <w:color w:val="C3CCDE"/>
                <w:sz w:val="19"/>
              </w:rPr>
              <w:t xml:space="preserve">iterations per scenario</w:t>
            </w:r>
          </w:p>
        </w:tc>
        <w:tc>
          <w:tcPr>
            <w:tcW w:w="2484" w:type="dxa"/>
            <w:shd w:val="clear" w:fill="16203B"/>
          </w:tcPr>
          <w:p>
            <w:pPr>
              <w:spacing w:before="0" w:after="50" w:line="240" w:lineRule="auto"/>
            </w:pPr>
            <w:r>
              <w:rPr>
                <w:rFonts w:ascii="Calibri" w:hAnsi="Calibri"/>
                <w:b/>
                <w:color w:val="EE7623"/>
                <w:sz w:val="32"/>
              </w:rPr>
              <w:t xml:space="preserve">ALE</w:t>
            </w:r>
          </w:p>
          <w:p>
            <w:pPr>
              <w:spacing w:before="0" w:after="0" w:line="250" w:lineRule="auto"/>
            </w:pPr>
            <w:r>
              <w:rPr>
                <w:rFonts w:ascii="Calibri" w:hAnsi="Calibri"/>
                <w:color w:val="C3CCDE"/>
                <w:sz w:val="19"/>
              </w:rPr>
              <w:t xml:space="preserve">annualised loss expectancy per pathway</w:t>
            </w:r>
          </w:p>
        </w:tc>
        <w:tc>
          <w:tcPr>
            <w:tcW w:w="2484" w:type="dxa"/>
            <w:shd w:val="clear" w:fill="16203B"/>
          </w:tcPr>
          <w:p>
            <w:pPr>
              <w:spacing w:before="0" w:after="50" w:line="240" w:lineRule="auto"/>
            </w:pPr>
            <w:r>
              <w:rPr>
                <w:rFonts w:ascii="Calibri" w:hAnsi="Calibri"/>
                <w:b/>
                <w:color w:val="EE7623"/>
                <w:sz w:val="32"/>
              </w:rPr>
              <w:t xml:space="preserve">P90</w:t>
            </w:r>
          </w:p>
          <w:p>
            <w:pPr>
              <w:spacing w:before="0" w:after="0" w:line="250" w:lineRule="auto"/>
            </w:pPr>
            <w:r>
              <w:rPr>
                <w:rFonts w:ascii="Calibri" w:hAnsi="Calibri"/>
                <w:color w:val="C3CCDE"/>
                <w:sz w:val="19"/>
              </w:rPr>
              <w:t xml:space="preserve">the number the board should hold reserve against</w:t>
            </w:r>
          </w:p>
        </w:tc>
        <w:tc>
          <w:tcPr>
            <w:tcW w:w="2484" w:type="dxa"/>
            <w:shd w:val="clear" w:fill="16203B"/>
          </w:tcPr>
          <w:p>
            <w:pPr>
              <w:spacing w:before="0" w:after="50" w:line="240" w:lineRule="auto"/>
            </w:pPr>
            <w:r>
              <w:rPr>
                <w:rFonts w:ascii="Calibri" w:hAnsi="Calibri"/>
                <w:b/>
                <w:color w:val="EE7623"/>
                <w:sz w:val="32"/>
              </w:rPr>
              <w:t xml:space="preserve">Δ ALE</w:t>
            </w:r>
          </w:p>
          <w:p>
            <w:pPr>
              <w:spacing w:before="0" w:after="0" w:line="250" w:lineRule="auto"/>
            </w:pPr>
            <w:r>
              <w:rPr>
                <w:rFonts w:ascii="Calibri" w:hAnsi="Calibri"/>
                <w:color w:val="C3CCDE"/>
                <w:sz w:val="19"/>
              </w:rPr>
              <w:t xml:space="preserve">loss avoided by each candidate control</w:t>
            </w:r>
          </w:p>
        </w:tc>
      </w:tr>
    </w:tbl>
    <w:p>
      <w:pPr>
        <w:spacing w:after="120" w:line="120" w:lineRule="auto"/>
      </w:pPr>
    </w:p>
    <w:p>
      <w:r>
        <w:br w:type="page"/>
      </w:r>
    </w:p>
    <w:p>
      <w:pPr>
        <w:keepNext/>
        <w:spacing w:before="0" w:after="60" w:line="260" w:lineRule="auto"/>
      </w:pPr>
      <w:r>
        <w:rPr>
          <w:rFonts w:ascii="Calibri" w:hAnsi="Calibri"/>
          <w:b/>
          <w:color w:val="EE7623"/>
          <w:sz w:val="17"/>
          <w:spacing w:val="24"/>
        </w:rPr>
        <w:t xml:space="preserve">THE OUTPUT</w:t>
      </w:r>
    </w:p>
    <w:p>
      <w:pPr>
        <w:pBdr>
          <w:bottom w:val="single" w:sz="12" w:space="1" w:color="16203B"/>
        </w:pBdr>
        <w:spacing w:after="160"/>
      </w:pPr>
    </w:p>
    <w:p>
      <w:pPr>
        <w:keepNext/>
        <w:spacing w:before="0" w:after="120" w:line="240" w:lineRule="auto"/>
      </w:pPr>
      <w:r>
        <w:rPr>
          <w:rFonts w:ascii="Georgia" w:hAnsi="Georgia"/>
          <w:b/>
          <w:color w:val="16203B"/>
          <w:sz w:val="48"/>
        </w:rPr>
        <w:t xml:space="preserve">NOW · NEXT · NEVER</w:t>
      </w:r>
    </w:p>
    <w:p>
      <w:pPr>
        <w:spacing w:before="0" w:after="140" w:line="270" w:lineRule="auto"/>
      </w:pPr>
      <w:r>
        <w:rPr>
          <w:rFonts w:ascii="Calibri" w:hAnsi="Calibri"/>
          <w:color w:val="3D4759"/>
          <w:sz w:val="21"/>
        </w:rPr>
        <w:t xml:space="preserve">Instead of a queue of alerts ranked by generic severity, you get a ranked list of what to fix, priced in the terms that matter to whoever's asking — downtime hours for operations, euros for finance, safety margin for engineering.</w:t>
      </w:r>
    </w:p>
    <w:tbl>
      <w:tblPr>
        <w:tblW w:w="9936" w:type="dxa"/>
        <w:tblLayout w:type="fixed"/>
        <w:tblCellMar>
          <w:top w:w="120" w:type="dxa"/>
          <w:bottom w:w="120" w:type="dxa"/>
          <w:left w:w="150" w:type="dxa"/>
          <w:right w:w="150" w:type="dxa"/>
        </w:tblCellMar>
      </w:tblPr>
      <w:tblGrid>
        <w:gridCol w:w="3312"/>
        <w:gridCol w:w="3312"/>
        <w:gridCol w:w="3312"/>
      </w:tblGrid>
      <w:tr>
        <w:tc>
          <w:tcPr>
            <w:tcW w:w="3312" w:type="dxa"/>
            <w:shd w:val="clear" w:fill="16203B"/>
            <w:tcBorders>
              <w:top w:val="single" w:sz="30" w:space="0" w:color="C8332A"/>
            </w:tcBorders>
          </w:tcPr>
          <w:p>
            <w:pPr>
              <w:spacing w:before="0" w:after="50" w:line="240" w:lineRule="auto"/>
            </w:pPr>
            <w:r>
              <w:rPr>
                <w:rFonts w:ascii="Calibri" w:hAnsi="Calibri"/>
                <w:b/>
                <w:color w:val="FF6B5E"/>
                <w:sz w:val="22"/>
              </w:rPr>
              <w:t xml:space="preserve">NOW — Reachable, exploited, breaks a minimum requirement.</w:t>
            </w:r>
          </w:p>
          <w:p>
            <w:pPr>
              <w:spacing w:before="0" w:after="0" w:line="250" w:lineRule="auto"/>
            </w:pPr>
            <w:r>
              <w:rPr>
                <w:rFonts w:ascii="Calibri" w:hAnsi="Calibri"/>
                <w:color w:val="C3CCDE"/>
                <w:sz w:val="19"/>
              </w:rPr>
              <w:t xml:space="preserve">Known-exploited vulnerability on an asset with a live pathway to a safety or cooling function. Highest loss avoided per euro. Fix inside the change window.</w:t>
            </w:r>
          </w:p>
        </w:tc>
        <w:tc>
          <w:tcPr>
            <w:tcW w:w="3312" w:type="dxa"/>
            <w:shd w:val="clear" w:fill="FDEEDC"/>
            <w:tcBorders>
              <w:top w:val="single" w:sz="30" w:space="0" w:color="EE7623"/>
            </w:tcBorders>
          </w:tcPr>
          <w:p>
            <w:pPr>
              <w:spacing w:before="0" w:after="50" w:line="240" w:lineRule="auto"/>
            </w:pPr>
            <w:r>
              <w:rPr>
                <w:rFonts w:ascii="Calibri" w:hAnsi="Calibri"/>
                <w:b/>
                <w:color w:val="B4530F"/>
                <w:sz w:val="22"/>
              </w:rPr>
              <w:t xml:space="preserve">NEXT — Real, but bounded, or the path is long.</w:t>
            </w:r>
          </w:p>
          <w:p>
            <w:pPr>
              <w:spacing w:before="0" w:after="0" w:line="250" w:lineRule="auto"/>
            </w:pPr>
            <w:r>
              <w:rPr>
                <w:rFonts w:ascii="Calibri" w:hAnsi="Calibri"/>
                <w:color w:val="5A4630"/>
                <w:sz w:val="19"/>
              </w:rPr>
              <w:t xml:space="preserve">Meaningful ALE reduction that does not justify an emergency outage. Scheduled into the next maintenance window, with a compensating control until then.</w:t>
            </w:r>
          </w:p>
        </w:tc>
        <w:tc>
          <w:tcPr>
            <w:tcW w:w="3312" w:type="dxa"/>
            <w:shd w:val="clear" w:fill="EFF3FA"/>
            <w:tcBorders>
              <w:top w:val="single" w:sz="30" w:space="0" w:color="7A879E"/>
            </w:tcBorders>
          </w:tcPr>
          <w:p>
            <w:pPr>
              <w:spacing w:before="0" w:after="50" w:line="240" w:lineRule="auto"/>
            </w:pPr>
            <w:r>
              <w:rPr>
                <w:rFonts w:ascii="Calibri" w:hAnsi="Calibri"/>
                <w:b/>
                <w:color w:val="5A6478"/>
                <w:sz w:val="22"/>
              </w:rPr>
              <w:t xml:space="preserve">NEVER — Unreachable, or the fix costs more than the loss.</w:t>
            </w:r>
          </w:p>
          <w:p>
            <w:pPr>
              <w:spacing w:before="0" w:after="0" w:line="250" w:lineRule="auto"/>
            </w:pPr>
            <w:r>
              <w:rPr>
                <w:rFonts w:ascii="Calibri" w:hAnsi="Calibri"/>
                <w:color w:val="3D4759"/>
                <w:sz w:val="19"/>
              </w:rPr>
              <w:t xml:space="preserve">Accepted with reasoning recorded against the object in the twin. The most valuable column — it is what lets your team defensibly stop working on the other 400 findings.</w:t>
            </w:r>
          </w:p>
        </w:tc>
      </w:tr>
    </w:tbl>
    <w:p>
      <w:pPr>
        <w:spacing w:after="120" w:line="120" w:lineRule="auto"/>
      </w:pPr>
    </w:p>
    <w:p>
      <w:pPr>
        <w:keepNext/>
        <w:spacing w:before="0" w:after="60" w:line="260" w:lineRule="auto"/>
      </w:pPr>
      <w:r>
        <w:rPr>
          <w:rFonts w:ascii="Calibri" w:hAnsi="Calibri"/>
          <w:b/>
          <w:color w:val="EE7623"/>
          <w:sz w:val="17"/>
          <w:spacing w:val="24"/>
        </w:rPr>
        <w:t xml:space="preserve">A WALKTHROUGH · ONE EXPOSED DEVICE, ONE REAL ANSWER</w:t>
      </w:r>
    </w:p>
    <w:p>
      <w:pPr>
        <w:keepNext/>
        <w:spacing w:before="0" w:after="100" w:line="240" w:lineRule="auto"/>
      </w:pPr>
      <w:r>
        <w:rPr>
          <w:rFonts w:ascii="Georgia" w:hAnsi="Georgia"/>
          <w:b/>
          <w:color w:val="16203B"/>
          <w:sz w:val="26"/>
        </w:rPr>
        <w:t xml:space="preserve">What the twin actually does.</w:t>
      </w:r>
    </w:p>
    <w:tbl>
      <w:tblPr>
        <w:tblW w:w="9936" w:type="dxa"/>
        <w:tblLayout w:type="fixed"/>
        <w:tblCellMar>
          <w:top w:w="120" w:type="dxa"/>
          <w:bottom w:w="120" w:type="dxa"/>
          <w:left w:w="150" w:type="dxa"/>
          <w:right w:w="150" w:type="dxa"/>
        </w:tblCellMar>
      </w:tblPr>
      <w:tblGrid>
        <w:gridCol w:w="1700"/>
        <w:gridCol w:w="8236"/>
      </w:tblGrid>
      <w:tr>
        <w:tc>
          <w:tcPr>
            <w:tcW w:w="1700" w:type="dxa"/>
            <w:shd w:val="clear" w:fill="F2F0EA"/>
          </w:tcPr>
          <w:p>
            <w:pPr>
              <w:spacing w:before="0" w:after="0" w:line="250" w:lineRule="auto"/>
            </w:pPr>
            <w:r>
              <w:rPr>
                <w:rFonts w:ascii="Calibri" w:hAnsi="Calibri"/>
                <w:b/>
                <w:color w:val="16203B"/>
                <w:sz w:val="21"/>
              </w:rPr>
              <w:t xml:space="preserve">SCENARIO</w:t>
            </w:r>
          </w:p>
        </w:tc>
        <w:tc>
          <w:tcPr>
            <w:tcW w:w="8236" w:type="dxa"/>
            <w:shd w:val="clear" w:fill="F2F0EA"/>
          </w:tcPr>
          <w:p>
            <w:pPr>
              <w:spacing w:before="0" w:after="0" w:line="250" w:lineRule="auto"/>
            </w:pPr>
            <w:r>
              <w:rPr>
                <w:rFonts w:ascii="Calibri" w:hAnsi="Calibri"/>
                <w:color w:val="3D4759"/>
                <w:sz w:val="19"/>
              </w:rPr>
              <w:t xml:space="preserve">A data centre's cooling control system — a real IEC 62443 zone, with dozens of connected devices. One of those devices shows up with a known, actively-exploited vulnerability.</w:t>
            </w:r>
          </w:p>
        </w:tc>
      </w:tr>
      <w:tr>
        <w:tc>
          <w:tcPr>
            <w:tcW w:w="1700" w:type="dxa"/>
            <w:shd w:val="clear" w:fill="F2F0EA"/>
          </w:tcPr>
          <w:p>
            <w:pPr>
              <w:spacing w:before="0" w:after="0" w:line="250" w:lineRule="auto"/>
            </w:pPr>
            <w:r>
              <w:rPr>
                <w:rFonts w:ascii="Calibri" w:hAnsi="Calibri"/>
                <w:b/>
                <w:color w:val="16203B"/>
                <w:sz w:val="21"/>
              </w:rPr>
              <w:t xml:space="preserve">TODAY</w:t>
            </w:r>
          </w:p>
        </w:tc>
        <w:tc>
          <w:tcPr>
            <w:tcW w:w="8236" w:type="dxa"/>
            <w:shd w:val="clear" w:fill="F2F0EA"/>
          </w:tcPr>
          <w:p>
            <w:pPr>
              <w:spacing w:before="0" w:after="0" w:line="250" w:lineRule="auto"/>
            </w:pPr>
            <w:r>
              <w:rPr>
                <w:rFonts w:ascii="Calibri" w:hAnsi="Calibri"/>
                <w:color w:val="3D4759"/>
                <w:sz w:val="19"/>
              </w:rPr>
              <w:t xml:space="preserve">A typical monitoring tool flags it: “vulnerability detected, high severity.” That’s it. Someone has to figure out, manually, what that device actually does, what it’s connected to, and whether it matters.</w:t>
            </w:r>
          </w:p>
        </w:tc>
      </w:tr>
      <w:tr>
        <w:tc>
          <w:tcPr>
            <w:tcW w:w="1700" w:type="dxa"/>
            <w:shd w:val="clear" w:fill="EFF3FA"/>
          </w:tcPr>
          <w:p>
            <w:pPr>
              <w:spacing w:before="0" w:after="0" w:line="250" w:lineRule="auto"/>
            </w:pPr>
            <w:r>
              <w:rPr>
                <w:rFonts w:ascii="Calibri" w:hAnsi="Calibri"/>
                <w:b/>
                <w:color w:val="16203B"/>
                <w:sz w:val="21"/>
              </w:rPr>
              <w:t xml:space="preserve">ON THE TWIN</w:t>
            </w:r>
          </w:p>
        </w:tc>
        <w:tc>
          <w:tcPr>
            <w:tcW w:w="8236" w:type="dxa"/>
            <w:shd w:val="clear" w:fill="EFF3FA"/>
          </w:tcPr>
          <w:p>
            <w:pPr>
              <w:spacing w:before="0" w:after="0" w:line="250" w:lineRule="auto"/>
            </w:pPr>
            <w:r>
              <w:rPr>
                <w:rFonts w:ascii="Calibri" w:hAnsi="Calibri"/>
                <w:color w:val="3D4759"/>
                <w:sz w:val="19"/>
              </w:rPr>
              <w:t xml:space="preserve">The same exposure shows something different: this device sits inside the cooling zone for a specific row of equipment. Simulating a compromise traces the path it could take — what it can reach, what safety margin exists before there’s a real operational consequence, and what it would cost if that path were used. That consequence, not just the severity rating, is what ranks it against everything else.</w:t>
            </w:r>
          </w:p>
        </w:tc>
      </w:tr>
      <w:tr>
        <w:tc>
          <w:tcPr>
            <w:tcW w:w="1700" w:type="dxa"/>
            <w:shd w:val="clear" w:fill="16203B"/>
          </w:tcPr>
          <w:p>
            <w:pPr>
              <w:spacing w:before="0" w:after="0" w:line="250" w:lineRule="auto"/>
            </w:pPr>
            <w:r>
              <w:rPr>
                <w:rFonts w:ascii="Calibri" w:hAnsi="Calibri"/>
                <w:b/>
                <w:color w:val="EE7623"/>
                <w:sz w:val="21"/>
              </w:rPr>
              <w:t xml:space="preserve">RESULT</w:t>
            </w:r>
          </w:p>
        </w:tc>
        <w:tc>
          <w:tcPr>
            <w:tcW w:w="8236" w:type="dxa"/>
            <w:shd w:val="clear" w:fill="16203B"/>
          </w:tcPr>
          <w:p>
            <w:pPr>
              <w:spacing w:before="0" w:after="0" w:line="250" w:lineRule="auto"/>
            </w:pPr>
            <w:r>
              <w:rPr>
                <w:rFonts w:ascii="Calibri" w:hAnsi="Calibri"/>
                <w:color w:val="C3CCDE"/>
                <w:sz w:val="19"/>
              </w:rPr>
              <w:t xml:space="preserve">The fix might be the same either way — patch the device. But now it’s not one alert among hundreds. It’s a specific, ranked, justified decision: fix this one first, and here’s why.</w:t>
            </w:r>
          </w:p>
        </w:tc>
      </w:tr>
    </w:tbl>
    <w:p>
      <w:pPr>
        <w:spacing w:after="120" w:line="120" w:lineRule="auto"/>
      </w:pPr>
    </w:p>
    <w:p>
      <w:pPr>
        <w:spacing w:before="0" w:after="140" w:line="260" w:lineRule="auto"/>
      </w:pPr>
      <w:r>
        <w:rPr>
          <w:rFonts w:ascii="Calibri" w:hAnsi="Calibri"/>
          <w:i/>
          <w:color w:val="7A879E"/>
          <w:sz w:val="17"/>
        </w:rPr>
        <w:t xml:space="preserve">Scenario is illustrative — written to demonstrate the mechanic, not presented as a named customer's story.</w:t>
      </w:r>
    </w:p>
    <w:p>
      <w:r>
        <w:br w:type="page"/>
      </w:r>
    </w:p>
    <w:p>
      <w:pPr>
        <w:keepNext/>
        <w:spacing w:before="0" w:after="60" w:line="260" w:lineRule="auto"/>
      </w:pPr>
      <w:r>
        <w:rPr>
          <w:rFonts w:ascii="Calibri" w:hAnsi="Calibri"/>
          <w:b/>
          <w:color w:val="EE7623"/>
          <w:sz w:val="17"/>
          <w:spacing w:val="24"/>
        </w:rPr>
        <w:t xml:space="preserve">ONE MODEL, EVERY TEAM</w:t>
      </w:r>
    </w:p>
    <w:p>
      <w:pPr>
        <w:pBdr>
          <w:bottom w:val="single" w:sz="12" w:space="1" w:color="16203B"/>
        </w:pBdr>
        <w:spacing w:after="160"/>
      </w:pPr>
    </w:p>
    <w:p>
      <w:pPr>
        <w:keepNext/>
        <w:spacing w:before="0" w:after="120" w:line="240" w:lineRule="auto"/>
      </w:pPr>
      <w:r>
        <w:rPr>
          <w:rFonts w:ascii="Georgia" w:hAnsi="Georgia"/>
          <w:b/>
          <w:color w:val="16203B"/>
          <w:sz w:val="48"/>
        </w:rPr>
        <w:t xml:space="preserve">One model. Every team asks it something different.</w:t>
      </w:r>
    </w:p>
    <w:p>
      <w:pPr>
        <w:spacing w:before="0" w:after="140" w:line="270" w:lineRule="auto"/>
      </w:pPr>
      <w:r>
        <w:rPr>
          <w:rFonts w:ascii="Calibri" w:hAnsi="Calibri"/>
          <w:color w:val="3D4759"/>
          <w:sz w:val="21"/>
        </w:rPr>
        <w:t xml:space="preserve">Today, most facilities run risk decisions on five different spreadsheets that don't talk to each other. The twin is the one place safety, engineering, IT and finance can all look and get an answer that agrees with itself.</w:t>
      </w:r>
    </w:p>
    <w:tbl>
      <w:tblPr>
        <w:tblW w:w="9936" w:type="dxa"/>
        <w:tblLayout w:type="fixed"/>
        <w:tblCellMar>
          <w:top w:w="120" w:type="dxa"/>
          <w:bottom w:w="120" w:type="dxa"/>
          <w:left w:w="150" w:type="dxa"/>
          <w:right w:w="150" w:type="dxa"/>
        </w:tblCellMar>
      </w:tblPr>
      <w:tblGrid>
        <w:gridCol w:w="2500"/>
        <w:gridCol w:w="7436"/>
      </w:tblGrid>
      <w:tr>
        <w:tc>
          <w:tcPr>
            <w:tcW w:w="2500" w:type="dxa"/>
            <w:shd w:val="clear" w:fill="EFF3FA"/>
          </w:tcPr>
          <w:p>
            <w:pPr>
              <w:spacing w:before="0" w:after="0" w:line="250" w:lineRule="auto"/>
            </w:pPr>
            <w:r>
              <w:rPr>
                <w:rFonts w:ascii="Calibri" w:hAnsi="Calibri"/>
                <w:b/>
                <w:color w:val="16203B"/>
                <w:sz w:val="21"/>
              </w:rPr>
              <w:t xml:space="preserve">Safety</w:t>
            </w:r>
          </w:p>
        </w:tc>
        <w:tc>
          <w:tcPr>
            <w:tcW w:w="7436" w:type="dxa"/>
            <w:shd w:val="clear" w:fill="EFF3FA"/>
          </w:tcPr>
          <w:p>
            <w:pPr>
              <w:spacing w:before="0" w:after="0" w:line="250" w:lineRule="auto"/>
            </w:pPr>
            <w:r>
              <w:rPr>
                <w:rFonts w:ascii="Calibri" w:hAnsi="Calibri"/>
                <w:color w:val="3D4759"/>
                <w:sz w:val="19"/>
              </w:rPr>
              <w:t xml:space="preserve">What happens if this fails, and who’s exposed? The actual failure modes and consequences for your equipment — not a generic checklist.</w:t>
            </w:r>
          </w:p>
        </w:tc>
      </w:tr>
      <w:tr>
        <w:tc>
          <w:tcPr>
            <w:tcW w:w="2500" w:type="dxa"/>
            <w:shd w:val="clear" w:fill="EFF3FA"/>
          </w:tcPr>
          <w:p>
            <w:pPr>
              <w:spacing w:before="0" w:after="0" w:line="250" w:lineRule="auto"/>
            </w:pPr>
            <w:r>
              <w:rPr>
                <w:rFonts w:ascii="Calibri" w:hAnsi="Calibri"/>
                <w:b/>
                <w:color w:val="16203B"/>
                <w:sz w:val="21"/>
              </w:rPr>
              <w:t xml:space="preserve">Reliability</w:t>
            </w:r>
          </w:p>
        </w:tc>
        <w:tc>
          <w:tcPr>
            <w:tcW w:w="7436" w:type="dxa"/>
            <w:shd w:val="clear" w:fill="EFF3FA"/>
          </w:tcPr>
          <w:p>
            <w:pPr>
              <w:spacing w:before="0" w:after="0" w:line="250" w:lineRule="auto"/>
            </w:pPr>
            <w:r>
              <w:rPr>
                <w:rFonts w:ascii="Calibri" w:hAnsi="Calibri"/>
                <w:color w:val="3D4759"/>
                <w:sz w:val="19"/>
              </w:rPr>
              <w:t xml:space="preserve">Where is the next failure coming from? Real reliability figures, tied to the same model your security team uses.</w:t>
            </w:r>
          </w:p>
        </w:tc>
      </w:tr>
      <w:tr>
        <w:tc>
          <w:tcPr>
            <w:tcW w:w="2500" w:type="dxa"/>
            <w:shd w:val="clear" w:fill="EFF3FA"/>
          </w:tcPr>
          <w:p>
            <w:pPr>
              <w:spacing w:before="0" w:after="0" w:line="250" w:lineRule="auto"/>
            </w:pPr>
            <w:r>
              <w:rPr>
                <w:rFonts w:ascii="Calibri" w:hAnsi="Calibri"/>
                <w:b/>
                <w:color w:val="16203B"/>
                <w:sz w:val="21"/>
              </w:rPr>
              <w:t xml:space="preserve">Operations</w:t>
            </w:r>
          </w:p>
        </w:tc>
        <w:tc>
          <w:tcPr>
            <w:tcW w:w="7436" w:type="dxa"/>
            <w:shd w:val="clear" w:fill="EFF3FA"/>
          </w:tcPr>
          <w:p>
            <w:pPr>
              <w:spacing w:before="0" w:after="0" w:line="250" w:lineRule="auto"/>
            </w:pPr>
            <w:r>
              <w:rPr>
                <w:rFonts w:ascii="Calibri" w:hAnsi="Calibri"/>
                <w:color w:val="3D4759"/>
                <w:sz w:val="19"/>
              </w:rPr>
              <w:t xml:space="preserve">What does this change cost me in downtime? The operational impact of a security decision before it happens on the floor.</w:t>
            </w:r>
          </w:p>
        </w:tc>
      </w:tr>
      <w:tr>
        <w:tc>
          <w:tcPr>
            <w:tcW w:w="2500" w:type="dxa"/>
            <w:shd w:val="clear" w:fill="EFF3FA"/>
          </w:tcPr>
          <w:p>
            <w:pPr>
              <w:spacing w:before="0" w:after="0" w:line="250" w:lineRule="auto"/>
            </w:pPr>
            <w:r>
              <w:rPr>
                <w:rFonts w:ascii="Calibri" w:hAnsi="Calibri"/>
                <w:b/>
                <w:color w:val="16203B"/>
                <w:sz w:val="21"/>
              </w:rPr>
              <w:t xml:space="preserve">IT &amp; Security</w:t>
            </w:r>
          </w:p>
        </w:tc>
        <w:tc>
          <w:tcPr>
            <w:tcW w:w="7436" w:type="dxa"/>
            <w:shd w:val="clear" w:fill="EFF3FA"/>
          </w:tcPr>
          <w:p>
            <w:pPr>
              <w:spacing w:before="0" w:after="0" w:line="250" w:lineRule="auto"/>
            </w:pPr>
            <w:r>
              <w:rPr>
                <w:rFonts w:ascii="Calibri" w:hAnsi="Calibri"/>
                <w:color w:val="3D4759"/>
                <w:sz w:val="19"/>
              </w:rPr>
              <w:t xml:space="preserve">What’s exposed, and what matters most? Vulnerability, exploit and vendor-risk data matched to your specific assets.</w:t>
            </w:r>
          </w:p>
        </w:tc>
      </w:tr>
      <w:tr>
        <w:tc>
          <w:tcPr>
            <w:tcW w:w="2500" w:type="dxa"/>
            <w:shd w:val="clear" w:fill="EFF3FA"/>
          </w:tcPr>
          <w:p>
            <w:pPr>
              <w:spacing w:before="0" w:after="0" w:line="250" w:lineRule="auto"/>
            </w:pPr>
            <w:r>
              <w:rPr>
                <w:rFonts w:ascii="Calibri" w:hAnsi="Calibri"/>
                <w:b/>
                <w:color w:val="16203B"/>
                <w:sz w:val="21"/>
              </w:rPr>
              <w:t xml:space="preserve">Controls Engineering</w:t>
            </w:r>
          </w:p>
        </w:tc>
        <w:tc>
          <w:tcPr>
            <w:tcW w:w="7436" w:type="dxa"/>
            <w:shd w:val="clear" w:fill="EFF3FA"/>
          </w:tcPr>
          <w:p>
            <w:pPr>
              <w:spacing w:before="0" w:after="0" w:line="250" w:lineRule="auto"/>
            </w:pPr>
            <w:r>
              <w:rPr>
                <w:rFonts w:ascii="Calibri" w:hAnsi="Calibri"/>
                <w:color w:val="3D4759"/>
                <w:sz w:val="19"/>
              </w:rPr>
              <w:t xml:space="preserve">Does this touch my interlock logic, or just IT? Which layer — process, control or IT — a given exposure sits in.</w:t>
            </w:r>
          </w:p>
        </w:tc>
      </w:tr>
      <w:tr>
        <w:tc>
          <w:tcPr>
            <w:tcW w:w="2500" w:type="dxa"/>
            <w:shd w:val="clear" w:fill="EFF3FA"/>
          </w:tcPr>
          <w:p>
            <w:pPr>
              <w:spacing w:before="0" w:after="0" w:line="250" w:lineRule="auto"/>
            </w:pPr>
            <w:r>
              <w:rPr>
                <w:rFonts w:ascii="Calibri" w:hAnsi="Calibri"/>
                <w:b/>
                <w:color w:val="16203B"/>
                <w:sz w:val="21"/>
              </w:rPr>
              <w:t xml:space="preserve">Finance</w:t>
            </w:r>
          </w:p>
        </w:tc>
        <w:tc>
          <w:tcPr>
            <w:tcW w:w="7436" w:type="dxa"/>
            <w:shd w:val="clear" w:fill="EFF3FA"/>
          </w:tcPr>
          <w:p>
            <w:pPr>
              <w:spacing w:before="0" w:after="0" w:line="250" w:lineRule="auto"/>
            </w:pPr>
            <w:r>
              <w:rPr>
                <w:rFonts w:ascii="Calibri" w:hAnsi="Calibri"/>
                <w:color w:val="3D4759"/>
                <w:sz w:val="19"/>
              </w:rPr>
              <w:t xml:space="preserve">What’s the exposure, and is it worth spending on? Risk as annualised loss exposure — a budget number, not a severity colour.</w:t>
            </w:r>
          </w:p>
        </w:tc>
      </w:tr>
      <w:tr>
        <w:tc>
          <w:tcPr>
            <w:tcW w:w="2500" w:type="dxa"/>
            <w:shd w:val="clear" w:fill="EFF3FA"/>
          </w:tcPr>
          <w:p>
            <w:pPr>
              <w:spacing w:before="0" w:after="0" w:line="250" w:lineRule="auto"/>
            </w:pPr>
            <w:r>
              <w:rPr>
                <w:rFonts w:ascii="Calibri" w:hAnsi="Calibri"/>
                <w:b/>
                <w:color w:val="16203B"/>
                <w:sz w:val="21"/>
              </w:rPr>
              <w:t xml:space="preserve">Procurement &amp; Supply Chain</w:t>
            </w:r>
          </w:p>
        </w:tc>
        <w:tc>
          <w:tcPr>
            <w:tcW w:w="7436" w:type="dxa"/>
            <w:shd w:val="clear" w:fill="EFF3FA"/>
          </w:tcPr>
          <w:p>
            <w:pPr>
              <w:spacing w:before="0" w:after="0" w:line="250" w:lineRule="auto"/>
            </w:pPr>
            <w:r>
              <w:rPr>
                <w:rFonts w:ascii="Calibri" w:hAnsi="Calibri"/>
                <w:color w:val="3D4759"/>
                <w:sz w:val="19"/>
              </w:rPr>
              <w:t xml:space="preserve">Which vendors are actually a risk? Supplier exposure scored against real vulnerability and trust data.</w:t>
            </w:r>
          </w:p>
        </w:tc>
      </w:tr>
      <w:tr>
        <w:tc>
          <w:tcPr>
            <w:tcW w:w="2500" w:type="dxa"/>
            <w:shd w:val="clear" w:fill="EFF3FA"/>
          </w:tcPr>
          <w:p>
            <w:pPr>
              <w:spacing w:before="0" w:after="0" w:line="250" w:lineRule="auto"/>
            </w:pPr>
            <w:r>
              <w:rPr>
                <w:rFonts w:ascii="Calibri" w:hAnsi="Calibri"/>
                <w:b/>
                <w:color w:val="16203B"/>
                <w:sz w:val="21"/>
              </w:rPr>
              <w:t xml:space="preserve">Support</w:t>
            </w:r>
          </w:p>
        </w:tc>
        <w:tc>
          <w:tcPr>
            <w:tcW w:w="7436" w:type="dxa"/>
            <w:shd w:val="clear" w:fill="EFF3FA"/>
          </w:tcPr>
          <w:p>
            <w:pPr>
              <w:spacing w:before="0" w:after="0" w:line="250" w:lineRule="auto"/>
            </w:pPr>
            <w:r>
              <w:rPr>
                <w:rFonts w:ascii="Calibri" w:hAnsi="Calibri"/>
                <w:color w:val="3D4759"/>
                <w:sz w:val="19"/>
              </w:rPr>
              <w:t xml:space="preserve">What’s the real root cause, and who needs to know? Trace it back through the same model everyone else is using.</w:t>
            </w:r>
          </w:p>
        </w:tc>
      </w:tr>
      <w:tr>
        <w:tc>
          <w:tcPr>
            <w:tcW w:w="2500" w:type="dxa"/>
            <w:shd w:val="clear" w:fill="16203B"/>
          </w:tcPr>
          <w:p>
            <w:pPr>
              <w:spacing w:before="0" w:after="0" w:line="250" w:lineRule="auto"/>
            </w:pPr>
            <w:r>
              <w:rPr>
                <w:rFonts w:ascii="Calibri" w:hAnsi="Calibri"/>
                <w:b/>
                <w:color w:val="EE7623"/>
                <w:sz w:val="21"/>
              </w:rPr>
              <w:t xml:space="preserve">Executives</w:t>
            </w:r>
          </w:p>
        </w:tc>
        <w:tc>
          <w:tcPr>
            <w:tcW w:w="7436" w:type="dxa"/>
            <w:shd w:val="clear" w:fill="16203B"/>
          </w:tcPr>
          <w:p>
            <w:pPr>
              <w:spacing w:before="0" w:after="0" w:line="250" w:lineRule="auto"/>
            </w:pPr>
            <w:r>
              <w:rPr>
                <w:rFonts w:ascii="Calibri" w:hAnsi="Calibri"/>
                <w:color w:val="C3CCDE"/>
                <w:sz w:val="19"/>
              </w:rPr>
              <w:t xml:space="preserve">Where should the next euro go? One prioritised view of risk across the facility — not eleven dashboards telling different stories.</w:t>
            </w:r>
          </w:p>
        </w:tc>
      </w:tr>
      <w:tr>
        <w:tc>
          <w:tcPr>
            <w:tcW w:w="2500" w:type="dxa"/>
            <w:shd w:val="clear" w:fill="16203B"/>
          </w:tcPr>
          <w:p>
            <w:pPr>
              <w:spacing w:before="0" w:after="0" w:line="250" w:lineRule="auto"/>
            </w:pPr>
            <w:r>
              <w:rPr>
                <w:rFonts w:ascii="Calibri" w:hAnsi="Calibri"/>
                <w:b/>
                <w:color w:val="EE7623"/>
                <w:sz w:val="21"/>
              </w:rPr>
              <w:t xml:space="preserve">Managers</w:t>
            </w:r>
          </w:p>
        </w:tc>
        <w:tc>
          <w:tcPr>
            <w:tcW w:w="7436" w:type="dxa"/>
            <w:shd w:val="clear" w:fill="16203B"/>
          </w:tcPr>
          <w:p>
            <w:pPr>
              <w:spacing w:before="0" w:after="0" w:line="250" w:lineRule="auto"/>
            </w:pPr>
            <w:r>
              <w:rPr>
                <w:rFonts w:ascii="Calibri" w:hAnsi="Calibri"/>
                <w:color w:val="C3CCDE"/>
                <w:sz w:val="19"/>
              </w:rPr>
              <w:t xml:space="preserve">What’s actually getting fixed, and is it working? Remediation tracked against real risk reduction, not ticket close rates.</w:t>
            </w:r>
          </w:p>
        </w:tc>
      </w:tr>
    </w:tbl>
    <w:p>
      <w:pPr>
        <w:spacing w:after="120" w:line="120" w:lineRule="auto"/>
      </w:pPr>
    </w:p>
    <w:p>
      <w:pPr>
        <w:keepNext/>
        <w:spacing w:before="0" w:after="60" w:line="260" w:lineRule="auto"/>
      </w:pPr>
      <w:r>
        <w:rPr>
          <w:rFonts w:ascii="Calibri" w:hAnsi="Calibri"/>
          <w:b/>
          <w:color w:val="EE7623"/>
          <w:sz w:val="17"/>
          <w:spacing w:val="24"/>
        </w:rPr>
        <w:t xml:space="preserve">WHO IT'S FOR</w:t>
      </w:r>
    </w:p>
    <w:tbl>
      <w:tblPr>
        <w:tblW w:w="9936" w:type="dxa"/>
        <w:tblLayout w:type="fixed"/>
        <w:tblCellMar>
          <w:top w:w="120" w:type="dxa"/>
          <w:bottom w:w="120" w:type="dxa"/>
          <w:left w:w="150" w:type="dxa"/>
          <w:right w:w="150" w:type="dxa"/>
        </w:tblCellMar>
      </w:tblPr>
      <w:tblGrid>
        <w:gridCol w:w="9936"/>
      </w:tblGrid>
      <w:tr>
        <w:tc>
          <w:tcPr>
            <w:tcW w:w="9936" w:type="dxa"/>
            <w:shd w:val="clear" w:fill="FDEEDC"/>
          </w:tcPr>
          <w:p>
            <w:pPr>
              <w:spacing w:before="0" w:after="0" w:line="260" w:lineRule="auto"/>
            </w:pPr>
            <w:r>
              <w:rPr>
                <w:rFonts w:ascii="Calibri" w:hAnsi="Calibri"/>
                <w:color w:val="5A4630"/>
                <w:sz w:val="20"/>
              </w:rPr>
              <w:t xml:space="preserve">Built for teams running physical infrastructure where a cyber incident has a physical consequence — data centres, manufacturing plants and critical infrastructure. If your organisation has safety engineers, reliability engineers, control systems and a security team who don’t currently share one picture of risk, this is built for you.</w:t>
            </w:r>
          </w:p>
        </w:tc>
      </w:tr>
    </w:tbl>
    <w:p>
      <w:pPr>
        <w:spacing w:after="120" w:line="120" w:lineRule="auto"/>
      </w:pPr>
    </w:p>
    <w:p>
      <w:r>
        <w:br w:type="page"/>
      </w:r>
    </w:p>
    <w:p>
      <w:pPr>
        <w:keepNext/>
        <w:spacing w:before="0" w:after="60" w:line="260" w:lineRule="auto"/>
      </w:pPr>
      <w:r>
        <w:rPr>
          <w:rFonts w:ascii="Calibri" w:hAnsi="Calibri"/>
          <w:b/>
          <w:color w:val="EE7623"/>
          <w:sz w:val="17"/>
          <w:spacing w:val="24"/>
        </w:rPr>
        <w:t xml:space="preserve">WHY OXOT</w:t>
      </w:r>
    </w:p>
    <w:p>
      <w:pPr>
        <w:pBdr>
          <w:bottom w:val="single" w:sz="12" w:space="1" w:color="16203B"/>
        </w:pBdr>
        <w:spacing w:after="160"/>
      </w:pPr>
    </w:p>
    <w:p>
      <w:pPr>
        <w:keepNext/>
        <w:spacing w:before="0" w:after="120" w:line="240" w:lineRule="auto"/>
      </w:pPr>
      <w:r>
        <w:rPr>
          <w:rFonts w:ascii="Georgia" w:hAnsi="Georgia"/>
          <w:b/>
          <w:color w:val="16203B"/>
          <w:sz w:val="48"/>
        </w:rPr>
        <w:t xml:space="preserve">Not another alert feed. Not another checklist.</w:t>
      </w:r>
    </w:p>
    <w:p>
      <w:pPr>
        <w:spacing w:before="0" w:after="140" w:line="270" w:lineRule="auto"/>
      </w:pPr>
      <w:r>
        <w:rPr>
          <w:rFonts w:ascii="Calibri" w:hAnsi="Calibri"/>
          <w:color w:val="3D4759"/>
          <w:sz w:val="21"/>
        </w:rPr>
        <w:t xml:space="preserve">Most OT security tools do one of two things well: watch your network for anomalies, or check you off against a compliance standard. OXOT does something neither does — it connects what's exposed to what it would actually cost your specific facility, so you know what to do about it.</w:t>
      </w:r>
    </w:p>
    <w:tbl>
      <w:tblPr>
        <w:tblW w:w="9936" w:type="dxa"/>
        <w:tblLayout w:type="fixed"/>
        <w:tblCellMar>
          <w:top w:w="120" w:type="dxa"/>
          <w:bottom w:w="120" w:type="dxa"/>
          <w:left w:w="150" w:type="dxa"/>
          <w:right w:w="150" w:type="dxa"/>
        </w:tblCellMar>
      </w:tblPr>
      <w:tblGrid>
        <w:gridCol w:w="2500"/>
        <w:gridCol w:w="7436"/>
      </w:tblGrid>
      <w:tr>
        <w:tc>
          <w:tcPr>
            <w:tcW w:w="2500" w:type="dxa"/>
            <w:shd w:val="clear" w:fill="F2F0EA"/>
          </w:tcPr>
          <w:p>
            <w:pPr>
              <w:spacing w:before="0" w:after="0" w:line="250" w:lineRule="auto"/>
            </w:pPr>
            <w:r>
              <w:rPr>
                <w:rFonts w:ascii="Calibri" w:hAnsi="Calibri"/>
                <w:b/>
                <w:color w:val="16203B"/>
                <w:sz w:val="21"/>
              </w:rPr>
              <w:t xml:space="preserve">Passive monitoring tools</w:t>
            </w:r>
          </w:p>
        </w:tc>
        <w:tc>
          <w:tcPr>
            <w:tcW w:w="7436" w:type="dxa"/>
            <w:shd w:val="clear" w:fill="F2F0EA"/>
          </w:tcPr>
          <w:p>
            <w:pPr>
              <w:spacing w:before="0" w:after="0" w:line="250" w:lineRule="auto"/>
            </w:pPr>
            <w:r>
              <w:rPr>
                <w:rFonts w:ascii="Calibri" w:hAnsi="Calibri"/>
                <w:color w:val="3D4759"/>
                <w:sz w:val="19"/>
              </w:rPr>
              <w:t xml:space="preserve">Tell you something changed on the network. Built to detect anomalies — not to tell you what a given exposure would cost, or whether it touches a safety system. Useful for detection. Not built for prioritisation.</w:t>
            </w:r>
          </w:p>
        </w:tc>
      </w:tr>
      <w:tr>
        <w:tc>
          <w:tcPr>
            <w:tcW w:w="2500" w:type="dxa"/>
            <w:shd w:val="clear" w:fill="F2F0EA"/>
          </w:tcPr>
          <w:p>
            <w:pPr>
              <w:spacing w:before="0" w:after="0" w:line="250" w:lineRule="auto"/>
            </w:pPr>
            <w:r>
              <w:rPr>
                <w:rFonts w:ascii="Calibri" w:hAnsi="Calibri"/>
                <w:b/>
                <w:color w:val="16203B"/>
                <w:sz w:val="21"/>
              </w:rPr>
              <w:t xml:space="preserve">Compliance &amp; checklist tools</w:t>
            </w:r>
          </w:p>
        </w:tc>
        <w:tc>
          <w:tcPr>
            <w:tcW w:w="7436" w:type="dxa"/>
            <w:shd w:val="clear" w:fill="F2F0EA"/>
          </w:tcPr>
          <w:p>
            <w:pPr>
              <w:spacing w:before="0" w:after="0" w:line="250" w:lineRule="auto"/>
            </w:pPr>
            <w:r>
              <w:rPr>
                <w:rFonts w:ascii="Calibri" w:hAnsi="Calibri"/>
                <w:color w:val="3D4759"/>
                <w:sz w:val="19"/>
              </w:rPr>
              <w:t xml:space="preserve">Tell you whether you match a standard. Built to satisfy an audit — not to reflect what’s actually likely to go wrong on your specific plant, with your specific equipment.</w:t>
            </w:r>
          </w:p>
        </w:tc>
      </w:tr>
      <w:tr>
        <w:tc>
          <w:tcPr>
            <w:tcW w:w="2500" w:type="dxa"/>
            <w:shd w:val="clear" w:fill="16203B"/>
          </w:tcPr>
          <w:p>
            <w:pPr>
              <w:spacing w:before="0" w:after="0" w:line="250" w:lineRule="auto"/>
            </w:pPr>
            <w:r>
              <w:rPr>
                <w:rFonts w:ascii="Calibri" w:hAnsi="Calibri"/>
                <w:b/>
                <w:color w:val="EE7623"/>
                <w:sz w:val="21"/>
              </w:rPr>
              <w:t xml:space="preserve">OXOT's Cyber Digital Twin</w:t>
            </w:r>
          </w:p>
        </w:tc>
        <w:tc>
          <w:tcPr>
            <w:tcW w:w="7436" w:type="dxa"/>
            <w:shd w:val="clear" w:fill="16203B"/>
          </w:tcPr>
          <w:p>
            <w:pPr>
              <w:spacing w:before="0" w:after="0" w:line="250" w:lineRule="auto"/>
            </w:pPr>
            <w:r>
              <w:rPr>
                <w:rFonts w:ascii="Calibri" w:hAnsi="Calibri"/>
                <w:color w:val="C3CCDE"/>
                <w:sz w:val="19"/>
              </w:rPr>
              <w:t xml:space="preserve">Starts from your actual facility — assets, connections, safety zones — and computes real engineering risk and financial exposure from it. It doesn’t replace detection or compliance reporting. It’s the layer that turns both into a ranked, defensible answer: what to fix first, and why.</w:t>
            </w:r>
          </w:p>
        </w:tc>
      </w:tr>
    </w:tbl>
    <w:p>
      <w:pPr>
        <w:spacing w:after="120" w:line="120" w:lineRule="auto"/>
      </w:pPr>
    </w:p>
    <w:tbl>
      <w:tblPr>
        <w:tblW w:w="9936" w:type="dxa"/>
        <w:tblLayout w:type="fixed"/>
        <w:tblCellMar>
          <w:top w:w="120" w:type="dxa"/>
          <w:bottom w:w="120" w:type="dxa"/>
          <w:left w:w="150" w:type="dxa"/>
          <w:right w:w="150" w:type="dxa"/>
        </w:tblCellMar>
      </w:tblPr>
      <w:tblGrid>
        <w:gridCol w:w="9936"/>
      </w:tblGrid>
      <w:tr>
        <w:tc>
          <w:tcPr>
            <w:tcW w:w="9936" w:type="dxa"/>
            <w:shd w:val="clear" w:fill="EFF3FA"/>
          </w:tcPr>
          <w:p>
            <w:pPr>
              <w:spacing w:before="0" w:after="60" w:line="240" w:lineRule="auto"/>
            </w:pPr>
            <w:r>
              <w:rPr>
                <w:rFonts w:ascii="Calibri" w:hAnsi="Calibri"/>
                <w:b/>
                <w:color w:val="16203B"/>
                <w:sz w:val="17"/>
                <w:spacing w:val="20"/>
              </w:rPr>
              <w:t xml:space="preserve">WHERE WE STAND TODAY</w:t>
            </w:r>
          </w:p>
          <w:p>
            <w:pPr>
              <w:spacing w:before="0" w:after="0" w:line="260" w:lineRule="auto"/>
            </w:pPr>
            <w:r>
              <w:rPr>
                <w:rFonts w:ascii="Calibri" w:hAnsi="Calibri"/>
                <w:color w:val="2B3550"/>
                <w:sz w:val="20"/>
              </w:rPr>
              <w:t xml:space="preserve">OXOT is built by people who've spent their careers in industrial engineering and cybersecurity — not just IT security. We're not going to show you logos we haven't earned yet. If you want to see the methodology, talk to the engineers who built it, or get a reference call with an early customer, ask — we'll set it up.</w:t>
            </w:r>
          </w:p>
        </w:tc>
      </w:tr>
    </w:tbl>
    <w:p>
      <w:pPr>
        <w:spacing w:after="120" w:line="120" w:lineRule="auto"/>
      </w:pPr>
    </w:p>
    <w:p>
      <w:pPr>
        <w:spacing w:before="60" w:after="60"/>
        <w:jc w:val="center"/>
      </w:pPr>
      <w:r>
        <w:drawing>
          <wp:inline distT="0" distB="0" distL="0" distR="0">
            <wp:extent cx="3129280" cy="1828800"/>
            <wp:docPr id="5" name="Picture 5"/>
            <a:graphic xmlns:a="http://schemas.openxmlformats.org/drawingml/2006/main">
              <a:graphicData uri="http://schemas.openxmlformats.org/drawingml/2006/picture">
                <pic:pic xmlns:pic="http://schemas.openxmlformats.org/drawingml/2006/picture">
                  <pic:nvPicPr>
                    <pic:cNvPr id="5" name="img5.png"/>
                    <pic:cNvPicPr/>
                  </pic:nvPicPr>
                  <pic:blipFill>
                    <a:blip r:embed="rIdImg5"/>
                    <a:stretch>
                      <a:fillRect/>
                    </a:stretch>
                  </pic:blipFill>
                  <pic:spPr>
                    <a:xfrm>
                      <a:off x="0" y="0"/>
                      <a:ext cx="3129280" cy="1828800"/>
                    </a:xfrm>
                    <a:prstGeom prst="rect">
                      <a:avLst/>
                    </a:prstGeom>
                  </pic:spPr>
                </pic:pic>
              </a:graphicData>
            </a:graphic>
          </wp:inline>
        </w:drawing>
      </w:r>
    </w:p>
    <w:p>
      <w:pPr>
        <w:keepNext/>
        <w:spacing w:before="0" w:after="60" w:line="260" w:lineRule="auto"/>
      </w:pPr>
      <w:r>
        <w:rPr>
          <w:rFonts w:ascii="Calibri" w:hAnsi="Calibri"/>
          <w:b/>
          <w:color w:val="EE7623"/>
          <w:sz w:val="17"/>
          <w:spacing w:val="24"/>
        </w:rPr>
        <w:t xml:space="preserve">PAIRS WITH</w:t>
      </w:r>
    </w:p>
    <w:p>
      <w:pPr>
        <w:spacing w:before="0" w:after="140" w:line="270" w:lineRule="auto"/>
      </w:pPr>
      <w:r>
        <w:rPr>
          <w:rFonts w:ascii="Calibri" w:hAnsi="Calibri"/>
          <w:color w:val="3D4759"/>
          <w:sz w:val="21"/>
        </w:rPr>
        <w:t xml:space="preserve">Onboarding a twin normally begins with OXOT Facility Due Diligence — the on-site assessment that establishes the as-is state and produces the four layers the model is built from. See the companion brochure.</w:t>
      </w:r>
    </w:p>
    <w:tbl>
      <w:tblPr>
        <w:tblW w:w="9936" w:type="dxa"/>
        <w:tblLayout w:type="fixed"/>
        <w:tblCellMar>
          <w:top w:w="120" w:type="dxa"/>
          <w:bottom w:w="120" w:type="dxa"/>
          <w:left w:w="150" w:type="dxa"/>
          <w:right w:w="150" w:type="dxa"/>
        </w:tblCellMar>
      </w:tblPr>
      <w:tblGrid>
        <w:gridCol w:w="9936"/>
      </w:tblGrid>
      <w:tr>
        <w:tc>
          <w:tcPr>
            <w:tcW w:w="9936" w:type="dxa"/>
            <w:shd w:val="clear" w:fill="FDEEDC"/>
          </w:tcPr>
          <w:p>
            <w:pPr>
              <w:spacing w:before="0" w:after="60" w:line="250" w:lineRule="auto"/>
            </w:pPr>
            <w:r>
              <w:rPr>
                <w:rFonts w:ascii="Georgia" w:hAnsi="Georgia"/>
                <w:b/>
                <w:color w:val="16203B"/>
                <w:sz w:val="32"/>
              </w:rPr>
              <w:t xml:space="preserve">You already have the data.</w:t>
            </w:r>
          </w:p>
          <w:p>
            <w:pPr>
              <w:spacing w:before="0" w:after="100" w:line="250" w:lineRule="auto"/>
            </w:pPr>
            <w:r>
              <w:rPr>
                <w:rFonts w:ascii="Calibri" w:hAnsi="Calibri"/>
                <w:color w:val="5A4630"/>
                <w:sz w:val="20"/>
              </w:rPr>
              <w:t xml:space="preserve">OXOT turns it into a model you can question — and a ranked list of what to do about the answer.</w:t>
            </w:r>
          </w:p>
          <w:p>
            <w:pPr>
              <w:spacing w:before="0" w:after="50" w:line="250" w:lineRule="auto"/>
            </w:pPr>
            <w:r>
              <w:rPr>
                <w:rFonts w:ascii="Calibri" w:hAnsi="Calibri"/>
                <w:b/>
                <w:color w:val="EE7623"/>
                <w:sz w:val="24"/>
              </w:rPr>
              <w:t xml:space="preserve">Request a Briefing  →   See a Sample Report</w:t>
            </w:r>
          </w:p>
          <w:p>
            <w:pPr>
              <w:spacing w:before="0" w:after="0" w:line="250" w:lineRule="auto"/>
            </w:pPr>
            <w:r>
              <w:rPr>
                <w:rFonts w:ascii="Calibri" w:hAnsi="Calibri"/>
                <w:color w:val="8A6A45"/>
                <w:sz w:val="20"/>
              </w:rPr>
              <w:t xml:space="preserve">info@oxot.nl  ·  oxot.nl</w:t>
            </w:r>
          </w:p>
        </w:tc>
      </w:tr>
    </w:tbl>
    <w:p>
      <w:pPr>
        <w:spacing w:after="120" w:line="120" w:lineRule="auto"/>
      </w:pPr>
    </w:p>
    <w:sectPr>
      <w:footerReference w:type="default" r:id="rIdFtr"/>
      <w:pgSz w:w="12240" w:h="15840"/>
      <w:pgMar w:top="1080" w:right="1152" w:bottom="1000" w:left="1152" w:header="720" w:footer="560" w:gutter="0"/>
    </w:sectPr>
  </w:body>
</w:document>
</file>

<file path=word/footer1.xml><?xml version="1.0" encoding="utf-8"?>
<w:ftr xmlns:w="http://schemas.openxmlformats.org/wordprocessingml/2006/main">
  <w:p>
    <w:pPr>
      <w:pBdr>
        <w:top w:val="single" w:sz="12" w:space="6" w:color="16203B"/>
      </w:pBdr>
      <w:tabs>
        <w:tab w:val="right" w:pos="9936"/>
      </w:tabs>
      <w:spacing w:before="60" w:after="0"/>
    </w:pPr>
    <w:r>
      <w:rPr>
        <w:rFonts w:ascii="Calibri" w:hAnsi="Calibri"/>
        <w:b/>
        <w:color w:val="7A879E"/>
        <w:sz w:val="16"/>
        <w:spacing w:val="18"/>
      </w:rPr>
      <w:t xml:space="preserve">OXOT — OPERATIONAL EXCELLENCE IN OPERATIONAL TECHNOLOGY</w:t>
    </w:r>
    <w:r>
      <w:tab/>
    </w:r>
    <w:r>
      <w:rPr>
        <w:rFonts w:ascii="Calibri" w:hAnsi="Calibri"/>
        <w:b/>
        <w:color w:val="EE7623"/>
        <w:sz w:val="16"/>
        <w:spacing w:val="18"/>
      </w:rPr>
      <w:t xml:space="preserve">oxot.nl · </w:t>
    </w:r>
    <w:r>
      <w:rPr>
        <w:rFonts w:ascii="Calibri" w:hAnsi="Calibri"/>
        <w:b/>
        <w:color w:val="EE7623"/>
        <w:sz w:val="16"/>
      </w:rPr>
      <w:fldChar w:fldCharType="begin"/>
    </w:r>
    <w:r>
      <w:rPr>
        <w:rFonts w:ascii="Calibri" w:hAnsi="Calibri"/>
        <w:b/>
        <w:color w:val="EE7623"/>
        <w:sz w:val="16"/>
      </w:rPr>
      <w:instrText xml:space="preserve"> PAGE </w:instrText>
    </w:r>
    <w:r>
      <w:rPr>
        <w:rFonts w:ascii="Calibri" w:hAnsi="Calibri"/>
        <w:b/>
        <w:color w:val="EE7623"/>
        <w:sz w:val="16"/>
      </w:rPr>
      <w:fldChar w:fldCharType="end"/>
    </w:r>
  </w:p>
</w:ftr>
</file>

<file path=word/styles.xml><?xml version="1.0" encoding="utf-8"?>
<w:styles xmlns:w="http://schemas.openxmlformats.org/wordprocessingml/2006/main">
  <w:docDefaults>
    <w:rPrDefault>
      <w:rPr>
        <w:rFonts w:ascii="Calibri" w:hAnsi="Calibri"/>
        <w:sz w:val="21"/>
        <w:color w:val="3D4759"/>
      </w:rPr>
    </w:rPrDefault>
    <w:pPrDefault>
      <w:pPr>
        <w:spacing w:after="120" w:line="27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Ftr" Type="http://schemas.openxmlformats.org/officeDocument/2006/relationships/footer" Target="footer1.xml"/><Relationship Id="rIdSty" Type="http://schemas.openxmlformats.org/officeDocument/2006/relationships/styles" Target="styles.xml"/></Relationships>
</file>