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3B3384" w:rsidRDefault="00297AA7">
      <w:pPr>
        <w:pStyle w:val="Heading1"/>
        <w:numPr>
          <w:ilvl w:val="0"/>
          <w:numId w:val="5"/>
        </w:numPr>
        <w:jc w:val="center"/>
        <w:rPr>
          <w:u w:val="none"/>
        </w:rPr>
      </w:pPr>
      <w:bookmarkStart w:id="0" w:name="_Toc127971105"/>
      <w:r>
        <w:t>Measurement, Reporting, and Verification (MRV) Protocol for OAE Carbon Removals by Planetary Technologies: V2.0</w:t>
      </w:r>
      <w:bookmarkEnd w:id="0"/>
    </w:p>
    <w:p w14:paraId="00000002" w14:textId="77777777" w:rsidR="003B3384" w:rsidRDefault="003B3384">
      <w:pPr>
        <w:rPr>
          <w:b/>
          <w:sz w:val="28"/>
          <w:szCs w:val="28"/>
          <w:u w:val="single"/>
        </w:rPr>
      </w:pPr>
    </w:p>
    <w:p w14:paraId="00000003" w14:textId="77777777" w:rsidR="003B3384" w:rsidRDefault="00297AA7">
      <w:pPr>
        <w:jc w:val="center"/>
      </w:pPr>
      <w:r>
        <w:t>Will Burt, Greg Rau, Yuanyuan Xu, Steve Rackley, Omar Sadoon, Mike Kelland</w:t>
      </w:r>
    </w:p>
    <w:p w14:paraId="00000004" w14:textId="77777777" w:rsidR="003B3384" w:rsidRDefault="00297AA7">
      <w:pPr>
        <w:jc w:val="center"/>
      </w:pPr>
      <w:r>
        <w:t>Planetary Technologies, Inc</w:t>
      </w:r>
    </w:p>
    <w:p w14:paraId="00000005" w14:textId="7E0ED465" w:rsidR="003B3384" w:rsidRDefault="00297AA7">
      <w:pPr>
        <w:jc w:val="center"/>
      </w:pPr>
      <w:r>
        <w:t>August 12, 2022, revised to Feb</w:t>
      </w:r>
      <w:r w:rsidR="006A6A32" w:rsidRPr="00212CC4">
        <w:t>ruary</w:t>
      </w:r>
      <w:r w:rsidRPr="00212CC4">
        <w:t xml:space="preserve"> </w:t>
      </w:r>
      <w:r w:rsidR="00184928" w:rsidRPr="00212CC4">
        <w:t>23</w:t>
      </w:r>
      <w:r>
        <w:t>, 2023</w:t>
      </w:r>
    </w:p>
    <w:p w14:paraId="4566F6E2" w14:textId="77777777" w:rsidR="0093013E" w:rsidRPr="0093013E" w:rsidRDefault="0093013E" w:rsidP="0093013E"/>
    <w:p w14:paraId="00000007" w14:textId="1A7433E3" w:rsidR="003B3384" w:rsidRPr="00212CC4" w:rsidRDefault="00297AA7">
      <w:pPr>
        <w:jc w:val="center"/>
        <w:rPr>
          <w:b/>
          <w:sz w:val="28"/>
          <w:szCs w:val="28"/>
        </w:rPr>
      </w:pPr>
      <w:r w:rsidRPr="00212CC4">
        <w:rPr>
          <w:b/>
          <w:sz w:val="28"/>
          <w:szCs w:val="28"/>
        </w:rPr>
        <w:t>Table of Contents</w:t>
      </w:r>
      <w:r w:rsidR="00184928" w:rsidRPr="00212CC4">
        <w:rPr>
          <w:b/>
          <w:sz w:val="28"/>
          <w:szCs w:val="28"/>
        </w:rPr>
        <w:t xml:space="preserve"> </w:t>
      </w:r>
    </w:p>
    <w:sdt>
      <w:sdtPr>
        <w:rPr>
          <w:rFonts w:cs="Times New Roman"/>
          <w:b w:val="0"/>
          <w:bCs w:val="0"/>
          <w:caps w:val="0"/>
          <w:sz w:val="28"/>
          <w:szCs w:val="28"/>
        </w:rPr>
        <w:id w:val="1350683718"/>
        <w:docPartObj>
          <w:docPartGallery w:val="Table of Contents"/>
          <w:docPartUnique/>
        </w:docPartObj>
      </w:sdtPr>
      <w:sdtEndPr>
        <w:rPr>
          <w:sz w:val="24"/>
          <w:szCs w:val="24"/>
        </w:rPr>
      </w:sdtEndPr>
      <w:sdtContent>
        <w:p w14:paraId="0FCA26DE" w14:textId="7E08FA35" w:rsidR="00605721" w:rsidRPr="00212CC4" w:rsidRDefault="00297AA7">
          <w:pPr>
            <w:pStyle w:val="TOC1"/>
            <w:tabs>
              <w:tab w:val="right" w:pos="9016"/>
            </w:tabs>
            <w:rPr>
              <w:rFonts w:eastAsiaTheme="minorEastAsia" w:cs="Times New Roman"/>
              <w:b w:val="0"/>
              <w:bCs w:val="0"/>
              <w:caps w:val="0"/>
              <w:noProof/>
              <w:sz w:val="28"/>
              <w:szCs w:val="28"/>
              <w:lang w:eastAsia="zh-CN"/>
            </w:rPr>
          </w:pPr>
          <w:r w:rsidRPr="00212CC4">
            <w:rPr>
              <w:rFonts w:cs="Times New Roman"/>
              <w:sz w:val="28"/>
              <w:szCs w:val="28"/>
            </w:rPr>
            <w:fldChar w:fldCharType="begin"/>
          </w:r>
          <w:r w:rsidRPr="00212CC4">
            <w:rPr>
              <w:rFonts w:cs="Times New Roman"/>
              <w:sz w:val="28"/>
              <w:szCs w:val="28"/>
            </w:rPr>
            <w:instrText xml:space="preserve"> TOC \h \u \z </w:instrText>
          </w:r>
          <w:r w:rsidRPr="00212CC4">
            <w:rPr>
              <w:rFonts w:cs="Times New Roman"/>
              <w:sz w:val="28"/>
              <w:szCs w:val="28"/>
            </w:rPr>
            <w:fldChar w:fldCharType="separate"/>
          </w:r>
          <w:hyperlink w:anchor="_Toc127971105" w:history="1">
            <w:r w:rsidR="00605721" w:rsidRPr="00212CC4">
              <w:rPr>
                <w:rStyle w:val="Hyperlink"/>
                <w:rFonts w:cs="Times New Roman"/>
                <w:noProof/>
                <w:sz w:val="28"/>
                <w:szCs w:val="28"/>
              </w:rPr>
              <w:t>Measurement, Reporting, and Verification (MRV) Protocol for OAE Carbon Removals by Planetary Technologies: V2.0</w:t>
            </w:r>
            <w:r w:rsidR="00605721" w:rsidRPr="00212CC4">
              <w:rPr>
                <w:rFonts w:cs="Times New Roman"/>
                <w:noProof/>
                <w:webHidden/>
                <w:sz w:val="28"/>
                <w:szCs w:val="28"/>
              </w:rPr>
              <w:tab/>
            </w:r>
            <w:r w:rsidR="00605721" w:rsidRPr="00212CC4">
              <w:rPr>
                <w:rFonts w:cs="Times New Roman"/>
                <w:noProof/>
                <w:webHidden/>
                <w:sz w:val="28"/>
                <w:szCs w:val="28"/>
              </w:rPr>
              <w:fldChar w:fldCharType="begin"/>
            </w:r>
            <w:r w:rsidR="00605721" w:rsidRPr="00212CC4">
              <w:rPr>
                <w:rFonts w:cs="Times New Roman"/>
                <w:noProof/>
                <w:webHidden/>
                <w:sz w:val="28"/>
                <w:szCs w:val="28"/>
              </w:rPr>
              <w:instrText xml:space="preserve"> PAGEREF _Toc127971105 \h </w:instrText>
            </w:r>
            <w:r w:rsidR="00605721" w:rsidRPr="00212CC4">
              <w:rPr>
                <w:rFonts w:cs="Times New Roman"/>
                <w:noProof/>
                <w:webHidden/>
                <w:sz w:val="28"/>
                <w:szCs w:val="28"/>
              </w:rPr>
            </w:r>
            <w:r w:rsidR="00605721" w:rsidRPr="00212CC4">
              <w:rPr>
                <w:rFonts w:cs="Times New Roman"/>
                <w:noProof/>
                <w:webHidden/>
                <w:sz w:val="28"/>
                <w:szCs w:val="28"/>
              </w:rPr>
              <w:fldChar w:fldCharType="separate"/>
            </w:r>
            <w:r w:rsidR="00B02314">
              <w:rPr>
                <w:rFonts w:cs="Times New Roman"/>
                <w:noProof/>
                <w:webHidden/>
                <w:sz w:val="28"/>
                <w:szCs w:val="28"/>
              </w:rPr>
              <w:t>1</w:t>
            </w:r>
            <w:r w:rsidR="00605721" w:rsidRPr="00212CC4">
              <w:rPr>
                <w:rFonts w:cs="Times New Roman"/>
                <w:noProof/>
                <w:webHidden/>
                <w:sz w:val="28"/>
                <w:szCs w:val="28"/>
              </w:rPr>
              <w:fldChar w:fldCharType="end"/>
            </w:r>
          </w:hyperlink>
        </w:p>
        <w:p w14:paraId="5941BCE8" w14:textId="26F64A15" w:rsidR="00605721" w:rsidRPr="00212CC4" w:rsidRDefault="00000000">
          <w:pPr>
            <w:pStyle w:val="TOC2"/>
            <w:tabs>
              <w:tab w:val="left" w:pos="720"/>
              <w:tab w:val="right" w:pos="9016"/>
            </w:tabs>
            <w:rPr>
              <w:rFonts w:ascii="Times New Roman" w:eastAsiaTheme="minorEastAsia" w:hAnsi="Times New Roman" w:cs="Times New Roman"/>
              <w:smallCaps w:val="0"/>
              <w:noProof/>
              <w:sz w:val="28"/>
              <w:szCs w:val="28"/>
              <w:lang w:eastAsia="zh-CN"/>
            </w:rPr>
          </w:pPr>
          <w:hyperlink w:anchor="_Toc127971106" w:history="1">
            <w:r w:rsidR="00605721" w:rsidRPr="00212CC4">
              <w:rPr>
                <w:rStyle w:val="Hyperlink"/>
                <w:rFonts w:ascii="Times New Roman" w:hAnsi="Times New Roman" w:cs="Times New Roman"/>
                <w:noProof/>
                <w:sz w:val="28"/>
                <w:szCs w:val="28"/>
              </w:rPr>
              <w:t>1.</w:t>
            </w:r>
            <w:r w:rsidR="00605721" w:rsidRPr="00212CC4">
              <w:rPr>
                <w:rFonts w:ascii="Times New Roman" w:eastAsiaTheme="minorEastAsia" w:hAnsi="Times New Roman" w:cs="Times New Roman"/>
                <w:smallCaps w:val="0"/>
                <w:noProof/>
                <w:sz w:val="28"/>
                <w:szCs w:val="28"/>
                <w:lang w:eastAsia="zh-CN"/>
              </w:rPr>
              <w:tab/>
            </w:r>
            <w:r w:rsidR="00605721" w:rsidRPr="00212CC4">
              <w:rPr>
                <w:rStyle w:val="Hyperlink"/>
                <w:rFonts w:ascii="Times New Roman" w:hAnsi="Times New Roman" w:cs="Times New Roman"/>
                <w:noProof/>
                <w:sz w:val="28"/>
                <w:szCs w:val="28"/>
              </w:rPr>
              <w:t>Version History</w:t>
            </w:r>
            <w:r w:rsidR="00605721" w:rsidRPr="00212CC4">
              <w:rPr>
                <w:rFonts w:ascii="Times New Roman" w:hAnsi="Times New Roman" w:cs="Times New Roman"/>
                <w:noProof/>
                <w:webHidden/>
                <w:sz w:val="28"/>
                <w:szCs w:val="28"/>
              </w:rPr>
              <w:tab/>
            </w:r>
            <w:r w:rsidR="00605721" w:rsidRPr="00212CC4">
              <w:rPr>
                <w:rFonts w:ascii="Times New Roman" w:hAnsi="Times New Roman" w:cs="Times New Roman"/>
                <w:noProof/>
                <w:webHidden/>
                <w:sz w:val="28"/>
                <w:szCs w:val="28"/>
              </w:rPr>
              <w:fldChar w:fldCharType="begin"/>
            </w:r>
            <w:r w:rsidR="00605721" w:rsidRPr="00212CC4">
              <w:rPr>
                <w:rFonts w:ascii="Times New Roman" w:hAnsi="Times New Roman" w:cs="Times New Roman"/>
                <w:noProof/>
                <w:webHidden/>
                <w:sz w:val="28"/>
                <w:szCs w:val="28"/>
              </w:rPr>
              <w:instrText xml:space="preserve"> PAGEREF _Toc127971106 \h </w:instrText>
            </w:r>
            <w:r w:rsidR="00605721" w:rsidRPr="00212CC4">
              <w:rPr>
                <w:rFonts w:ascii="Times New Roman" w:hAnsi="Times New Roman" w:cs="Times New Roman"/>
                <w:noProof/>
                <w:webHidden/>
                <w:sz w:val="28"/>
                <w:szCs w:val="28"/>
              </w:rPr>
            </w:r>
            <w:r w:rsidR="00605721" w:rsidRPr="00212CC4">
              <w:rPr>
                <w:rFonts w:ascii="Times New Roman" w:hAnsi="Times New Roman" w:cs="Times New Roman"/>
                <w:noProof/>
                <w:webHidden/>
                <w:sz w:val="28"/>
                <w:szCs w:val="28"/>
              </w:rPr>
              <w:fldChar w:fldCharType="separate"/>
            </w:r>
            <w:r w:rsidR="00B02314">
              <w:rPr>
                <w:rFonts w:ascii="Times New Roman" w:hAnsi="Times New Roman" w:cs="Times New Roman"/>
                <w:noProof/>
                <w:webHidden/>
                <w:sz w:val="28"/>
                <w:szCs w:val="28"/>
              </w:rPr>
              <w:t>2</w:t>
            </w:r>
            <w:r w:rsidR="00605721" w:rsidRPr="00212CC4">
              <w:rPr>
                <w:rFonts w:ascii="Times New Roman" w:hAnsi="Times New Roman" w:cs="Times New Roman"/>
                <w:noProof/>
                <w:webHidden/>
                <w:sz w:val="28"/>
                <w:szCs w:val="28"/>
              </w:rPr>
              <w:fldChar w:fldCharType="end"/>
            </w:r>
          </w:hyperlink>
        </w:p>
        <w:p w14:paraId="49F8FB34" w14:textId="709CB7D8" w:rsidR="00605721" w:rsidRPr="00212CC4" w:rsidRDefault="00000000">
          <w:pPr>
            <w:pStyle w:val="TOC2"/>
            <w:tabs>
              <w:tab w:val="left" w:pos="720"/>
              <w:tab w:val="right" w:pos="9016"/>
            </w:tabs>
            <w:rPr>
              <w:rFonts w:ascii="Times New Roman" w:eastAsiaTheme="minorEastAsia" w:hAnsi="Times New Roman" w:cs="Times New Roman"/>
              <w:smallCaps w:val="0"/>
              <w:noProof/>
              <w:sz w:val="28"/>
              <w:szCs w:val="28"/>
              <w:lang w:eastAsia="zh-CN"/>
            </w:rPr>
          </w:pPr>
          <w:hyperlink w:anchor="_Toc127971107" w:history="1">
            <w:r w:rsidR="00605721" w:rsidRPr="00212CC4">
              <w:rPr>
                <w:rStyle w:val="Hyperlink"/>
                <w:rFonts w:ascii="Times New Roman" w:hAnsi="Times New Roman" w:cs="Times New Roman"/>
                <w:noProof/>
                <w:sz w:val="28"/>
                <w:szCs w:val="28"/>
              </w:rPr>
              <w:t>2.</w:t>
            </w:r>
            <w:r w:rsidR="00605721" w:rsidRPr="00212CC4">
              <w:rPr>
                <w:rFonts w:ascii="Times New Roman" w:eastAsiaTheme="minorEastAsia" w:hAnsi="Times New Roman" w:cs="Times New Roman"/>
                <w:smallCaps w:val="0"/>
                <w:noProof/>
                <w:sz w:val="28"/>
                <w:szCs w:val="28"/>
                <w:lang w:eastAsia="zh-CN"/>
              </w:rPr>
              <w:tab/>
            </w:r>
            <w:r w:rsidR="00605721" w:rsidRPr="00212CC4">
              <w:rPr>
                <w:rStyle w:val="Hyperlink"/>
                <w:rFonts w:ascii="Times New Roman" w:hAnsi="Times New Roman" w:cs="Times New Roman"/>
                <w:noProof/>
                <w:sz w:val="28"/>
                <w:szCs w:val="28"/>
              </w:rPr>
              <w:t>Background</w:t>
            </w:r>
            <w:r w:rsidR="00605721" w:rsidRPr="00212CC4">
              <w:rPr>
                <w:rFonts w:ascii="Times New Roman" w:hAnsi="Times New Roman" w:cs="Times New Roman"/>
                <w:noProof/>
                <w:webHidden/>
                <w:sz w:val="28"/>
                <w:szCs w:val="28"/>
              </w:rPr>
              <w:tab/>
            </w:r>
            <w:r w:rsidR="00605721" w:rsidRPr="00212CC4">
              <w:rPr>
                <w:rFonts w:ascii="Times New Roman" w:hAnsi="Times New Roman" w:cs="Times New Roman"/>
                <w:noProof/>
                <w:webHidden/>
                <w:sz w:val="28"/>
                <w:szCs w:val="28"/>
              </w:rPr>
              <w:fldChar w:fldCharType="begin"/>
            </w:r>
            <w:r w:rsidR="00605721" w:rsidRPr="00212CC4">
              <w:rPr>
                <w:rFonts w:ascii="Times New Roman" w:hAnsi="Times New Roman" w:cs="Times New Roman"/>
                <w:noProof/>
                <w:webHidden/>
                <w:sz w:val="28"/>
                <w:szCs w:val="28"/>
              </w:rPr>
              <w:instrText xml:space="preserve"> PAGEREF _Toc127971107 \h </w:instrText>
            </w:r>
            <w:r w:rsidR="00605721" w:rsidRPr="00212CC4">
              <w:rPr>
                <w:rFonts w:ascii="Times New Roman" w:hAnsi="Times New Roman" w:cs="Times New Roman"/>
                <w:noProof/>
                <w:webHidden/>
                <w:sz w:val="28"/>
                <w:szCs w:val="28"/>
              </w:rPr>
            </w:r>
            <w:r w:rsidR="00605721" w:rsidRPr="00212CC4">
              <w:rPr>
                <w:rFonts w:ascii="Times New Roman" w:hAnsi="Times New Roman" w:cs="Times New Roman"/>
                <w:noProof/>
                <w:webHidden/>
                <w:sz w:val="28"/>
                <w:szCs w:val="28"/>
              </w:rPr>
              <w:fldChar w:fldCharType="separate"/>
            </w:r>
            <w:r w:rsidR="00B02314">
              <w:rPr>
                <w:rFonts w:ascii="Times New Roman" w:hAnsi="Times New Roman" w:cs="Times New Roman"/>
                <w:noProof/>
                <w:webHidden/>
                <w:sz w:val="28"/>
                <w:szCs w:val="28"/>
              </w:rPr>
              <w:t>2</w:t>
            </w:r>
            <w:r w:rsidR="00605721" w:rsidRPr="00212CC4">
              <w:rPr>
                <w:rFonts w:ascii="Times New Roman" w:hAnsi="Times New Roman" w:cs="Times New Roman"/>
                <w:noProof/>
                <w:webHidden/>
                <w:sz w:val="28"/>
                <w:szCs w:val="28"/>
              </w:rPr>
              <w:fldChar w:fldCharType="end"/>
            </w:r>
          </w:hyperlink>
        </w:p>
        <w:p w14:paraId="6FC9DB72" w14:textId="59867DA7" w:rsidR="00605721" w:rsidRPr="00212CC4" w:rsidRDefault="00000000">
          <w:pPr>
            <w:pStyle w:val="TOC2"/>
            <w:tabs>
              <w:tab w:val="left" w:pos="720"/>
              <w:tab w:val="right" w:pos="9016"/>
            </w:tabs>
            <w:rPr>
              <w:rFonts w:ascii="Times New Roman" w:eastAsiaTheme="minorEastAsia" w:hAnsi="Times New Roman" w:cs="Times New Roman"/>
              <w:smallCaps w:val="0"/>
              <w:noProof/>
              <w:sz w:val="28"/>
              <w:szCs w:val="28"/>
              <w:lang w:eastAsia="zh-CN"/>
            </w:rPr>
          </w:pPr>
          <w:hyperlink w:anchor="_Toc127971108" w:history="1">
            <w:r w:rsidR="00605721" w:rsidRPr="00212CC4">
              <w:rPr>
                <w:rStyle w:val="Hyperlink"/>
                <w:rFonts w:ascii="Times New Roman" w:hAnsi="Times New Roman" w:cs="Times New Roman"/>
                <w:noProof/>
                <w:sz w:val="28"/>
                <w:szCs w:val="28"/>
              </w:rPr>
              <w:t>3.</w:t>
            </w:r>
            <w:r w:rsidR="00605721" w:rsidRPr="00212CC4">
              <w:rPr>
                <w:rFonts w:ascii="Times New Roman" w:eastAsiaTheme="minorEastAsia" w:hAnsi="Times New Roman" w:cs="Times New Roman"/>
                <w:smallCaps w:val="0"/>
                <w:noProof/>
                <w:sz w:val="28"/>
                <w:szCs w:val="28"/>
                <w:lang w:eastAsia="zh-CN"/>
              </w:rPr>
              <w:tab/>
            </w:r>
            <w:r w:rsidR="00605721" w:rsidRPr="00212CC4">
              <w:rPr>
                <w:rStyle w:val="Hyperlink"/>
                <w:rFonts w:ascii="Times New Roman" w:hAnsi="Times New Roman" w:cs="Times New Roman"/>
                <w:noProof/>
                <w:sz w:val="28"/>
                <w:szCs w:val="28"/>
              </w:rPr>
              <w:t>Calculation of Net CDR</w:t>
            </w:r>
            <w:r w:rsidR="00605721" w:rsidRPr="00212CC4">
              <w:rPr>
                <w:rFonts w:ascii="Times New Roman" w:hAnsi="Times New Roman" w:cs="Times New Roman"/>
                <w:noProof/>
                <w:webHidden/>
                <w:sz w:val="28"/>
                <w:szCs w:val="28"/>
              </w:rPr>
              <w:tab/>
            </w:r>
            <w:r w:rsidR="00605721" w:rsidRPr="00212CC4">
              <w:rPr>
                <w:rFonts w:ascii="Times New Roman" w:hAnsi="Times New Roman" w:cs="Times New Roman"/>
                <w:noProof/>
                <w:webHidden/>
                <w:sz w:val="28"/>
                <w:szCs w:val="28"/>
              </w:rPr>
              <w:fldChar w:fldCharType="begin"/>
            </w:r>
            <w:r w:rsidR="00605721" w:rsidRPr="00212CC4">
              <w:rPr>
                <w:rFonts w:ascii="Times New Roman" w:hAnsi="Times New Roman" w:cs="Times New Roman"/>
                <w:noProof/>
                <w:webHidden/>
                <w:sz w:val="28"/>
                <w:szCs w:val="28"/>
              </w:rPr>
              <w:instrText xml:space="preserve"> PAGEREF _Toc127971108 \h </w:instrText>
            </w:r>
            <w:r w:rsidR="00605721" w:rsidRPr="00212CC4">
              <w:rPr>
                <w:rFonts w:ascii="Times New Roman" w:hAnsi="Times New Roman" w:cs="Times New Roman"/>
                <w:noProof/>
                <w:webHidden/>
                <w:sz w:val="28"/>
                <w:szCs w:val="28"/>
              </w:rPr>
            </w:r>
            <w:r w:rsidR="00605721" w:rsidRPr="00212CC4">
              <w:rPr>
                <w:rFonts w:ascii="Times New Roman" w:hAnsi="Times New Roman" w:cs="Times New Roman"/>
                <w:noProof/>
                <w:webHidden/>
                <w:sz w:val="28"/>
                <w:szCs w:val="28"/>
              </w:rPr>
              <w:fldChar w:fldCharType="separate"/>
            </w:r>
            <w:r w:rsidR="00B02314">
              <w:rPr>
                <w:rFonts w:ascii="Times New Roman" w:hAnsi="Times New Roman" w:cs="Times New Roman"/>
                <w:noProof/>
                <w:webHidden/>
                <w:sz w:val="28"/>
                <w:szCs w:val="28"/>
              </w:rPr>
              <w:t>3</w:t>
            </w:r>
            <w:r w:rsidR="00605721" w:rsidRPr="00212CC4">
              <w:rPr>
                <w:rFonts w:ascii="Times New Roman" w:hAnsi="Times New Roman" w:cs="Times New Roman"/>
                <w:noProof/>
                <w:webHidden/>
                <w:sz w:val="28"/>
                <w:szCs w:val="28"/>
              </w:rPr>
              <w:fldChar w:fldCharType="end"/>
            </w:r>
          </w:hyperlink>
        </w:p>
        <w:p w14:paraId="2DF49149" w14:textId="70935FEB" w:rsidR="00605721" w:rsidRPr="00212CC4" w:rsidRDefault="00000000">
          <w:pPr>
            <w:pStyle w:val="TOC2"/>
            <w:tabs>
              <w:tab w:val="left" w:pos="720"/>
              <w:tab w:val="right" w:pos="9016"/>
            </w:tabs>
            <w:rPr>
              <w:rFonts w:ascii="Times New Roman" w:eastAsiaTheme="minorEastAsia" w:hAnsi="Times New Roman" w:cs="Times New Roman"/>
              <w:smallCaps w:val="0"/>
              <w:noProof/>
              <w:sz w:val="28"/>
              <w:szCs w:val="28"/>
              <w:lang w:eastAsia="zh-CN"/>
            </w:rPr>
          </w:pPr>
          <w:hyperlink w:anchor="_Toc127971109" w:history="1">
            <w:r w:rsidR="00605721" w:rsidRPr="00212CC4">
              <w:rPr>
                <w:rStyle w:val="Hyperlink"/>
                <w:rFonts w:ascii="Times New Roman" w:hAnsi="Times New Roman" w:cs="Times New Roman"/>
                <w:noProof/>
                <w:sz w:val="28"/>
                <w:szCs w:val="28"/>
              </w:rPr>
              <w:t>4.</w:t>
            </w:r>
            <w:r w:rsidR="00605721" w:rsidRPr="00212CC4">
              <w:rPr>
                <w:rFonts w:ascii="Times New Roman" w:eastAsiaTheme="minorEastAsia" w:hAnsi="Times New Roman" w:cs="Times New Roman"/>
                <w:smallCaps w:val="0"/>
                <w:noProof/>
                <w:sz w:val="28"/>
                <w:szCs w:val="28"/>
                <w:lang w:eastAsia="zh-CN"/>
              </w:rPr>
              <w:tab/>
            </w:r>
            <w:r w:rsidR="00605721" w:rsidRPr="00212CC4">
              <w:rPr>
                <w:rStyle w:val="Hyperlink"/>
                <w:rFonts w:ascii="Times New Roman" w:hAnsi="Times New Roman" w:cs="Times New Roman"/>
                <w:noProof/>
                <w:sz w:val="28"/>
                <w:szCs w:val="28"/>
              </w:rPr>
              <w:t>Emissions Accounting Methodology</w:t>
            </w:r>
            <w:r w:rsidR="00605721" w:rsidRPr="00212CC4">
              <w:rPr>
                <w:rFonts w:ascii="Times New Roman" w:hAnsi="Times New Roman" w:cs="Times New Roman"/>
                <w:noProof/>
                <w:webHidden/>
                <w:sz w:val="28"/>
                <w:szCs w:val="28"/>
              </w:rPr>
              <w:tab/>
            </w:r>
            <w:r w:rsidR="00605721" w:rsidRPr="00212CC4">
              <w:rPr>
                <w:rFonts w:ascii="Times New Roman" w:hAnsi="Times New Roman" w:cs="Times New Roman"/>
                <w:noProof/>
                <w:webHidden/>
                <w:sz w:val="28"/>
                <w:szCs w:val="28"/>
              </w:rPr>
              <w:fldChar w:fldCharType="begin"/>
            </w:r>
            <w:r w:rsidR="00605721" w:rsidRPr="00212CC4">
              <w:rPr>
                <w:rFonts w:ascii="Times New Roman" w:hAnsi="Times New Roman" w:cs="Times New Roman"/>
                <w:noProof/>
                <w:webHidden/>
                <w:sz w:val="28"/>
                <w:szCs w:val="28"/>
              </w:rPr>
              <w:instrText xml:space="preserve"> PAGEREF _Toc127971109 \h </w:instrText>
            </w:r>
            <w:r w:rsidR="00605721" w:rsidRPr="00212CC4">
              <w:rPr>
                <w:rFonts w:ascii="Times New Roman" w:hAnsi="Times New Roman" w:cs="Times New Roman"/>
                <w:noProof/>
                <w:webHidden/>
                <w:sz w:val="28"/>
                <w:szCs w:val="28"/>
              </w:rPr>
            </w:r>
            <w:r w:rsidR="00605721" w:rsidRPr="00212CC4">
              <w:rPr>
                <w:rFonts w:ascii="Times New Roman" w:hAnsi="Times New Roman" w:cs="Times New Roman"/>
                <w:noProof/>
                <w:webHidden/>
                <w:sz w:val="28"/>
                <w:szCs w:val="28"/>
              </w:rPr>
              <w:fldChar w:fldCharType="separate"/>
            </w:r>
            <w:r w:rsidR="00B02314">
              <w:rPr>
                <w:rFonts w:ascii="Times New Roman" w:hAnsi="Times New Roman" w:cs="Times New Roman"/>
                <w:noProof/>
                <w:webHidden/>
                <w:sz w:val="28"/>
                <w:szCs w:val="28"/>
              </w:rPr>
              <w:t>5</w:t>
            </w:r>
            <w:r w:rsidR="00605721" w:rsidRPr="00212CC4">
              <w:rPr>
                <w:rFonts w:ascii="Times New Roman" w:hAnsi="Times New Roman" w:cs="Times New Roman"/>
                <w:noProof/>
                <w:webHidden/>
                <w:sz w:val="28"/>
                <w:szCs w:val="28"/>
              </w:rPr>
              <w:fldChar w:fldCharType="end"/>
            </w:r>
          </w:hyperlink>
        </w:p>
        <w:p w14:paraId="1A767484" w14:textId="35FCC753" w:rsidR="00605721" w:rsidRPr="00212CC4" w:rsidRDefault="00000000" w:rsidP="000A5990">
          <w:pPr>
            <w:pStyle w:val="TOC4"/>
            <w:rPr>
              <w:rFonts w:eastAsiaTheme="minorEastAsia"/>
              <w:noProof/>
              <w:lang w:eastAsia="zh-CN"/>
            </w:rPr>
          </w:pPr>
          <w:hyperlink w:anchor="_Toc127971110" w:history="1">
            <w:r w:rsidR="00605721" w:rsidRPr="00212CC4">
              <w:rPr>
                <w:rStyle w:val="Hyperlink"/>
                <w:rFonts w:ascii="Times New Roman" w:hAnsi="Times New Roman" w:cs="Times New Roman"/>
                <w:noProof/>
                <w:sz w:val="28"/>
                <w:szCs w:val="28"/>
              </w:rPr>
              <w:t>System Boundary</w:t>
            </w:r>
            <w:r w:rsidR="00605721" w:rsidRPr="00212CC4">
              <w:rPr>
                <w:noProof/>
                <w:webHidden/>
              </w:rPr>
              <w:tab/>
            </w:r>
            <w:r w:rsidR="00605721" w:rsidRPr="00212CC4">
              <w:rPr>
                <w:noProof/>
                <w:webHidden/>
              </w:rPr>
              <w:fldChar w:fldCharType="begin"/>
            </w:r>
            <w:r w:rsidR="00605721" w:rsidRPr="00212CC4">
              <w:rPr>
                <w:noProof/>
                <w:webHidden/>
              </w:rPr>
              <w:instrText xml:space="preserve"> PAGEREF _Toc127971110 \h </w:instrText>
            </w:r>
            <w:r w:rsidR="00605721" w:rsidRPr="00212CC4">
              <w:rPr>
                <w:noProof/>
                <w:webHidden/>
              </w:rPr>
            </w:r>
            <w:r w:rsidR="00605721" w:rsidRPr="00212CC4">
              <w:rPr>
                <w:noProof/>
                <w:webHidden/>
              </w:rPr>
              <w:fldChar w:fldCharType="separate"/>
            </w:r>
            <w:r w:rsidR="00B02314">
              <w:rPr>
                <w:noProof/>
                <w:webHidden/>
              </w:rPr>
              <w:t>5</w:t>
            </w:r>
            <w:r w:rsidR="00605721" w:rsidRPr="00212CC4">
              <w:rPr>
                <w:noProof/>
                <w:webHidden/>
              </w:rPr>
              <w:fldChar w:fldCharType="end"/>
            </w:r>
          </w:hyperlink>
        </w:p>
        <w:p w14:paraId="4D609B02" w14:textId="2EE0CE5A" w:rsidR="00605721" w:rsidRPr="00212CC4" w:rsidRDefault="00000000" w:rsidP="000A5990">
          <w:pPr>
            <w:pStyle w:val="TOC4"/>
            <w:rPr>
              <w:rFonts w:eastAsiaTheme="minorEastAsia"/>
              <w:noProof/>
              <w:lang w:eastAsia="zh-CN"/>
            </w:rPr>
          </w:pPr>
          <w:hyperlink w:anchor="_Toc127971111" w:history="1">
            <w:r w:rsidR="00605721" w:rsidRPr="00212CC4">
              <w:rPr>
                <w:rStyle w:val="Hyperlink"/>
                <w:rFonts w:ascii="Times New Roman" w:hAnsi="Times New Roman" w:cs="Times New Roman"/>
                <w:noProof/>
                <w:sz w:val="28"/>
                <w:szCs w:val="28"/>
              </w:rPr>
              <w:t>CO</w:t>
            </w:r>
            <w:r w:rsidR="00605721" w:rsidRPr="00212CC4">
              <w:rPr>
                <w:rStyle w:val="Hyperlink"/>
                <w:rFonts w:ascii="Times New Roman" w:hAnsi="Times New Roman" w:cs="Times New Roman"/>
                <w:noProof/>
                <w:sz w:val="28"/>
                <w:szCs w:val="28"/>
                <w:vertAlign w:val="subscript"/>
              </w:rPr>
              <w:t>2</w:t>
            </w:r>
            <w:r w:rsidR="00605721" w:rsidRPr="00212CC4">
              <w:rPr>
                <w:rStyle w:val="Hyperlink"/>
                <w:rFonts w:ascii="Times New Roman" w:hAnsi="Times New Roman" w:cs="Times New Roman"/>
                <w:noProof/>
                <w:sz w:val="28"/>
                <w:szCs w:val="28"/>
              </w:rPr>
              <w:t xml:space="preserve"> Equivalents</w:t>
            </w:r>
            <w:r w:rsidR="00605721" w:rsidRPr="00212CC4">
              <w:rPr>
                <w:noProof/>
                <w:webHidden/>
              </w:rPr>
              <w:tab/>
            </w:r>
            <w:r w:rsidR="00605721" w:rsidRPr="00212CC4">
              <w:rPr>
                <w:noProof/>
                <w:webHidden/>
              </w:rPr>
              <w:fldChar w:fldCharType="begin"/>
            </w:r>
            <w:r w:rsidR="00605721" w:rsidRPr="00212CC4">
              <w:rPr>
                <w:noProof/>
                <w:webHidden/>
              </w:rPr>
              <w:instrText xml:space="preserve"> PAGEREF _Toc127971111 \h </w:instrText>
            </w:r>
            <w:r w:rsidR="00605721" w:rsidRPr="00212CC4">
              <w:rPr>
                <w:noProof/>
                <w:webHidden/>
              </w:rPr>
            </w:r>
            <w:r w:rsidR="00605721" w:rsidRPr="00212CC4">
              <w:rPr>
                <w:noProof/>
                <w:webHidden/>
              </w:rPr>
              <w:fldChar w:fldCharType="separate"/>
            </w:r>
            <w:r w:rsidR="00B02314">
              <w:rPr>
                <w:noProof/>
                <w:webHidden/>
              </w:rPr>
              <w:t>6</w:t>
            </w:r>
            <w:r w:rsidR="00605721" w:rsidRPr="00212CC4">
              <w:rPr>
                <w:noProof/>
                <w:webHidden/>
              </w:rPr>
              <w:fldChar w:fldCharType="end"/>
            </w:r>
          </w:hyperlink>
        </w:p>
        <w:p w14:paraId="0E277844" w14:textId="54E33761" w:rsidR="00605721" w:rsidRPr="00212CC4" w:rsidRDefault="00000000" w:rsidP="000A5990">
          <w:pPr>
            <w:pStyle w:val="TOC4"/>
            <w:rPr>
              <w:rFonts w:eastAsiaTheme="minorEastAsia"/>
              <w:noProof/>
              <w:lang w:eastAsia="zh-CN"/>
            </w:rPr>
          </w:pPr>
          <w:hyperlink w:anchor="_Toc127971112" w:history="1">
            <w:r w:rsidR="00605721" w:rsidRPr="00212CC4">
              <w:rPr>
                <w:rStyle w:val="Hyperlink"/>
                <w:rFonts w:ascii="Times New Roman" w:hAnsi="Times New Roman" w:cs="Times New Roman"/>
                <w:noProof/>
                <w:sz w:val="28"/>
                <w:szCs w:val="28"/>
              </w:rPr>
              <w:t>Project Emissions</w:t>
            </w:r>
            <w:r w:rsidR="00605721" w:rsidRPr="00212CC4">
              <w:rPr>
                <w:noProof/>
                <w:webHidden/>
              </w:rPr>
              <w:tab/>
            </w:r>
            <w:r w:rsidR="00605721" w:rsidRPr="00212CC4">
              <w:rPr>
                <w:noProof/>
                <w:webHidden/>
              </w:rPr>
              <w:fldChar w:fldCharType="begin"/>
            </w:r>
            <w:r w:rsidR="00605721" w:rsidRPr="00212CC4">
              <w:rPr>
                <w:noProof/>
                <w:webHidden/>
              </w:rPr>
              <w:instrText xml:space="preserve"> PAGEREF _Toc127971112 \h </w:instrText>
            </w:r>
            <w:r w:rsidR="00605721" w:rsidRPr="00212CC4">
              <w:rPr>
                <w:noProof/>
                <w:webHidden/>
              </w:rPr>
            </w:r>
            <w:r w:rsidR="00605721" w:rsidRPr="00212CC4">
              <w:rPr>
                <w:noProof/>
                <w:webHidden/>
              </w:rPr>
              <w:fldChar w:fldCharType="separate"/>
            </w:r>
            <w:r w:rsidR="00B02314">
              <w:rPr>
                <w:noProof/>
                <w:webHidden/>
              </w:rPr>
              <w:t>6</w:t>
            </w:r>
            <w:r w:rsidR="00605721" w:rsidRPr="00212CC4">
              <w:rPr>
                <w:noProof/>
                <w:webHidden/>
              </w:rPr>
              <w:fldChar w:fldCharType="end"/>
            </w:r>
          </w:hyperlink>
        </w:p>
        <w:p w14:paraId="1B3D88B2" w14:textId="77287AB2" w:rsidR="00605721" w:rsidRPr="00212CC4" w:rsidRDefault="00000000" w:rsidP="000A5990">
          <w:pPr>
            <w:pStyle w:val="TOC4"/>
            <w:rPr>
              <w:rFonts w:eastAsiaTheme="minorEastAsia"/>
              <w:noProof/>
              <w:lang w:eastAsia="zh-CN"/>
            </w:rPr>
          </w:pPr>
          <w:hyperlink w:anchor="_Toc127971113" w:history="1">
            <w:r w:rsidR="00605721" w:rsidRPr="00212CC4">
              <w:rPr>
                <w:rStyle w:val="Hyperlink"/>
                <w:rFonts w:ascii="Times New Roman" w:hAnsi="Times New Roman" w:cs="Times New Roman"/>
                <w:noProof/>
                <w:sz w:val="28"/>
                <w:szCs w:val="28"/>
              </w:rPr>
              <w:t>Alkaline Feedstock Embedded Emissions</w:t>
            </w:r>
            <w:r w:rsidR="00605721" w:rsidRPr="00212CC4">
              <w:rPr>
                <w:noProof/>
                <w:webHidden/>
              </w:rPr>
              <w:tab/>
            </w:r>
            <w:r w:rsidR="00605721" w:rsidRPr="00212CC4">
              <w:rPr>
                <w:noProof/>
                <w:webHidden/>
              </w:rPr>
              <w:fldChar w:fldCharType="begin"/>
            </w:r>
            <w:r w:rsidR="00605721" w:rsidRPr="00212CC4">
              <w:rPr>
                <w:noProof/>
                <w:webHidden/>
              </w:rPr>
              <w:instrText xml:space="preserve"> PAGEREF _Toc127971113 \h </w:instrText>
            </w:r>
            <w:r w:rsidR="00605721" w:rsidRPr="00212CC4">
              <w:rPr>
                <w:noProof/>
                <w:webHidden/>
              </w:rPr>
            </w:r>
            <w:r w:rsidR="00605721" w:rsidRPr="00212CC4">
              <w:rPr>
                <w:noProof/>
                <w:webHidden/>
              </w:rPr>
              <w:fldChar w:fldCharType="separate"/>
            </w:r>
            <w:r w:rsidR="00B02314">
              <w:rPr>
                <w:noProof/>
                <w:webHidden/>
              </w:rPr>
              <w:t>6</w:t>
            </w:r>
            <w:r w:rsidR="00605721" w:rsidRPr="00212CC4">
              <w:rPr>
                <w:noProof/>
                <w:webHidden/>
              </w:rPr>
              <w:fldChar w:fldCharType="end"/>
            </w:r>
          </w:hyperlink>
        </w:p>
        <w:p w14:paraId="22B1CCCA" w14:textId="51D42996" w:rsidR="00605721" w:rsidRPr="00212CC4" w:rsidRDefault="00000000">
          <w:pPr>
            <w:pStyle w:val="TOC2"/>
            <w:tabs>
              <w:tab w:val="left" w:pos="720"/>
              <w:tab w:val="right" w:pos="9016"/>
            </w:tabs>
            <w:rPr>
              <w:rFonts w:ascii="Times New Roman" w:eastAsiaTheme="minorEastAsia" w:hAnsi="Times New Roman" w:cs="Times New Roman"/>
              <w:smallCaps w:val="0"/>
              <w:noProof/>
              <w:sz w:val="28"/>
              <w:szCs w:val="28"/>
              <w:lang w:eastAsia="zh-CN"/>
            </w:rPr>
          </w:pPr>
          <w:hyperlink w:anchor="_Toc127971114" w:history="1">
            <w:r w:rsidR="00605721" w:rsidRPr="00212CC4">
              <w:rPr>
                <w:rStyle w:val="Hyperlink"/>
                <w:rFonts w:ascii="Times New Roman" w:hAnsi="Times New Roman" w:cs="Times New Roman"/>
                <w:noProof/>
                <w:sz w:val="28"/>
                <w:szCs w:val="28"/>
              </w:rPr>
              <w:t>5.</w:t>
            </w:r>
            <w:r w:rsidR="00605721" w:rsidRPr="00212CC4">
              <w:rPr>
                <w:rFonts w:ascii="Times New Roman" w:eastAsiaTheme="minorEastAsia" w:hAnsi="Times New Roman" w:cs="Times New Roman"/>
                <w:smallCaps w:val="0"/>
                <w:noProof/>
                <w:sz w:val="28"/>
                <w:szCs w:val="28"/>
                <w:lang w:eastAsia="zh-CN"/>
              </w:rPr>
              <w:tab/>
            </w:r>
            <w:r w:rsidR="00605721" w:rsidRPr="00212CC4">
              <w:rPr>
                <w:rStyle w:val="Hyperlink"/>
                <w:rFonts w:ascii="Times New Roman" w:hAnsi="Times New Roman" w:cs="Times New Roman"/>
                <w:noProof/>
                <w:sz w:val="28"/>
                <w:szCs w:val="28"/>
              </w:rPr>
              <w:t>Dosing, Measurement and Monitoring</w:t>
            </w:r>
            <w:r w:rsidR="00605721" w:rsidRPr="00212CC4">
              <w:rPr>
                <w:rFonts w:ascii="Times New Roman" w:hAnsi="Times New Roman" w:cs="Times New Roman"/>
                <w:noProof/>
                <w:webHidden/>
                <w:sz w:val="28"/>
                <w:szCs w:val="28"/>
              </w:rPr>
              <w:tab/>
            </w:r>
            <w:r w:rsidR="00605721" w:rsidRPr="00212CC4">
              <w:rPr>
                <w:rFonts w:ascii="Times New Roman" w:hAnsi="Times New Roman" w:cs="Times New Roman"/>
                <w:noProof/>
                <w:webHidden/>
                <w:sz w:val="28"/>
                <w:szCs w:val="28"/>
              </w:rPr>
              <w:fldChar w:fldCharType="begin"/>
            </w:r>
            <w:r w:rsidR="00605721" w:rsidRPr="00212CC4">
              <w:rPr>
                <w:rFonts w:ascii="Times New Roman" w:hAnsi="Times New Roman" w:cs="Times New Roman"/>
                <w:noProof/>
                <w:webHidden/>
                <w:sz w:val="28"/>
                <w:szCs w:val="28"/>
              </w:rPr>
              <w:instrText xml:space="preserve"> PAGEREF _Toc127971114 \h </w:instrText>
            </w:r>
            <w:r w:rsidR="00605721" w:rsidRPr="00212CC4">
              <w:rPr>
                <w:rFonts w:ascii="Times New Roman" w:hAnsi="Times New Roman" w:cs="Times New Roman"/>
                <w:noProof/>
                <w:webHidden/>
                <w:sz w:val="28"/>
                <w:szCs w:val="28"/>
              </w:rPr>
            </w:r>
            <w:r w:rsidR="00605721" w:rsidRPr="00212CC4">
              <w:rPr>
                <w:rFonts w:ascii="Times New Roman" w:hAnsi="Times New Roman" w:cs="Times New Roman"/>
                <w:noProof/>
                <w:webHidden/>
                <w:sz w:val="28"/>
                <w:szCs w:val="28"/>
              </w:rPr>
              <w:fldChar w:fldCharType="separate"/>
            </w:r>
            <w:r w:rsidR="00B02314">
              <w:rPr>
                <w:rFonts w:ascii="Times New Roman" w:hAnsi="Times New Roman" w:cs="Times New Roman"/>
                <w:noProof/>
                <w:webHidden/>
                <w:sz w:val="28"/>
                <w:szCs w:val="28"/>
              </w:rPr>
              <w:t>7</w:t>
            </w:r>
            <w:r w:rsidR="00605721" w:rsidRPr="00212CC4">
              <w:rPr>
                <w:rFonts w:ascii="Times New Roman" w:hAnsi="Times New Roman" w:cs="Times New Roman"/>
                <w:noProof/>
                <w:webHidden/>
                <w:sz w:val="28"/>
                <w:szCs w:val="28"/>
              </w:rPr>
              <w:fldChar w:fldCharType="end"/>
            </w:r>
          </w:hyperlink>
        </w:p>
        <w:p w14:paraId="1A0A16BC" w14:textId="2EFB1B25" w:rsidR="00605721" w:rsidRPr="00212CC4" w:rsidRDefault="00000000">
          <w:pPr>
            <w:pStyle w:val="TOC2"/>
            <w:tabs>
              <w:tab w:val="left" w:pos="720"/>
              <w:tab w:val="right" w:pos="9016"/>
            </w:tabs>
            <w:rPr>
              <w:rFonts w:ascii="Times New Roman" w:eastAsiaTheme="minorEastAsia" w:hAnsi="Times New Roman" w:cs="Times New Roman"/>
              <w:smallCaps w:val="0"/>
              <w:noProof/>
              <w:sz w:val="28"/>
              <w:szCs w:val="28"/>
              <w:lang w:eastAsia="zh-CN"/>
            </w:rPr>
          </w:pPr>
          <w:hyperlink w:anchor="_Toc127971115" w:history="1">
            <w:r w:rsidR="00605721" w:rsidRPr="00212CC4">
              <w:rPr>
                <w:rStyle w:val="Hyperlink"/>
                <w:rFonts w:ascii="Times New Roman" w:hAnsi="Times New Roman" w:cs="Times New Roman"/>
                <w:noProof/>
                <w:sz w:val="28"/>
                <w:szCs w:val="28"/>
              </w:rPr>
              <w:t>6.</w:t>
            </w:r>
            <w:r w:rsidR="00605721" w:rsidRPr="00212CC4">
              <w:rPr>
                <w:rFonts w:ascii="Times New Roman" w:eastAsiaTheme="minorEastAsia" w:hAnsi="Times New Roman" w:cs="Times New Roman"/>
                <w:smallCaps w:val="0"/>
                <w:noProof/>
                <w:sz w:val="28"/>
                <w:szCs w:val="28"/>
                <w:lang w:eastAsia="zh-CN"/>
              </w:rPr>
              <w:tab/>
            </w:r>
            <w:r w:rsidR="00605721" w:rsidRPr="00212CC4">
              <w:rPr>
                <w:rStyle w:val="Hyperlink"/>
                <w:rFonts w:ascii="Times New Roman" w:hAnsi="Times New Roman" w:cs="Times New Roman"/>
                <w:noProof/>
                <w:sz w:val="28"/>
                <w:szCs w:val="28"/>
              </w:rPr>
              <w:t>Additional Considerations</w:t>
            </w:r>
            <w:r w:rsidR="00605721" w:rsidRPr="00212CC4">
              <w:rPr>
                <w:rFonts w:ascii="Times New Roman" w:hAnsi="Times New Roman" w:cs="Times New Roman"/>
                <w:noProof/>
                <w:webHidden/>
                <w:sz w:val="28"/>
                <w:szCs w:val="28"/>
              </w:rPr>
              <w:tab/>
            </w:r>
            <w:r w:rsidR="00605721" w:rsidRPr="00212CC4">
              <w:rPr>
                <w:rFonts w:ascii="Times New Roman" w:hAnsi="Times New Roman" w:cs="Times New Roman"/>
                <w:noProof/>
                <w:webHidden/>
                <w:sz w:val="28"/>
                <w:szCs w:val="28"/>
              </w:rPr>
              <w:fldChar w:fldCharType="begin"/>
            </w:r>
            <w:r w:rsidR="00605721" w:rsidRPr="00212CC4">
              <w:rPr>
                <w:rFonts w:ascii="Times New Roman" w:hAnsi="Times New Roman" w:cs="Times New Roman"/>
                <w:noProof/>
                <w:webHidden/>
                <w:sz w:val="28"/>
                <w:szCs w:val="28"/>
              </w:rPr>
              <w:instrText xml:space="preserve"> PAGEREF _Toc127971115 \h </w:instrText>
            </w:r>
            <w:r w:rsidR="00605721" w:rsidRPr="00212CC4">
              <w:rPr>
                <w:rFonts w:ascii="Times New Roman" w:hAnsi="Times New Roman" w:cs="Times New Roman"/>
                <w:noProof/>
                <w:webHidden/>
                <w:sz w:val="28"/>
                <w:szCs w:val="28"/>
              </w:rPr>
            </w:r>
            <w:r w:rsidR="00605721" w:rsidRPr="00212CC4">
              <w:rPr>
                <w:rFonts w:ascii="Times New Roman" w:hAnsi="Times New Roman" w:cs="Times New Roman"/>
                <w:noProof/>
                <w:webHidden/>
                <w:sz w:val="28"/>
                <w:szCs w:val="28"/>
              </w:rPr>
              <w:fldChar w:fldCharType="separate"/>
            </w:r>
            <w:r w:rsidR="00B02314">
              <w:rPr>
                <w:rFonts w:ascii="Times New Roman" w:hAnsi="Times New Roman" w:cs="Times New Roman"/>
                <w:noProof/>
                <w:webHidden/>
                <w:sz w:val="28"/>
                <w:szCs w:val="28"/>
              </w:rPr>
              <w:t>8</w:t>
            </w:r>
            <w:r w:rsidR="00605721" w:rsidRPr="00212CC4">
              <w:rPr>
                <w:rFonts w:ascii="Times New Roman" w:hAnsi="Times New Roman" w:cs="Times New Roman"/>
                <w:noProof/>
                <w:webHidden/>
                <w:sz w:val="28"/>
                <w:szCs w:val="28"/>
              </w:rPr>
              <w:fldChar w:fldCharType="end"/>
            </w:r>
          </w:hyperlink>
        </w:p>
        <w:p w14:paraId="1016EA5D" w14:textId="16E41F71" w:rsidR="00605721" w:rsidRPr="00212CC4" w:rsidRDefault="00000000" w:rsidP="000A5990">
          <w:pPr>
            <w:pStyle w:val="TOC4"/>
            <w:rPr>
              <w:rFonts w:eastAsiaTheme="minorEastAsia"/>
              <w:noProof/>
              <w:lang w:eastAsia="zh-CN"/>
            </w:rPr>
          </w:pPr>
          <w:hyperlink w:anchor="_Toc127971116" w:history="1">
            <w:r w:rsidR="00605721" w:rsidRPr="00212CC4">
              <w:rPr>
                <w:rStyle w:val="Hyperlink"/>
                <w:rFonts w:ascii="Times New Roman" w:hAnsi="Times New Roman" w:cs="Times New Roman"/>
                <w:noProof/>
                <w:sz w:val="28"/>
                <w:szCs w:val="28"/>
              </w:rPr>
              <w:t>Consideration and Monitoring of Ecological Safety</w:t>
            </w:r>
            <w:r w:rsidR="00605721" w:rsidRPr="00212CC4">
              <w:rPr>
                <w:noProof/>
                <w:webHidden/>
              </w:rPr>
              <w:tab/>
            </w:r>
            <w:r w:rsidR="00605721" w:rsidRPr="00212CC4">
              <w:rPr>
                <w:noProof/>
                <w:webHidden/>
              </w:rPr>
              <w:fldChar w:fldCharType="begin"/>
            </w:r>
            <w:r w:rsidR="00605721" w:rsidRPr="00212CC4">
              <w:rPr>
                <w:noProof/>
                <w:webHidden/>
              </w:rPr>
              <w:instrText xml:space="preserve"> PAGEREF _Toc127971116 \h </w:instrText>
            </w:r>
            <w:r w:rsidR="00605721" w:rsidRPr="00212CC4">
              <w:rPr>
                <w:noProof/>
                <w:webHidden/>
              </w:rPr>
            </w:r>
            <w:r w:rsidR="00605721" w:rsidRPr="00212CC4">
              <w:rPr>
                <w:noProof/>
                <w:webHidden/>
              </w:rPr>
              <w:fldChar w:fldCharType="separate"/>
            </w:r>
            <w:r w:rsidR="00B02314">
              <w:rPr>
                <w:noProof/>
                <w:webHidden/>
              </w:rPr>
              <w:t>8</w:t>
            </w:r>
            <w:r w:rsidR="00605721" w:rsidRPr="00212CC4">
              <w:rPr>
                <w:noProof/>
                <w:webHidden/>
              </w:rPr>
              <w:fldChar w:fldCharType="end"/>
            </w:r>
          </w:hyperlink>
        </w:p>
        <w:p w14:paraId="5A29B0E0" w14:textId="63C7517C" w:rsidR="00605721" w:rsidRPr="00212CC4" w:rsidRDefault="00000000" w:rsidP="000A5990">
          <w:pPr>
            <w:pStyle w:val="TOC4"/>
            <w:rPr>
              <w:rFonts w:eastAsiaTheme="minorEastAsia"/>
              <w:noProof/>
              <w:lang w:eastAsia="zh-CN"/>
            </w:rPr>
          </w:pPr>
          <w:hyperlink w:anchor="_Toc127971117" w:history="1">
            <w:r w:rsidR="00605721" w:rsidRPr="00212CC4">
              <w:rPr>
                <w:rStyle w:val="Hyperlink"/>
                <w:rFonts w:ascii="Times New Roman" w:hAnsi="Times New Roman" w:cs="Times New Roman"/>
                <w:noProof/>
                <w:sz w:val="28"/>
                <w:szCs w:val="28"/>
              </w:rPr>
              <w:t>Considering Benefits: Restorative Impact</w:t>
            </w:r>
            <w:r w:rsidR="00605721" w:rsidRPr="00212CC4">
              <w:rPr>
                <w:noProof/>
                <w:webHidden/>
              </w:rPr>
              <w:tab/>
            </w:r>
            <w:r w:rsidR="00605721" w:rsidRPr="00212CC4">
              <w:rPr>
                <w:noProof/>
                <w:webHidden/>
              </w:rPr>
              <w:fldChar w:fldCharType="begin"/>
            </w:r>
            <w:r w:rsidR="00605721" w:rsidRPr="00212CC4">
              <w:rPr>
                <w:noProof/>
                <w:webHidden/>
              </w:rPr>
              <w:instrText xml:space="preserve"> PAGEREF _Toc127971117 \h </w:instrText>
            </w:r>
            <w:r w:rsidR="00605721" w:rsidRPr="00212CC4">
              <w:rPr>
                <w:noProof/>
                <w:webHidden/>
              </w:rPr>
            </w:r>
            <w:r w:rsidR="00605721" w:rsidRPr="00212CC4">
              <w:rPr>
                <w:noProof/>
                <w:webHidden/>
              </w:rPr>
              <w:fldChar w:fldCharType="separate"/>
            </w:r>
            <w:r w:rsidR="00B02314">
              <w:rPr>
                <w:noProof/>
                <w:webHidden/>
              </w:rPr>
              <w:t>9</w:t>
            </w:r>
            <w:r w:rsidR="00605721" w:rsidRPr="00212CC4">
              <w:rPr>
                <w:noProof/>
                <w:webHidden/>
              </w:rPr>
              <w:fldChar w:fldCharType="end"/>
            </w:r>
          </w:hyperlink>
        </w:p>
        <w:p w14:paraId="0C7358F8" w14:textId="0EA95496" w:rsidR="00605721" w:rsidRPr="00212CC4" w:rsidRDefault="00000000">
          <w:pPr>
            <w:pStyle w:val="TOC2"/>
            <w:tabs>
              <w:tab w:val="left" w:pos="720"/>
              <w:tab w:val="right" w:pos="9016"/>
            </w:tabs>
            <w:rPr>
              <w:rFonts w:ascii="Times New Roman" w:eastAsiaTheme="minorEastAsia" w:hAnsi="Times New Roman" w:cs="Times New Roman"/>
              <w:smallCaps w:val="0"/>
              <w:noProof/>
              <w:sz w:val="28"/>
              <w:szCs w:val="28"/>
              <w:lang w:eastAsia="zh-CN"/>
            </w:rPr>
          </w:pPr>
          <w:hyperlink w:anchor="_Toc127971118" w:history="1">
            <w:r w:rsidR="00605721" w:rsidRPr="00212CC4">
              <w:rPr>
                <w:rStyle w:val="Hyperlink"/>
                <w:rFonts w:ascii="Times New Roman" w:hAnsi="Times New Roman" w:cs="Times New Roman"/>
                <w:noProof/>
                <w:sz w:val="28"/>
                <w:szCs w:val="28"/>
              </w:rPr>
              <w:t>7.</w:t>
            </w:r>
            <w:r w:rsidR="00605721" w:rsidRPr="00212CC4">
              <w:rPr>
                <w:rFonts w:ascii="Times New Roman" w:eastAsiaTheme="minorEastAsia" w:hAnsi="Times New Roman" w:cs="Times New Roman"/>
                <w:smallCaps w:val="0"/>
                <w:noProof/>
                <w:sz w:val="28"/>
                <w:szCs w:val="28"/>
                <w:lang w:eastAsia="zh-CN"/>
              </w:rPr>
              <w:tab/>
            </w:r>
            <w:r w:rsidR="00605721" w:rsidRPr="00212CC4">
              <w:rPr>
                <w:rStyle w:val="Hyperlink"/>
                <w:rFonts w:ascii="Times New Roman" w:hAnsi="Times New Roman" w:cs="Times New Roman"/>
                <w:noProof/>
                <w:sz w:val="28"/>
                <w:szCs w:val="28"/>
              </w:rPr>
              <w:t>Permanence of Sequestration</w:t>
            </w:r>
            <w:r w:rsidR="00605721" w:rsidRPr="00212CC4">
              <w:rPr>
                <w:rFonts w:ascii="Times New Roman" w:hAnsi="Times New Roman" w:cs="Times New Roman"/>
                <w:noProof/>
                <w:webHidden/>
                <w:sz w:val="28"/>
                <w:szCs w:val="28"/>
              </w:rPr>
              <w:tab/>
            </w:r>
            <w:r w:rsidR="00605721" w:rsidRPr="00212CC4">
              <w:rPr>
                <w:rFonts w:ascii="Times New Roman" w:hAnsi="Times New Roman" w:cs="Times New Roman"/>
                <w:noProof/>
                <w:webHidden/>
                <w:sz w:val="28"/>
                <w:szCs w:val="28"/>
              </w:rPr>
              <w:fldChar w:fldCharType="begin"/>
            </w:r>
            <w:r w:rsidR="00605721" w:rsidRPr="00212CC4">
              <w:rPr>
                <w:rFonts w:ascii="Times New Roman" w:hAnsi="Times New Roman" w:cs="Times New Roman"/>
                <w:noProof/>
                <w:webHidden/>
                <w:sz w:val="28"/>
                <w:szCs w:val="28"/>
              </w:rPr>
              <w:instrText xml:space="preserve"> PAGEREF _Toc127971118 \h </w:instrText>
            </w:r>
            <w:r w:rsidR="00605721" w:rsidRPr="00212CC4">
              <w:rPr>
                <w:rFonts w:ascii="Times New Roman" w:hAnsi="Times New Roman" w:cs="Times New Roman"/>
                <w:noProof/>
                <w:webHidden/>
                <w:sz w:val="28"/>
                <w:szCs w:val="28"/>
              </w:rPr>
            </w:r>
            <w:r w:rsidR="00605721" w:rsidRPr="00212CC4">
              <w:rPr>
                <w:rFonts w:ascii="Times New Roman" w:hAnsi="Times New Roman" w:cs="Times New Roman"/>
                <w:noProof/>
                <w:webHidden/>
                <w:sz w:val="28"/>
                <w:szCs w:val="28"/>
              </w:rPr>
              <w:fldChar w:fldCharType="separate"/>
            </w:r>
            <w:r w:rsidR="00B02314">
              <w:rPr>
                <w:rFonts w:ascii="Times New Roman" w:hAnsi="Times New Roman" w:cs="Times New Roman"/>
                <w:noProof/>
                <w:webHidden/>
                <w:sz w:val="28"/>
                <w:szCs w:val="28"/>
              </w:rPr>
              <w:t>9</w:t>
            </w:r>
            <w:r w:rsidR="00605721" w:rsidRPr="00212CC4">
              <w:rPr>
                <w:rFonts w:ascii="Times New Roman" w:hAnsi="Times New Roman" w:cs="Times New Roman"/>
                <w:noProof/>
                <w:webHidden/>
                <w:sz w:val="28"/>
                <w:szCs w:val="28"/>
              </w:rPr>
              <w:fldChar w:fldCharType="end"/>
            </w:r>
          </w:hyperlink>
        </w:p>
        <w:p w14:paraId="4028E288" w14:textId="6302B8BA" w:rsidR="00605721" w:rsidRPr="00212CC4" w:rsidRDefault="00000000">
          <w:pPr>
            <w:pStyle w:val="TOC2"/>
            <w:tabs>
              <w:tab w:val="left" w:pos="720"/>
              <w:tab w:val="right" w:pos="9016"/>
            </w:tabs>
            <w:rPr>
              <w:rFonts w:ascii="Times New Roman" w:eastAsiaTheme="minorEastAsia" w:hAnsi="Times New Roman" w:cs="Times New Roman"/>
              <w:smallCaps w:val="0"/>
              <w:noProof/>
              <w:sz w:val="28"/>
              <w:szCs w:val="28"/>
              <w:lang w:eastAsia="zh-CN"/>
            </w:rPr>
          </w:pPr>
          <w:hyperlink w:anchor="_Toc127971119" w:history="1">
            <w:r w:rsidR="00605721" w:rsidRPr="00212CC4">
              <w:rPr>
                <w:rStyle w:val="Hyperlink"/>
                <w:rFonts w:ascii="Times New Roman" w:hAnsi="Times New Roman" w:cs="Times New Roman"/>
                <w:noProof/>
                <w:sz w:val="28"/>
                <w:szCs w:val="28"/>
              </w:rPr>
              <w:t>8.</w:t>
            </w:r>
            <w:r w:rsidR="00605721" w:rsidRPr="00212CC4">
              <w:rPr>
                <w:rFonts w:ascii="Times New Roman" w:eastAsiaTheme="minorEastAsia" w:hAnsi="Times New Roman" w:cs="Times New Roman"/>
                <w:smallCaps w:val="0"/>
                <w:noProof/>
                <w:sz w:val="28"/>
                <w:szCs w:val="28"/>
                <w:lang w:eastAsia="zh-CN"/>
              </w:rPr>
              <w:tab/>
            </w:r>
            <w:r w:rsidR="00605721" w:rsidRPr="00212CC4">
              <w:rPr>
                <w:rStyle w:val="Hyperlink"/>
                <w:rFonts w:ascii="Times New Roman" w:hAnsi="Times New Roman" w:cs="Times New Roman"/>
                <w:noProof/>
                <w:sz w:val="28"/>
                <w:szCs w:val="28"/>
              </w:rPr>
              <w:t>Reversal Risks</w:t>
            </w:r>
            <w:r w:rsidR="00605721" w:rsidRPr="00212CC4">
              <w:rPr>
                <w:rFonts w:ascii="Times New Roman" w:hAnsi="Times New Roman" w:cs="Times New Roman"/>
                <w:noProof/>
                <w:webHidden/>
                <w:sz w:val="28"/>
                <w:szCs w:val="28"/>
              </w:rPr>
              <w:tab/>
            </w:r>
            <w:r w:rsidR="00605721" w:rsidRPr="00212CC4">
              <w:rPr>
                <w:rFonts w:ascii="Times New Roman" w:hAnsi="Times New Roman" w:cs="Times New Roman"/>
                <w:noProof/>
                <w:webHidden/>
                <w:sz w:val="28"/>
                <w:szCs w:val="28"/>
              </w:rPr>
              <w:fldChar w:fldCharType="begin"/>
            </w:r>
            <w:r w:rsidR="00605721" w:rsidRPr="00212CC4">
              <w:rPr>
                <w:rFonts w:ascii="Times New Roman" w:hAnsi="Times New Roman" w:cs="Times New Roman"/>
                <w:noProof/>
                <w:webHidden/>
                <w:sz w:val="28"/>
                <w:szCs w:val="28"/>
              </w:rPr>
              <w:instrText xml:space="preserve"> PAGEREF _Toc127971119 \h </w:instrText>
            </w:r>
            <w:r w:rsidR="00605721" w:rsidRPr="00212CC4">
              <w:rPr>
                <w:rFonts w:ascii="Times New Roman" w:hAnsi="Times New Roman" w:cs="Times New Roman"/>
                <w:noProof/>
                <w:webHidden/>
                <w:sz w:val="28"/>
                <w:szCs w:val="28"/>
              </w:rPr>
            </w:r>
            <w:r w:rsidR="00605721" w:rsidRPr="00212CC4">
              <w:rPr>
                <w:rFonts w:ascii="Times New Roman" w:hAnsi="Times New Roman" w:cs="Times New Roman"/>
                <w:noProof/>
                <w:webHidden/>
                <w:sz w:val="28"/>
                <w:szCs w:val="28"/>
              </w:rPr>
              <w:fldChar w:fldCharType="separate"/>
            </w:r>
            <w:r w:rsidR="00B02314">
              <w:rPr>
                <w:rFonts w:ascii="Times New Roman" w:hAnsi="Times New Roman" w:cs="Times New Roman"/>
                <w:noProof/>
                <w:webHidden/>
                <w:sz w:val="28"/>
                <w:szCs w:val="28"/>
              </w:rPr>
              <w:t>10</w:t>
            </w:r>
            <w:r w:rsidR="00605721" w:rsidRPr="00212CC4">
              <w:rPr>
                <w:rFonts w:ascii="Times New Roman" w:hAnsi="Times New Roman" w:cs="Times New Roman"/>
                <w:noProof/>
                <w:webHidden/>
                <w:sz w:val="28"/>
                <w:szCs w:val="28"/>
              </w:rPr>
              <w:fldChar w:fldCharType="end"/>
            </w:r>
          </w:hyperlink>
        </w:p>
        <w:p w14:paraId="7B875D56" w14:textId="0F2F4E97" w:rsidR="00605721" w:rsidRPr="00212CC4" w:rsidRDefault="00000000">
          <w:pPr>
            <w:pStyle w:val="TOC2"/>
            <w:tabs>
              <w:tab w:val="left" w:pos="720"/>
              <w:tab w:val="right" w:pos="9016"/>
            </w:tabs>
            <w:rPr>
              <w:rFonts w:ascii="Times New Roman" w:eastAsiaTheme="minorEastAsia" w:hAnsi="Times New Roman" w:cs="Times New Roman"/>
              <w:smallCaps w:val="0"/>
              <w:noProof/>
              <w:sz w:val="28"/>
              <w:szCs w:val="28"/>
              <w:lang w:eastAsia="zh-CN"/>
            </w:rPr>
          </w:pPr>
          <w:hyperlink w:anchor="_Toc127971120" w:history="1">
            <w:r w:rsidR="00605721" w:rsidRPr="00212CC4">
              <w:rPr>
                <w:rStyle w:val="Hyperlink"/>
                <w:rFonts w:ascii="Times New Roman" w:hAnsi="Times New Roman" w:cs="Times New Roman"/>
                <w:noProof/>
                <w:sz w:val="28"/>
                <w:szCs w:val="28"/>
              </w:rPr>
              <w:t>9.</w:t>
            </w:r>
            <w:r w:rsidR="00605721" w:rsidRPr="00212CC4">
              <w:rPr>
                <w:rFonts w:ascii="Times New Roman" w:eastAsiaTheme="minorEastAsia" w:hAnsi="Times New Roman" w:cs="Times New Roman"/>
                <w:smallCaps w:val="0"/>
                <w:noProof/>
                <w:sz w:val="28"/>
                <w:szCs w:val="28"/>
                <w:lang w:eastAsia="zh-CN"/>
              </w:rPr>
              <w:tab/>
            </w:r>
            <w:r w:rsidR="00605721" w:rsidRPr="00212CC4">
              <w:rPr>
                <w:rStyle w:val="Hyperlink"/>
                <w:rFonts w:ascii="Times New Roman" w:hAnsi="Times New Roman" w:cs="Times New Roman"/>
                <w:noProof/>
                <w:sz w:val="28"/>
                <w:szCs w:val="28"/>
              </w:rPr>
              <w:t>Reporting and Verification</w:t>
            </w:r>
            <w:r w:rsidR="00605721" w:rsidRPr="00212CC4">
              <w:rPr>
                <w:rFonts w:ascii="Times New Roman" w:hAnsi="Times New Roman" w:cs="Times New Roman"/>
                <w:noProof/>
                <w:webHidden/>
                <w:sz w:val="28"/>
                <w:szCs w:val="28"/>
              </w:rPr>
              <w:tab/>
            </w:r>
            <w:r w:rsidR="00605721" w:rsidRPr="00212CC4">
              <w:rPr>
                <w:rFonts w:ascii="Times New Roman" w:hAnsi="Times New Roman" w:cs="Times New Roman"/>
                <w:noProof/>
                <w:webHidden/>
                <w:sz w:val="28"/>
                <w:szCs w:val="28"/>
              </w:rPr>
              <w:fldChar w:fldCharType="begin"/>
            </w:r>
            <w:r w:rsidR="00605721" w:rsidRPr="00212CC4">
              <w:rPr>
                <w:rFonts w:ascii="Times New Roman" w:hAnsi="Times New Roman" w:cs="Times New Roman"/>
                <w:noProof/>
                <w:webHidden/>
                <w:sz w:val="28"/>
                <w:szCs w:val="28"/>
              </w:rPr>
              <w:instrText xml:space="preserve"> PAGEREF _Toc127971120 \h </w:instrText>
            </w:r>
            <w:r w:rsidR="00605721" w:rsidRPr="00212CC4">
              <w:rPr>
                <w:rFonts w:ascii="Times New Roman" w:hAnsi="Times New Roman" w:cs="Times New Roman"/>
                <w:noProof/>
                <w:webHidden/>
                <w:sz w:val="28"/>
                <w:szCs w:val="28"/>
              </w:rPr>
            </w:r>
            <w:r w:rsidR="00605721" w:rsidRPr="00212CC4">
              <w:rPr>
                <w:rFonts w:ascii="Times New Roman" w:hAnsi="Times New Roman" w:cs="Times New Roman"/>
                <w:noProof/>
                <w:webHidden/>
                <w:sz w:val="28"/>
                <w:szCs w:val="28"/>
              </w:rPr>
              <w:fldChar w:fldCharType="separate"/>
            </w:r>
            <w:r w:rsidR="00B02314">
              <w:rPr>
                <w:rFonts w:ascii="Times New Roman" w:hAnsi="Times New Roman" w:cs="Times New Roman"/>
                <w:noProof/>
                <w:webHidden/>
                <w:sz w:val="28"/>
                <w:szCs w:val="28"/>
              </w:rPr>
              <w:t>10</w:t>
            </w:r>
            <w:r w:rsidR="00605721" w:rsidRPr="00212CC4">
              <w:rPr>
                <w:rFonts w:ascii="Times New Roman" w:hAnsi="Times New Roman" w:cs="Times New Roman"/>
                <w:noProof/>
                <w:webHidden/>
                <w:sz w:val="28"/>
                <w:szCs w:val="28"/>
              </w:rPr>
              <w:fldChar w:fldCharType="end"/>
            </w:r>
          </w:hyperlink>
        </w:p>
        <w:p w14:paraId="13149598" w14:textId="41913FFF" w:rsidR="00605721" w:rsidRPr="00212CC4" w:rsidRDefault="00000000">
          <w:pPr>
            <w:pStyle w:val="TOC2"/>
            <w:tabs>
              <w:tab w:val="left" w:pos="960"/>
              <w:tab w:val="right" w:pos="9016"/>
            </w:tabs>
            <w:rPr>
              <w:rFonts w:ascii="Times New Roman" w:eastAsiaTheme="minorEastAsia" w:hAnsi="Times New Roman" w:cs="Times New Roman"/>
              <w:smallCaps w:val="0"/>
              <w:noProof/>
              <w:sz w:val="28"/>
              <w:szCs w:val="28"/>
              <w:lang w:eastAsia="zh-CN"/>
            </w:rPr>
          </w:pPr>
          <w:hyperlink w:anchor="_Toc127971121" w:history="1">
            <w:r w:rsidR="00605721" w:rsidRPr="00212CC4">
              <w:rPr>
                <w:rStyle w:val="Hyperlink"/>
                <w:rFonts w:ascii="Times New Roman" w:hAnsi="Times New Roman" w:cs="Times New Roman"/>
                <w:noProof/>
                <w:sz w:val="28"/>
                <w:szCs w:val="28"/>
              </w:rPr>
              <w:t>10.</w:t>
            </w:r>
            <w:r w:rsidR="00605721" w:rsidRPr="00212CC4">
              <w:rPr>
                <w:rFonts w:ascii="Times New Roman" w:eastAsiaTheme="minorEastAsia" w:hAnsi="Times New Roman" w:cs="Times New Roman"/>
                <w:smallCaps w:val="0"/>
                <w:noProof/>
                <w:sz w:val="28"/>
                <w:szCs w:val="28"/>
                <w:lang w:eastAsia="zh-CN"/>
              </w:rPr>
              <w:tab/>
            </w:r>
            <w:r w:rsidR="00605721" w:rsidRPr="00212CC4">
              <w:rPr>
                <w:rStyle w:val="Hyperlink"/>
                <w:rFonts w:ascii="Times New Roman" w:hAnsi="Times New Roman" w:cs="Times New Roman"/>
                <w:noProof/>
                <w:sz w:val="28"/>
                <w:szCs w:val="28"/>
              </w:rPr>
              <w:t>References</w:t>
            </w:r>
            <w:r w:rsidR="00605721" w:rsidRPr="00212CC4">
              <w:rPr>
                <w:rFonts w:ascii="Times New Roman" w:hAnsi="Times New Roman" w:cs="Times New Roman"/>
                <w:noProof/>
                <w:webHidden/>
                <w:sz w:val="28"/>
                <w:szCs w:val="28"/>
              </w:rPr>
              <w:tab/>
            </w:r>
            <w:r w:rsidR="00605721" w:rsidRPr="00212CC4">
              <w:rPr>
                <w:rFonts w:ascii="Times New Roman" w:hAnsi="Times New Roman" w:cs="Times New Roman"/>
                <w:noProof/>
                <w:webHidden/>
                <w:sz w:val="28"/>
                <w:szCs w:val="28"/>
              </w:rPr>
              <w:fldChar w:fldCharType="begin"/>
            </w:r>
            <w:r w:rsidR="00605721" w:rsidRPr="00212CC4">
              <w:rPr>
                <w:rFonts w:ascii="Times New Roman" w:hAnsi="Times New Roman" w:cs="Times New Roman"/>
                <w:noProof/>
                <w:webHidden/>
                <w:sz w:val="28"/>
                <w:szCs w:val="28"/>
              </w:rPr>
              <w:instrText xml:space="preserve"> PAGEREF _Toc127971121 \h </w:instrText>
            </w:r>
            <w:r w:rsidR="00605721" w:rsidRPr="00212CC4">
              <w:rPr>
                <w:rFonts w:ascii="Times New Roman" w:hAnsi="Times New Roman" w:cs="Times New Roman"/>
                <w:noProof/>
                <w:webHidden/>
                <w:sz w:val="28"/>
                <w:szCs w:val="28"/>
              </w:rPr>
            </w:r>
            <w:r w:rsidR="00605721" w:rsidRPr="00212CC4">
              <w:rPr>
                <w:rFonts w:ascii="Times New Roman" w:hAnsi="Times New Roman" w:cs="Times New Roman"/>
                <w:noProof/>
                <w:webHidden/>
                <w:sz w:val="28"/>
                <w:szCs w:val="28"/>
              </w:rPr>
              <w:fldChar w:fldCharType="separate"/>
            </w:r>
            <w:r w:rsidR="00B02314">
              <w:rPr>
                <w:rFonts w:ascii="Times New Roman" w:hAnsi="Times New Roman" w:cs="Times New Roman"/>
                <w:noProof/>
                <w:webHidden/>
                <w:sz w:val="28"/>
                <w:szCs w:val="28"/>
              </w:rPr>
              <w:t>11</w:t>
            </w:r>
            <w:r w:rsidR="00605721" w:rsidRPr="00212CC4">
              <w:rPr>
                <w:rFonts w:ascii="Times New Roman" w:hAnsi="Times New Roman" w:cs="Times New Roman"/>
                <w:noProof/>
                <w:webHidden/>
                <w:sz w:val="28"/>
                <w:szCs w:val="28"/>
              </w:rPr>
              <w:fldChar w:fldCharType="end"/>
            </w:r>
          </w:hyperlink>
        </w:p>
        <w:p w14:paraId="17BBAAAF" w14:textId="49F81137" w:rsidR="00605721" w:rsidRPr="00212CC4" w:rsidRDefault="00000000">
          <w:pPr>
            <w:pStyle w:val="TOC3"/>
            <w:tabs>
              <w:tab w:val="right" w:pos="9016"/>
            </w:tabs>
            <w:rPr>
              <w:rFonts w:ascii="Times New Roman" w:eastAsiaTheme="minorEastAsia" w:hAnsi="Times New Roman" w:cs="Times New Roman"/>
              <w:i w:val="0"/>
              <w:iCs w:val="0"/>
              <w:noProof/>
              <w:sz w:val="28"/>
              <w:szCs w:val="28"/>
              <w:lang w:eastAsia="zh-CN"/>
            </w:rPr>
          </w:pPr>
          <w:hyperlink w:anchor="_Toc127971122" w:history="1">
            <w:r w:rsidR="00605721" w:rsidRPr="00212CC4">
              <w:rPr>
                <w:rStyle w:val="Hyperlink"/>
                <w:rFonts w:ascii="Times New Roman" w:hAnsi="Times New Roman" w:cs="Times New Roman"/>
                <w:noProof/>
                <w:sz w:val="28"/>
                <w:szCs w:val="28"/>
              </w:rPr>
              <w:t>Appendix 1: Detailed discussion of factors affecting CDR</w:t>
            </w:r>
            <w:r w:rsidR="00605721" w:rsidRPr="00212CC4">
              <w:rPr>
                <w:rStyle w:val="Hyperlink"/>
                <w:rFonts w:ascii="Times New Roman" w:hAnsi="Times New Roman" w:cs="Times New Roman"/>
                <w:noProof/>
                <w:sz w:val="28"/>
                <w:szCs w:val="28"/>
                <w:vertAlign w:val="subscript"/>
              </w:rPr>
              <w:t>net</w:t>
            </w:r>
            <w:r w:rsidR="00605721" w:rsidRPr="00212CC4">
              <w:rPr>
                <w:rFonts w:ascii="Times New Roman" w:hAnsi="Times New Roman" w:cs="Times New Roman"/>
                <w:noProof/>
                <w:webHidden/>
                <w:sz w:val="28"/>
                <w:szCs w:val="28"/>
              </w:rPr>
              <w:tab/>
            </w:r>
            <w:r w:rsidR="00605721" w:rsidRPr="00212CC4">
              <w:rPr>
                <w:rFonts w:ascii="Times New Roman" w:hAnsi="Times New Roman" w:cs="Times New Roman"/>
                <w:noProof/>
                <w:webHidden/>
                <w:sz w:val="28"/>
                <w:szCs w:val="28"/>
              </w:rPr>
              <w:fldChar w:fldCharType="begin"/>
            </w:r>
            <w:r w:rsidR="00605721" w:rsidRPr="00212CC4">
              <w:rPr>
                <w:rFonts w:ascii="Times New Roman" w:hAnsi="Times New Roman" w:cs="Times New Roman"/>
                <w:noProof/>
                <w:webHidden/>
                <w:sz w:val="28"/>
                <w:szCs w:val="28"/>
              </w:rPr>
              <w:instrText xml:space="preserve"> PAGEREF _Toc127971122 \h </w:instrText>
            </w:r>
            <w:r w:rsidR="00605721" w:rsidRPr="00212CC4">
              <w:rPr>
                <w:rFonts w:ascii="Times New Roman" w:hAnsi="Times New Roman" w:cs="Times New Roman"/>
                <w:noProof/>
                <w:webHidden/>
                <w:sz w:val="28"/>
                <w:szCs w:val="28"/>
              </w:rPr>
            </w:r>
            <w:r w:rsidR="00605721" w:rsidRPr="00212CC4">
              <w:rPr>
                <w:rFonts w:ascii="Times New Roman" w:hAnsi="Times New Roman" w:cs="Times New Roman"/>
                <w:noProof/>
                <w:webHidden/>
                <w:sz w:val="28"/>
                <w:szCs w:val="28"/>
              </w:rPr>
              <w:fldChar w:fldCharType="separate"/>
            </w:r>
            <w:r w:rsidR="00B02314">
              <w:rPr>
                <w:rFonts w:ascii="Times New Roman" w:hAnsi="Times New Roman" w:cs="Times New Roman"/>
                <w:noProof/>
                <w:webHidden/>
                <w:sz w:val="28"/>
                <w:szCs w:val="28"/>
              </w:rPr>
              <w:t>13</w:t>
            </w:r>
            <w:r w:rsidR="00605721" w:rsidRPr="00212CC4">
              <w:rPr>
                <w:rFonts w:ascii="Times New Roman" w:hAnsi="Times New Roman" w:cs="Times New Roman"/>
                <w:noProof/>
                <w:webHidden/>
                <w:sz w:val="28"/>
                <w:szCs w:val="28"/>
              </w:rPr>
              <w:fldChar w:fldCharType="end"/>
            </w:r>
          </w:hyperlink>
        </w:p>
        <w:p w14:paraId="158FB379" w14:textId="79E585B8" w:rsidR="00605721" w:rsidRPr="00212CC4" w:rsidRDefault="00000000" w:rsidP="000A5990">
          <w:pPr>
            <w:pStyle w:val="TOC4"/>
            <w:rPr>
              <w:rFonts w:eastAsiaTheme="minorEastAsia"/>
              <w:noProof/>
              <w:lang w:eastAsia="zh-CN"/>
            </w:rPr>
          </w:pPr>
          <w:hyperlink w:anchor="_Toc127971123" w:history="1">
            <w:r w:rsidR="00605721" w:rsidRPr="00212CC4">
              <w:rPr>
                <w:rStyle w:val="Hyperlink"/>
                <w:rFonts w:ascii="Times New Roman" w:hAnsi="Times New Roman" w:cs="Times New Roman"/>
                <w:noProof/>
                <w:sz w:val="28"/>
                <w:szCs w:val="28"/>
              </w:rPr>
              <w:t>CDR</w:t>
            </w:r>
            <w:r w:rsidR="00605721" w:rsidRPr="00212CC4">
              <w:rPr>
                <w:rStyle w:val="Hyperlink"/>
                <w:rFonts w:ascii="Times New Roman" w:hAnsi="Times New Roman" w:cs="Times New Roman"/>
                <w:noProof/>
                <w:sz w:val="28"/>
                <w:szCs w:val="28"/>
                <w:vertAlign w:val="subscript"/>
              </w:rPr>
              <w:t>gross</w:t>
            </w:r>
            <w:r w:rsidR="00605721" w:rsidRPr="00212CC4">
              <w:rPr>
                <w:noProof/>
                <w:webHidden/>
              </w:rPr>
              <w:tab/>
            </w:r>
            <w:r w:rsidR="00605721" w:rsidRPr="00212CC4">
              <w:rPr>
                <w:noProof/>
                <w:webHidden/>
              </w:rPr>
              <w:fldChar w:fldCharType="begin"/>
            </w:r>
            <w:r w:rsidR="00605721" w:rsidRPr="00212CC4">
              <w:rPr>
                <w:noProof/>
                <w:webHidden/>
              </w:rPr>
              <w:instrText xml:space="preserve"> PAGEREF _Toc127971123 \h </w:instrText>
            </w:r>
            <w:r w:rsidR="00605721" w:rsidRPr="00212CC4">
              <w:rPr>
                <w:noProof/>
                <w:webHidden/>
              </w:rPr>
            </w:r>
            <w:r w:rsidR="00605721" w:rsidRPr="00212CC4">
              <w:rPr>
                <w:noProof/>
                <w:webHidden/>
              </w:rPr>
              <w:fldChar w:fldCharType="separate"/>
            </w:r>
            <w:r w:rsidR="00B02314">
              <w:rPr>
                <w:noProof/>
                <w:webHidden/>
              </w:rPr>
              <w:t>13</w:t>
            </w:r>
            <w:r w:rsidR="00605721" w:rsidRPr="00212CC4">
              <w:rPr>
                <w:noProof/>
                <w:webHidden/>
              </w:rPr>
              <w:fldChar w:fldCharType="end"/>
            </w:r>
          </w:hyperlink>
        </w:p>
        <w:p w14:paraId="44E4EFC4" w14:textId="5EC2D79C" w:rsidR="00605721" w:rsidRPr="00212CC4" w:rsidRDefault="00000000" w:rsidP="000A5990">
          <w:pPr>
            <w:pStyle w:val="TOC4"/>
            <w:rPr>
              <w:rFonts w:eastAsiaTheme="minorEastAsia"/>
              <w:noProof/>
              <w:lang w:eastAsia="zh-CN"/>
            </w:rPr>
          </w:pPr>
          <w:hyperlink w:anchor="_Toc127971124" w:history="1">
            <w:r w:rsidR="00605721" w:rsidRPr="00212CC4">
              <w:rPr>
                <w:rStyle w:val="Hyperlink"/>
                <w:rFonts w:ascii="Times New Roman" w:hAnsi="Times New Roman" w:cs="Times New Roman"/>
                <w:noProof/>
                <w:sz w:val="28"/>
                <w:szCs w:val="28"/>
              </w:rPr>
              <w:t>CDR</w:t>
            </w:r>
            <w:r w:rsidR="00605721" w:rsidRPr="00212CC4">
              <w:rPr>
                <w:rStyle w:val="Hyperlink"/>
                <w:rFonts w:ascii="Times New Roman" w:hAnsi="Times New Roman" w:cs="Times New Roman"/>
                <w:noProof/>
                <w:sz w:val="28"/>
                <w:szCs w:val="28"/>
                <w:vertAlign w:val="subscript"/>
              </w:rPr>
              <w:t>ww</w:t>
            </w:r>
            <w:r w:rsidR="00605721" w:rsidRPr="00212CC4">
              <w:rPr>
                <w:noProof/>
                <w:webHidden/>
              </w:rPr>
              <w:tab/>
            </w:r>
            <w:r w:rsidR="00605721" w:rsidRPr="00212CC4">
              <w:rPr>
                <w:noProof/>
                <w:webHidden/>
              </w:rPr>
              <w:fldChar w:fldCharType="begin"/>
            </w:r>
            <w:r w:rsidR="00605721" w:rsidRPr="00212CC4">
              <w:rPr>
                <w:noProof/>
                <w:webHidden/>
              </w:rPr>
              <w:instrText xml:space="preserve"> PAGEREF _Toc127971124 \h </w:instrText>
            </w:r>
            <w:r w:rsidR="00605721" w:rsidRPr="00212CC4">
              <w:rPr>
                <w:noProof/>
                <w:webHidden/>
              </w:rPr>
            </w:r>
            <w:r w:rsidR="00605721" w:rsidRPr="00212CC4">
              <w:rPr>
                <w:noProof/>
                <w:webHidden/>
              </w:rPr>
              <w:fldChar w:fldCharType="separate"/>
            </w:r>
            <w:r w:rsidR="00B02314">
              <w:rPr>
                <w:noProof/>
                <w:webHidden/>
              </w:rPr>
              <w:t>14</w:t>
            </w:r>
            <w:r w:rsidR="00605721" w:rsidRPr="00212CC4">
              <w:rPr>
                <w:noProof/>
                <w:webHidden/>
              </w:rPr>
              <w:fldChar w:fldCharType="end"/>
            </w:r>
          </w:hyperlink>
        </w:p>
        <w:p w14:paraId="1DCEFEA2" w14:textId="02787ECC" w:rsidR="00605721" w:rsidRPr="00212CC4" w:rsidRDefault="00000000" w:rsidP="000A5990">
          <w:pPr>
            <w:pStyle w:val="TOC4"/>
            <w:rPr>
              <w:rFonts w:eastAsiaTheme="minorEastAsia"/>
              <w:noProof/>
              <w:lang w:eastAsia="zh-CN"/>
            </w:rPr>
          </w:pPr>
          <w:hyperlink w:anchor="_Toc127971125" w:history="1">
            <w:r w:rsidR="00605721" w:rsidRPr="00212CC4">
              <w:rPr>
                <w:rStyle w:val="Hyperlink"/>
                <w:rFonts w:ascii="Times New Roman" w:hAnsi="Times New Roman" w:cs="Times New Roman"/>
                <w:noProof/>
                <w:sz w:val="28"/>
                <w:szCs w:val="28"/>
              </w:rPr>
              <w:t>CDR</w:t>
            </w:r>
            <w:r w:rsidR="00605721" w:rsidRPr="00212CC4">
              <w:rPr>
                <w:rStyle w:val="Hyperlink"/>
                <w:rFonts w:ascii="Times New Roman" w:hAnsi="Times New Roman" w:cs="Times New Roman"/>
                <w:noProof/>
                <w:sz w:val="28"/>
                <w:szCs w:val="28"/>
                <w:vertAlign w:val="subscript"/>
              </w:rPr>
              <w:t>eff</w:t>
            </w:r>
            <w:r w:rsidR="00605721" w:rsidRPr="00212CC4">
              <w:rPr>
                <w:noProof/>
                <w:webHidden/>
              </w:rPr>
              <w:tab/>
            </w:r>
            <w:r w:rsidR="00605721" w:rsidRPr="00212CC4">
              <w:rPr>
                <w:noProof/>
                <w:webHidden/>
              </w:rPr>
              <w:fldChar w:fldCharType="begin"/>
            </w:r>
            <w:r w:rsidR="00605721" w:rsidRPr="00212CC4">
              <w:rPr>
                <w:noProof/>
                <w:webHidden/>
              </w:rPr>
              <w:instrText xml:space="preserve"> PAGEREF _Toc127971125 \h </w:instrText>
            </w:r>
            <w:r w:rsidR="00605721" w:rsidRPr="00212CC4">
              <w:rPr>
                <w:noProof/>
                <w:webHidden/>
              </w:rPr>
            </w:r>
            <w:r w:rsidR="00605721" w:rsidRPr="00212CC4">
              <w:rPr>
                <w:noProof/>
                <w:webHidden/>
              </w:rPr>
              <w:fldChar w:fldCharType="separate"/>
            </w:r>
            <w:r w:rsidR="00B02314">
              <w:rPr>
                <w:noProof/>
                <w:webHidden/>
              </w:rPr>
              <w:t>16</w:t>
            </w:r>
            <w:r w:rsidR="00605721" w:rsidRPr="00212CC4">
              <w:rPr>
                <w:noProof/>
                <w:webHidden/>
              </w:rPr>
              <w:fldChar w:fldCharType="end"/>
            </w:r>
          </w:hyperlink>
        </w:p>
        <w:p w14:paraId="290B4AD2" w14:textId="4EA040D2" w:rsidR="00605721" w:rsidRPr="00212CC4" w:rsidRDefault="00000000" w:rsidP="000A5990">
          <w:pPr>
            <w:pStyle w:val="TOC4"/>
            <w:rPr>
              <w:rFonts w:eastAsiaTheme="minorEastAsia"/>
              <w:noProof/>
              <w:lang w:eastAsia="zh-CN"/>
            </w:rPr>
          </w:pPr>
          <w:hyperlink w:anchor="_Toc127971126" w:history="1">
            <w:r w:rsidR="00605721" w:rsidRPr="00212CC4">
              <w:rPr>
                <w:rStyle w:val="Hyperlink"/>
                <w:rFonts w:ascii="Times New Roman" w:hAnsi="Times New Roman" w:cs="Times New Roman"/>
                <w:noProof/>
                <w:sz w:val="28"/>
                <w:szCs w:val="28"/>
              </w:rPr>
              <w:t>CDR</w:t>
            </w:r>
            <w:r w:rsidR="00605721" w:rsidRPr="00212CC4">
              <w:rPr>
                <w:rStyle w:val="Hyperlink"/>
                <w:rFonts w:ascii="Times New Roman" w:hAnsi="Times New Roman" w:cs="Times New Roman"/>
                <w:noProof/>
                <w:sz w:val="28"/>
                <w:szCs w:val="28"/>
                <w:vertAlign w:val="subscript"/>
              </w:rPr>
              <w:t>hback</w:t>
            </w:r>
            <w:r w:rsidR="00605721" w:rsidRPr="00212CC4">
              <w:rPr>
                <w:noProof/>
                <w:webHidden/>
              </w:rPr>
              <w:tab/>
            </w:r>
            <w:r w:rsidR="00605721" w:rsidRPr="00212CC4">
              <w:rPr>
                <w:noProof/>
                <w:webHidden/>
              </w:rPr>
              <w:fldChar w:fldCharType="begin"/>
            </w:r>
            <w:r w:rsidR="00605721" w:rsidRPr="00212CC4">
              <w:rPr>
                <w:noProof/>
                <w:webHidden/>
              </w:rPr>
              <w:instrText xml:space="preserve"> PAGEREF _Toc127971126 \h </w:instrText>
            </w:r>
            <w:r w:rsidR="00605721" w:rsidRPr="00212CC4">
              <w:rPr>
                <w:noProof/>
                <w:webHidden/>
              </w:rPr>
            </w:r>
            <w:r w:rsidR="00605721" w:rsidRPr="00212CC4">
              <w:rPr>
                <w:noProof/>
                <w:webHidden/>
              </w:rPr>
              <w:fldChar w:fldCharType="separate"/>
            </w:r>
            <w:r w:rsidR="00B02314">
              <w:rPr>
                <w:noProof/>
                <w:webHidden/>
              </w:rPr>
              <w:t>17</w:t>
            </w:r>
            <w:r w:rsidR="00605721" w:rsidRPr="00212CC4">
              <w:rPr>
                <w:noProof/>
                <w:webHidden/>
              </w:rPr>
              <w:fldChar w:fldCharType="end"/>
            </w:r>
          </w:hyperlink>
        </w:p>
        <w:p w14:paraId="0000001B" w14:textId="31421615" w:rsidR="003B3384" w:rsidRDefault="00297AA7">
          <w:r w:rsidRPr="00212CC4">
            <w:rPr>
              <w:sz w:val="28"/>
              <w:szCs w:val="28"/>
            </w:rPr>
            <w:fldChar w:fldCharType="end"/>
          </w:r>
        </w:p>
      </w:sdtContent>
    </w:sdt>
    <w:p w14:paraId="0589736E" w14:textId="321CAA6C" w:rsidR="00A252A2" w:rsidRPr="00A252A2" w:rsidRDefault="00297AA7" w:rsidP="00A252A2">
      <w:pPr>
        <w:pStyle w:val="Heading2"/>
      </w:pPr>
      <w:r>
        <w:br w:type="page"/>
      </w:r>
      <w:bookmarkStart w:id="1" w:name="_Toc127971106"/>
      <w:r w:rsidR="00A252A2" w:rsidRPr="00A252A2">
        <w:lastRenderedPageBreak/>
        <w:t>Version History</w:t>
      </w:r>
      <w:bookmarkEnd w:id="1"/>
    </w:p>
    <w:p w14:paraId="0000001D" w14:textId="4E27A277" w:rsidR="003B3384" w:rsidRDefault="00297AA7">
      <w:r>
        <w:t xml:space="preserve">This document is a working draft of Planetary’s approach to the Measurement, Reporting, and Verification (MRV) of carbon dioxide removal via ocean alkalinity enhancement and builds on an earlier </w:t>
      </w:r>
      <w:hyperlink r:id="rId9" w:history="1">
        <w:r w:rsidRPr="004C4129">
          <w:rPr>
            <w:rStyle w:val="Hyperlink"/>
          </w:rPr>
          <w:t>Version 1.0</w:t>
        </w:r>
      </w:hyperlink>
      <w:r>
        <w:t xml:space="preserve">. The document will be refined and improved as both Planetary and the global </w:t>
      </w:r>
      <w:r w:rsidR="00205BB1">
        <w:t xml:space="preserve">oceans </w:t>
      </w:r>
      <w:r>
        <w:t>community learn through continued research and experimentation in the laboratory and in the field. To date, the history of this MRV Protocol is as follows:</w:t>
      </w:r>
    </w:p>
    <w:p w14:paraId="0000001E" w14:textId="41739AB8" w:rsidR="003B3384" w:rsidRDefault="00000000">
      <w:hyperlink r:id="rId10" w:history="1">
        <w:r w:rsidR="00297AA7" w:rsidRPr="004C4129">
          <w:rPr>
            <w:rStyle w:val="Hyperlink"/>
          </w:rPr>
          <w:t>Version 1.0</w:t>
        </w:r>
      </w:hyperlink>
      <w:r w:rsidR="00297AA7">
        <w:t xml:space="preserve"> - Completed August 12th, 2022. Agreed upon by Planetary and Shopify in advance of Planetary’s initial methods test conducted in </w:t>
      </w:r>
      <w:proofErr w:type="gramStart"/>
      <w:r w:rsidR="00297AA7">
        <w:t>September,</w:t>
      </w:r>
      <w:proofErr w:type="gramEnd"/>
      <w:r w:rsidR="00297AA7">
        <w:t xml:space="preserve"> 2022. </w:t>
      </w:r>
    </w:p>
    <w:p w14:paraId="0000001F" w14:textId="194D1796" w:rsidR="003B3384" w:rsidRDefault="00000000">
      <w:pPr>
        <w:rPr>
          <w:color w:val="000000"/>
        </w:rPr>
      </w:pPr>
      <w:hyperlink r:id="rId11" w:history="1">
        <w:r w:rsidR="00297AA7" w:rsidRPr="004C4129">
          <w:rPr>
            <w:rStyle w:val="Hyperlink"/>
          </w:rPr>
          <w:t>Version 2.0</w:t>
        </w:r>
      </w:hyperlink>
      <w:r w:rsidR="00297AA7">
        <w:t xml:space="preserve"> - Present version as of date listed, incorporating results from continued laboratory experimentation and learnings from a 3-day methods test conducted in the UK in </w:t>
      </w:r>
      <w:proofErr w:type="gramStart"/>
      <w:r w:rsidR="00297AA7">
        <w:t>September,</w:t>
      </w:r>
      <w:proofErr w:type="gramEnd"/>
      <w:r w:rsidR="00297AA7">
        <w:t xml:space="preserve"> 2022. Also, </w:t>
      </w:r>
      <w:r w:rsidR="00297AA7">
        <w:rPr>
          <w:color w:val="000000"/>
        </w:rPr>
        <w:t>advancing the scope of our emissions accounting protocol.</w:t>
      </w:r>
      <w:r w:rsidR="00184928">
        <w:rPr>
          <w:color w:val="000000"/>
        </w:rPr>
        <w:t xml:space="preserve"> </w:t>
      </w:r>
    </w:p>
    <w:p w14:paraId="59283916" w14:textId="77777777" w:rsidR="00A252A2" w:rsidRDefault="00A252A2"/>
    <w:p w14:paraId="4623CA4C" w14:textId="6CB90263" w:rsidR="00A252A2" w:rsidRDefault="00A252A2" w:rsidP="00A252A2">
      <w:pPr>
        <w:pStyle w:val="Heading2"/>
      </w:pPr>
      <w:bookmarkStart w:id="2" w:name="_Toc127971107"/>
      <w:r w:rsidRPr="00A252A2">
        <w:t>Background</w:t>
      </w:r>
      <w:bookmarkEnd w:id="2"/>
    </w:p>
    <w:p w14:paraId="00000021" w14:textId="40E74AB1" w:rsidR="003B3384" w:rsidRDefault="00297AA7">
      <w:r>
        <w:t xml:space="preserve">Following on from a short method test in 2022, Planetary intends to begin longer-term field trials in 2023 to demonstrate net carbon dioxide removal (CDR) from the atmosphere through ocean alkalinity enhancement (OAE). A robust, </w:t>
      </w:r>
      <w:proofErr w:type="gramStart"/>
      <w:r>
        <w:t>science-based</w:t>
      </w:r>
      <w:proofErr w:type="gramEnd"/>
      <w:r>
        <w:t xml:space="preserve"> MRV protocol that is agreed to by both provider (Planetary) and the customer (in the first instance, Shopify), and supported by ocean science, is required to ensure that the greenhouse gas removals (Removals) are appropriately measured, quantified, monitored, accounted for, and permanently retired. CO</w:t>
      </w:r>
      <w:r>
        <w:rPr>
          <w:vertAlign w:val="subscript"/>
        </w:rPr>
        <w:t>2</w:t>
      </w:r>
      <w:r>
        <w:t xml:space="preserve"> removals will be verified by independent 3rd parties to ensure their compliance with this MRV protocol.</w:t>
      </w:r>
    </w:p>
    <w:p w14:paraId="265AEE91" w14:textId="5419F371" w:rsidR="00205BB1" w:rsidRDefault="00297AA7">
      <w:r>
        <w:t>Planetary’s current OAE approach involves the addition of fine magnesium hydroxide particles (</w:t>
      </w:r>
      <w:proofErr w:type="gramStart"/>
      <w:r>
        <w:t>Mg(</w:t>
      </w:r>
      <w:proofErr w:type="gramEnd"/>
      <w:r>
        <w:t>OH)</w:t>
      </w:r>
      <w:r>
        <w:rPr>
          <w:vertAlign w:val="subscript"/>
        </w:rPr>
        <w:t>2</w:t>
      </w:r>
      <w:r>
        <w:t>; henceforth MH), in slurry form, to wastewater, or other industrial outfalls that discharge into the ocean. As MH is a CO</w:t>
      </w:r>
      <w:r>
        <w:rPr>
          <w:vertAlign w:val="subscript"/>
        </w:rPr>
        <w:t>2</w:t>
      </w:r>
      <w:r>
        <w:t>-reactive form of alkalinity, its addition to water results in the simultaneous increase in pH, and the conversion of dissolved CO</w:t>
      </w:r>
      <w:r>
        <w:rPr>
          <w:vertAlign w:val="subscript"/>
        </w:rPr>
        <w:t>2</w:t>
      </w:r>
      <w:r>
        <w:t xml:space="preserve"> into bicarbonate and carbonate ions. The fundamental chemistry of this reaction in the ocean is illustrated in Figure 1. The resulting reduction in</w:t>
      </w:r>
      <w:r w:rsidR="00205BB1">
        <w:t xml:space="preserve"> the partial pressure of CO</w:t>
      </w:r>
      <w:r w:rsidR="00205BB1">
        <w:rPr>
          <w:vertAlign w:val="subscript"/>
        </w:rPr>
        <w:t>2</w:t>
      </w:r>
      <w:r w:rsidR="00205BB1">
        <w:t xml:space="preserve"> (pCO</w:t>
      </w:r>
      <w:r w:rsidR="00205BB1">
        <w:rPr>
          <w:vertAlign w:val="subscript"/>
        </w:rPr>
        <w:t>2</w:t>
      </w:r>
      <w:r w:rsidR="00205BB1">
        <w:t>)</w:t>
      </w:r>
      <w:r w:rsidR="00205BB1">
        <w:rPr>
          <w:vertAlign w:val="subscript"/>
        </w:rPr>
        <w:t xml:space="preserve"> </w:t>
      </w:r>
      <w:r w:rsidR="00205BB1">
        <w:t xml:space="preserve">in </w:t>
      </w:r>
      <w:r>
        <w:t xml:space="preserve">seawater either: </w:t>
      </w:r>
    </w:p>
    <w:p w14:paraId="7B405481" w14:textId="475FCC0B" w:rsidR="00205BB1" w:rsidRDefault="00205BB1" w:rsidP="004C259E">
      <w:pPr>
        <w:pStyle w:val="ListParagraph"/>
        <w:numPr>
          <w:ilvl w:val="0"/>
          <w:numId w:val="10"/>
        </w:numPr>
      </w:pPr>
      <w:r>
        <w:t>under saturates the seawater in CO</w:t>
      </w:r>
      <w:r w:rsidRPr="00205BB1">
        <w:rPr>
          <w:vertAlign w:val="subscript"/>
        </w:rPr>
        <w:t>2</w:t>
      </w:r>
      <w:r>
        <w:t xml:space="preserve"> relative to air, thus forcing a CO</w:t>
      </w:r>
      <w:r w:rsidRPr="00205BB1">
        <w:rPr>
          <w:vertAlign w:val="subscript"/>
        </w:rPr>
        <w:t>2</w:t>
      </w:r>
      <w:r>
        <w:t xml:space="preserve"> flux from the air to the ocean, or </w:t>
      </w:r>
    </w:p>
    <w:p w14:paraId="562A1493" w14:textId="1FF60ABD" w:rsidR="00205BB1" w:rsidRDefault="00297AA7" w:rsidP="00205BB1">
      <w:pPr>
        <w:pStyle w:val="ListParagraph"/>
        <w:numPr>
          <w:ilvl w:val="0"/>
          <w:numId w:val="10"/>
        </w:numPr>
      </w:pPr>
      <w:r>
        <w:t>in waters that are supersaturated in CO</w:t>
      </w:r>
      <w:r w:rsidRPr="00205BB1">
        <w:rPr>
          <w:vertAlign w:val="subscript"/>
        </w:rPr>
        <w:t>2</w:t>
      </w:r>
      <w:r>
        <w:t xml:space="preserve"> (such as ocean upwelling areas or around wastewater outfalls), lowers the water’s pCO</w:t>
      </w:r>
      <w:r w:rsidRPr="00205BB1">
        <w:rPr>
          <w:vertAlign w:val="subscript"/>
        </w:rPr>
        <w:t>2</w:t>
      </w:r>
      <w:r>
        <w:t xml:space="preserve"> such that loss of biogenic CO</w:t>
      </w:r>
      <w:r w:rsidRPr="00205BB1">
        <w:rPr>
          <w:vertAlign w:val="subscript"/>
        </w:rPr>
        <w:t>2</w:t>
      </w:r>
      <w:r>
        <w:t xml:space="preserve"> to air is reduced or avoided. </w:t>
      </w:r>
    </w:p>
    <w:p w14:paraId="00000022" w14:textId="6E589406" w:rsidR="003B3384" w:rsidRDefault="00297AA7" w:rsidP="00205BB1">
      <w:r>
        <w:t>CDR is thus achieved by either ingassing CO</w:t>
      </w:r>
      <w:r w:rsidRPr="00205BB1">
        <w:rPr>
          <w:vertAlign w:val="subscript"/>
        </w:rPr>
        <w:t>2</w:t>
      </w:r>
      <w:r>
        <w:t xml:space="preserve"> from air to ocean or by reducing CO</w:t>
      </w:r>
      <w:r w:rsidRPr="00205BB1">
        <w:rPr>
          <w:vertAlign w:val="subscript"/>
        </w:rPr>
        <w:t>2</w:t>
      </w:r>
      <w:r>
        <w:t xml:space="preserve"> outgassing to the air. In either case, CO</w:t>
      </w:r>
      <w:r w:rsidRPr="00205BB1">
        <w:rPr>
          <w:vertAlign w:val="subscript"/>
        </w:rPr>
        <w:t>2</w:t>
      </w:r>
      <w:r>
        <w:t xml:space="preserve"> is securely stored in the ocean while alkalinity, carbon content, and pH are raised. Of note, direct measurement of these parameters becomes increasingly difficult </w:t>
      </w:r>
      <w:r w:rsidR="00205BB1">
        <w:t xml:space="preserve">as the process progresses </w:t>
      </w:r>
      <w:r>
        <w:t>due to rapid dilution of the alkalinized discharge and the long air-sea CO</w:t>
      </w:r>
      <w:r w:rsidRPr="00205BB1">
        <w:rPr>
          <w:vertAlign w:val="subscript"/>
        </w:rPr>
        <w:t>2</w:t>
      </w:r>
      <w:r>
        <w:t xml:space="preserve"> equilibration time, as further discussed below. </w:t>
      </w:r>
    </w:p>
    <w:p w14:paraId="00000023" w14:textId="77777777" w:rsidR="003B3384" w:rsidRDefault="00297AA7">
      <w:r>
        <w:t>Various site-specific inefficiencies and uncertainties in this basic process need to be accounted for in order to derive the net CDR effected for a given alkalinity addition, while CO</w:t>
      </w:r>
      <w:r>
        <w:rPr>
          <w:vertAlign w:val="subscript"/>
        </w:rPr>
        <w:t>2</w:t>
      </w:r>
      <w:r>
        <w:t xml:space="preserve"> emissions associated with Planetary’s end-to-end OAE process, determined by Life Cycle Analysis (LCA), also need to be subtracted to determine net CDR.</w:t>
      </w:r>
    </w:p>
    <w:p w14:paraId="00000024" w14:textId="77777777" w:rsidR="003B3384" w:rsidRDefault="003B3384"/>
    <w:p w14:paraId="00000025" w14:textId="77777777" w:rsidR="003B3384" w:rsidRDefault="00297AA7">
      <w:r>
        <w:rPr>
          <w:noProof/>
        </w:rPr>
        <w:drawing>
          <wp:inline distT="0" distB="0" distL="0" distR="0" wp14:anchorId="36CDC55E" wp14:editId="0F196D36">
            <wp:extent cx="5943600" cy="2704465"/>
            <wp:effectExtent l="0" t="0" r="0" b="0"/>
            <wp:docPr id="1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2704465"/>
                    </a:xfrm>
                    <a:prstGeom prst="rect">
                      <a:avLst/>
                    </a:prstGeom>
                    <a:ln/>
                  </pic:spPr>
                </pic:pic>
              </a:graphicData>
            </a:graphic>
          </wp:inline>
        </w:drawing>
      </w:r>
    </w:p>
    <w:p w14:paraId="00000026" w14:textId="77777777" w:rsidR="003B3384" w:rsidRDefault="00297AA7">
      <w:pPr>
        <w:rPr>
          <w:b/>
        </w:rPr>
      </w:pPr>
      <w:r>
        <w:rPr>
          <w:b/>
        </w:rPr>
        <w:t xml:space="preserve">Figure 1. </w:t>
      </w:r>
      <w:r>
        <w:t>Basic chemistry of OAE by MH addition</w:t>
      </w:r>
    </w:p>
    <w:p w14:paraId="00000027" w14:textId="77777777" w:rsidR="003B3384" w:rsidRDefault="003B3384">
      <w:pPr>
        <w:jc w:val="center"/>
        <w:rPr>
          <w:b/>
        </w:rPr>
      </w:pPr>
    </w:p>
    <w:p w14:paraId="00000028" w14:textId="77777777" w:rsidR="003B3384" w:rsidRDefault="00297AA7">
      <w:r>
        <w:t>In the case of municipal wastewater, the intense microbial respiration taking place in the treatment process, fuelled by waste organic matter, means that these discharges are very highly supersaturated in CO</w:t>
      </w:r>
      <w:r>
        <w:rPr>
          <w:vertAlign w:val="subscript"/>
        </w:rPr>
        <w:t>2</w:t>
      </w:r>
      <w:r>
        <w:t xml:space="preserve"> relative to air. Thus, by adding alkalinity to these streams there is significant potential for CO</w:t>
      </w:r>
      <w:r>
        <w:rPr>
          <w:vertAlign w:val="subscript"/>
        </w:rPr>
        <w:t>2</w:t>
      </w:r>
      <w:r>
        <w:t xml:space="preserve"> removal to occur in the pipe, before the alkalinized wastewater is delivered to the ocean. This in turn avoids biological CO</w:t>
      </w:r>
      <w:r>
        <w:rPr>
          <w:vertAlign w:val="subscript"/>
        </w:rPr>
        <w:t>2</w:t>
      </w:r>
      <w:r>
        <w:t xml:space="preserve"> emissions that would otherwise occur in the absence of alkalinity addition.</w:t>
      </w:r>
    </w:p>
    <w:p w14:paraId="00000029" w14:textId="2B4C613A" w:rsidR="003B3384" w:rsidRDefault="00297AA7">
      <w:r>
        <w:t xml:space="preserve">As originally described in </w:t>
      </w:r>
      <w:hyperlink r:id="rId13" w:history="1">
        <w:r w:rsidRPr="004C4129">
          <w:rPr>
            <w:rStyle w:val="Hyperlink"/>
          </w:rPr>
          <w:t>V1.0</w:t>
        </w:r>
      </w:hyperlink>
      <w:r>
        <w:t xml:space="preserve">, wastewater outfalls present an opportunity to quantify this biogenic CDR component by conducting on-land monitoring to calculate the removal occurring in-pipe. V2.0 updates the way in which this component is reflected in the overall CDR calculation. </w:t>
      </w:r>
    </w:p>
    <w:p w14:paraId="46814647" w14:textId="77777777" w:rsidR="00452398" w:rsidRDefault="00452398"/>
    <w:p w14:paraId="513B5118" w14:textId="70E0E702" w:rsidR="00A252A2" w:rsidRPr="00A252A2" w:rsidRDefault="00A252A2" w:rsidP="00A252A2">
      <w:pPr>
        <w:pStyle w:val="Heading2"/>
      </w:pPr>
      <w:bookmarkStart w:id="3" w:name="_Toc127971108"/>
      <w:r w:rsidRPr="00A252A2">
        <w:t>Calculation of Net CDR</w:t>
      </w:r>
      <w:bookmarkEnd w:id="3"/>
    </w:p>
    <w:p w14:paraId="0000002B" w14:textId="2930D3D5" w:rsidR="003B3384" w:rsidRDefault="00297AA7">
      <w:r>
        <w:t>As illustrated in Figure 1, the gross quantity of dissolved CO</w:t>
      </w:r>
      <w:r>
        <w:rPr>
          <w:vertAlign w:val="subscript"/>
        </w:rPr>
        <w:t>2</w:t>
      </w:r>
      <w:r>
        <w:t xml:space="preserve"> (CO</w:t>
      </w:r>
      <w:r>
        <w:rPr>
          <w:vertAlign w:val="subscript"/>
        </w:rPr>
        <w:t>2aq</w:t>
      </w:r>
      <w:r>
        <w:t>) that is removed from seawater and converted to bicarbonate (HCO</w:t>
      </w:r>
      <w:r>
        <w:rPr>
          <w:vertAlign w:val="subscript"/>
        </w:rPr>
        <w:t>3</w:t>
      </w:r>
      <w:r>
        <w:rPr>
          <w:vertAlign w:val="superscript"/>
        </w:rPr>
        <w:t>-</w:t>
      </w:r>
      <w:r>
        <w:t>) and carbonate (CO</w:t>
      </w:r>
      <w:r>
        <w:rPr>
          <w:vertAlign w:val="subscript"/>
        </w:rPr>
        <w:t>3</w:t>
      </w:r>
      <w:r>
        <w:rPr>
          <w:vertAlign w:val="superscript"/>
        </w:rPr>
        <w:t>2-</w:t>
      </w:r>
      <w:r>
        <w:t>) ions is determined by the stoichiometric ratio between CO</w:t>
      </w:r>
      <w:r>
        <w:rPr>
          <w:vertAlign w:val="subscript"/>
        </w:rPr>
        <w:t>2</w:t>
      </w:r>
      <w:r>
        <w:t xml:space="preserve"> consumed and MH added. This ratio is termed the “CDR ratio</w:t>
      </w:r>
      <w:proofErr w:type="gramStart"/>
      <w:r>
        <w:t>”, and</w:t>
      </w:r>
      <w:proofErr w:type="gramEnd"/>
      <w:r>
        <w:t xml:space="preserve"> is shown in the figure as 1.65 moles CO</w:t>
      </w:r>
      <w:r>
        <w:rPr>
          <w:vertAlign w:val="subscript"/>
        </w:rPr>
        <w:t>2</w:t>
      </w:r>
      <w:r>
        <w:t>/moles MH (equivalent to 1.25 tCO</w:t>
      </w:r>
      <w:r>
        <w:rPr>
          <w:vertAlign w:val="subscript"/>
        </w:rPr>
        <w:t>2</w:t>
      </w:r>
      <w:r>
        <w:t>/tMH), keeping in mind that this ratio varies with the pH, temperature (T) and salinity (S) attained following dilution in the ocean (see Appendix 1). Fundamentally, the maximum theoretical gross CDR achievable by alkalinity addition can be calculated by applying this ratio to the mass of MH added:</w:t>
      </w:r>
    </w:p>
    <w:p w14:paraId="0000002C" w14:textId="77777777" w:rsidR="003B3384" w:rsidRDefault="003B3384"/>
    <w:p w14:paraId="0000002D" w14:textId="77777777" w:rsidR="003B3384" w:rsidRDefault="00297AA7">
      <w:r>
        <w:rPr>
          <w:b/>
        </w:rPr>
        <w:t>CDR</w:t>
      </w:r>
      <w:r>
        <w:rPr>
          <w:b/>
          <w:vertAlign w:val="subscript"/>
        </w:rPr>
        <w:t>gross</w:t>
      </w:r>
      <w:r>
        <w:t xml:space="preserve"> = MH added x CDR </w:t>
      </w:r>
      <w:proofErr w:type="gramStart"/>
      <w:r>
        <w:t xml:space="preserve">ratio  </w:t>
      </w:r>
      <w:r>
        <w:tab/>
      </w:r>
      <w:proofErr w:type="gramEnd"/>
      <w:r>
        <w:tab/>
      </w:r>
      <w:r>
        <w:tab/>
      </w:r>
      <w:r>
        <w:tab/>
      </w:r>
      <w:r>
        <w:tab/>
      </w:r>
      <w:r>
        <w:tab/>
      </w:r>
      <w:r>
        <w:tab/>
      </w:r>
      <w:r>
        <w:tab/>
        <w:t>(1)</w:t>
      </w:r>
    </w:p>
    <w:p w14:paraId="0000002E" w14:textId="77777777" w:rsidR="003B3384" w:rsidRDefault="003B3384"/>
    <w:p w14:paraId="0000002F" w14:textId="77777777" w:rsidR="003B3384" w:rsidRDefault="00297AA7">
      <w:r>
        <w:t xml:space="preserve">The MH added is directly measured using the concentration of MH present in the slurry times </w:t>
      </w:r>
      <w:r>
        <w:lastRenderedPageBreak/>
        <w:t xml:space="preserve">the volume of slurry added to the outfall. The rate and duration of slurry dosing are closely monitored, and the chemical conditions in the wastewater pipe and receiving ocean waters are measured to determine an appropriate CDR ratio. From the gross CDR calculated in this way, net CDR can then be calculated as: </w:t>
      </w:r>
    </w:p>
    <w:p w14:paraId="00000030" w14:textId="77777777" w:rsidR="003B3384" w:rsidRDefault="00297AA7">
      <w:r>
        <w:t xml:space="preserve">   </w:t>
      </w:r>
      <w:r>
        <w:tab/>
      </w:r>
      <w:r>
        <w:tab/>
      </w:r>
    </w:p>
    <w:p w14:paraId="00000031" w14:textId="77777777" w:rsidR="003B3384" w:rsidRDefault="00297AA7">
      <w:pPr>
        <w:spacing w:before="120"/>
      </w:pPr>
      <w:r>
        <w:rPr>
          <w:b/>
        </w:rPr>
        <w:t>CDR</w:t>
      </w:r>
      <w:r>
        <w:rPr>
          <w:b/>
          <w:vertAlign w:val="subscript"/>
        </w:rPr>
        <w:t>net</w:t>
      </w:r>
      <w:r>
        <w:t xml:space="preserve"> = CDR</w:t>
      </w:r>
      <w:r>
        <w:rPr>
          <w:vertAlign w:val="subscript"/>
        </w:rPr>
        <w:t>gross</w:t>
      </w:r>
      <w:r>
        <w:t xml:space="preserve"> x (CDR</w:t>
      </w:r>
      <w:r>
        <w:rPr>
          <w:vertAlign w:val="subscript"/>
        </w:rPr>
        <w:t>eff</w:t>
      </w:r>
      <w:r>
        <w:t xml:space="preserve"> – CDR</w:t>
      </w:r>
      <w:r>
        <w:rPr>
          <w:vertAlign w:val="subscript"/>
        </w:rPr>
        <w:t>hback</w:t>
      </w:r>
      <w:r>
        <w:t xml:space="preserve">) - </w:t>
      </w:r>
      <w:proofErr w:type="gramStart"/>
      <w:r>
        <w:t>LCA</w:t>
      </w:r>
      <w:r>
        <w:rPr>
          <w:vertAlign w:val="subscript"/>
        </w:rPr>
        <w:t>emiss</w:t>
      </w:r>
      <w:r>
        <w:t xml:space="preserve">  </w:t>
      </w:r>
      <w:r>
        <w:tab/>
      </w:r>
      <w:proofErr w:type="gramEnd"/>
      <w:r>
        <w:tab/>
      </w:r>
      <w:r>
        <w:tab/>
      </w:r>
      <w:r>
        <w:tab/>
      </w:r>
      <w:r>
        <w:tab/>
        <w:t>(2)</w:t>
      </w:r>
    </w:p>
    <w:p w14:paraId="00000032" w14:textId="77777777" w:rsidR="003B3384" w:rsidRDefault="003B3384">
      <w:pPr>
        <w:spacing w:before="120"/>
      </w:pPr>
    </w:p>
    <w:p w14:paraId="00000033" w14:textId="77777777" w:rsidR="003B3384" w:rsidRDefault="00297AA7">
      <w:pPr>
        <w:spacing w:before="120"/>
      </w:pPr>
      <w:r>
        <w:t>CDR</w:t>
      </w:r>
      <w:r>
        <w:rPr>
          <w:vertAlign w:val="subscript"/>
        </w:rPr>
        <w:t>eff</w:t>
      </w:r>
      <w:r>
        <w:t xml:space="preserve"> refers to the fraction of CDR</w:t>
      </w:r>
      <w:r>
        <w:rPr>
          <w:vertAlign w:val="subscript"/>
        </w:rPr>
        <w:t>gross</w:t>
      </w:r>
      <w:r>
        <w:t xml:space="preserve"> that is </w:t>
      </w:r>
      <w:proofErr w:type="gramStart"/>
      <w:r>
        <w:t>actually realized</w:t>
      </w:r>
      <w:proofErr w:type="gramEnd"/>
      <w:r>
        <w:t xml:space="preserve"> in the ocean. Specifically, it is the fraction of the CDR</w:t>
      </w:r>
      <w:r>
        <w:rPr>
          <w:vertAlign w:val="subscript"/>
        </w:rPr>
        <w:t>gross</w:t>
      </w:r>
      <w:r>
        <w:t xml:space="preserve"> achieved within 1 year of the addition of alkalinity for a specific location (see Appendix 1). It reflects the fact that air-sea exchange of CO</w:t>
      </w:r>
      <w:r>
        <w:rPr>
          <w:vertAlign w:val="subscript"/>
        </w:rPr>
        <w:t>2</w:t>
      </w:r>
      <w:r>
        <w:t xml:space="preserve"> requires that added MH dissolves in surface waters and the resulting CO</w:t>
      </w:r>
      <w:r>
        <w:rPr>
          <w:vertAlign w:val="subscript"/>
        </w:rPr>
        <w:t>2</w:t>
      </w:r>
      <w:r>
        <w:t>-altered water remains in the surface mixed layer until pCO</w:t>
      </w:r>
      <w:r>
        <w:rPr>
          <w:vertAlign w:val="subscript"/>
        </w:rPr>
        <w:t>2</w:t>
      </w:r>
      <w:r>
        <w:t xml:space="preserve"> equilibrium between air and seawater is restored. The present approach described here relies on numerical modelling to assess this efficiency (further discussed in Appendix 1). Improving our ability to more directly measure this type of efficiency remains a priority across many CDR approaches.</w:t>
      </w:r>
    </w:p>
    <w:p w14:paraId="00000034" w14:textId="77777777" w:rsidR="003B3384" w:rsidRDefault="00297AA7">
      <w:pPr>
        <w:spacing w:before="120"/>
      </w:pPr>
      <w:r>
        <w:t>CDR</w:t>
      </w:r>
      <w:r>
        <w:rPr>
          <w:vertAlign w:val="subscript"/>
        </w:rPr>
        <w:t>hback</w:t>
      </w:r>
      <w:r>
        <w:t xml:space="preserve"> is a holdback factor that further, fractionally reduces CDR</w:t>
      </w:r>
      <w:r>
        <w:rPr>
          <w:vertAlign w:val="subscript"/>
        </w:rPr>
        <w:t>net</w:t>
      </w:r>
      <w:r>
        <w:t>, the reduction reflecting maturity and degree of verification of the CDR</w:t>
      </w:r>
      <w:r>
        <w:rPr>
          <w:vertAlign w:val="subscript"/>
        </w:rPr>
        <w:t>gross</w:t>
      </w:r>
      <w:r>
        <w:t xml:space="preserve"> modeling/calculation for individual deployment sites. A CDR</w:t>
      </w:r>
      <w:r>
        <w:rPr>
          <w:vertAlign w:val="subscript"/>
        </w:rPr>
        <w:t>hback</w:t>
      </w:r>
      <w:r>
        <w:t xml:space="preserve"> of 0.15 is initially assumed and the requirements to progressively reduce this factor</w:t>
      </w:r>
      <w:sdt>
        <w:sdtPr>
          <w:tag w:val="goog_rdk_0"/>
          <w:id w:val="27931264"/>
        </w:sdtPr>
        <w:sdtContent>
          <w:r>
            <w:t>, and considerations to refine its calculation further,</w:t>
          </w:r>
        </w:sdtContent>
      </w:sdt>
      <w:r>
        <w:t xml:space="preserve"> are discussed in Appendix 1.</w:t>
      </w:r>
    </w:p>
    <w:p w14:paraId="00000035" w14:textId="77777777" w:rsidR="003B3384" w:rsidRDefault="00000000">
      <w:sdt>
        <w:sdtPr>
          <w:tag w:val="goog_rdk_1"/>
          <w:id w:val="-1511053491"/>
        </w:sdtPr>
        <w:sdtContent/>
      </w:sdt>
      <w:r w:rsidR="00297AA7">
        <w:t>LCA</w:t>
      </w:r>
      <w:r w:rsidR="00297AA7">
        <w:rPr>
          <w:vertAlign w:val="subscript"/>
        </w:rPr>
        <w:t>emiss</w:t>
      </w:r>
      <w:r w:rsidR="00297AA7">
        <w:t xml:space="preserve"> is the tonnes of CO</w:t>
      </w:r>
      <w:r w:rsidR="00297AA7">
        <w:rPr>
          <w:vertAlign w:val="subscript"/>
        </w:rPr>
        <w:t>2</w:t>
      </w:r>
      <w:r w:rsidR="00297AA7">
        <w:t xml:space="preserve"> emitted in the production, transportation, and distribution of the total MH mass used in the operation, discussed further in Section 4, LCA Methodology.</w:t>
      </w:r>
    </w:p>
    <w:p w14:paraId="00000036" w14:textId="77777777" w:rsidR="003B3384" w:rsidRDefault="00297AA7">
      <w:pPr>
        <w:spacing w:before="120"/>
      </w:pPr>
      <w:r>
        <w:t>Equation 2 represents Planetary’s fundamental approach to calculating CDR</w:t>
      </w:r>
      <w:r>
        <w:rPr>
          <w:vertAlign w:val="subscript"/>
        </w:rPr>
        <w:t>net</w:t>
      </w:r>
      <w:r>
        <w:t>. However, as noted above, at sites where MH is added to CO</w:t>
      </w:r>
      <w:r>
        <w:rPr>
          <w:vertAlign w:val="subscript"/>
        </w:rPr>
        <w:t>2</w:t>
      </w:r>
      <w:r>
        <w:t>-supersaturated wastewater prior to its discharge, CO</w:t>
      </w:r>
      <w:r>
        <w:rPr>
          <w:vertAlign w:val="subscript"/>
        </w:rPr>
        <w:t>2</w:t>
      </w:r>
      <w:r>
        <w:t xml:space="preserve"> removal will start within the wastewater pipe, presenting an opportunity to enhance measurability by directly determining the contribution to CDR</w:t>
      </w:r>
      <w:r>
        <w:rPr>
          <w:vertAlign w:val="subscript"/>
        </w:rPr>
        <w:t>gross</w:t>
      </w:r>
      <w:r>
        <w:t xml:space="preserve"> from the reduction of wastewater biogenic CO</w:t>
      </w:r>
      <w:r>
        <w:rPr>
          <w:vertAlign w:val="subscript"/>
        </w:rPr>
        <w:t>2</w:t>
      </w:r>
      <w:r>
        <w:t xml:space="preserve"> outgassing. The potential of this approach was demonstrated in a recent wastewater monitoring test, illustrated in Figure 2. The data highlights that this wastewater CDR contribution to CDR</w:t>
      </w:r>
      <w:r>
        <w:rPr>
          <w:vertAlign w:val="subscript"/>
        </w:rPr>
        <w:t>gross</w:t>
      </w:r>
      <w:r>
        <w:t xml:space="preserve"> can be determined from the directly measured reduction in wastewater pCO</w:t>
      </w:r>
      <w:r>
        <w:rPr>
          <w:vertAlign w:val="subscript"/>
        </w:rPr>
        <w:t>2</w:t>
      </w:r>
      <w:r>
        <w:t xml:space="preserve"> resulting from MH addition.</w:t>
      </w:r>
    </w:p>
    <w:p w14:paraId="00000037" w14:textId="77777777" w:rsidR="003B3384" w:rsidRDefault="00297AA7">
      <w:pPr>
        <w:spacing w:before="120"/>
      </w:pPr>
      <w:r>
        <w:t>In such cases, CDR occurs in two stages, and CDR</w:t>
      </w:r>
      <w:r>
        <w:rPr>
          <w:vertAlign w:val="subscript"/>
        </w:rPr>
        <w:t>gross</w:t>
      </w:r>
      <w:r>
        <w:t xml:space="preserve"> can be expressed as:</w:t>
      </w:r>
    </w:p>
    <w:p w14:paraId="00000038" w14:textId="77777777" w:rsidR="003B3384" w:rsidRDefault="003B3384">
      <w:pPr>
        <w:spacing w:before="120"/>
      </w:pPr>
    </w:p>
    <w:p w14:paraId="00000039" w14:textId="77777777" w:rsidR="003B3384" w:rsidRDefault="00297AA7">
      <w:pPr>
        <w:spacing w:before="120"/>
      </w:pPr>
      <w:r>
        <w:rPr>
          <w:b/>
        </w:rPr>
        <w:t>CDR</w:t>
      </w:r>
      <w:r>
        <w:rPr>
          <w:b/>
          <w:vertAlign w:val="subscript"/>
        </w:rPr>
        <w:t>gross</w:t>
      </w:r>
      <w:r>
        <w:t xml:space="preserve"> = CDR</w:t>
      </w:r>
      <w:r>
        <w:rPr>
          <w:vertAlign w:val="subscript"/>
        </w:rPr>
        <w:t>ww</w:t>
      </w:r>
      <w:r>
        <w:t xml:space="preserve"> + CDR</w:t>
      </w:r>
      <w:r>
        <w:rPr>
          <w:vertAlign w:val="subscript"/>
        </w:rPr>
        <w:t>ocean</w:t>
      </w:r>
      <w:r>
        <w:tab/>
      </w:r>
      <w:r>
        <w:tab/>
      </w:r>
      <w:r>
        <w:tab/>
      </w:r>
      <w:r>
        <w:tab/>
      </w:r>
      <w:r>
        <w:tab/>
      </w:r>
      <w:r>
        <w:tab/>
      </w:r>
      <w:r>
        <w:tab/>
      </w:r>
      <w:r>
        <w:tab/>
        <w:t>(3)</w:t>
      </w:r>
    </w:p>
    <w:p w14:paraId="0000003A" w14:textId="77777777" w:rsidR="003B3384" w:rsidRDefault="003B3384">
      <w:pPr>
        <w:pBdr>
          <w:top w:val="nil"/>
          <w:left w:val="nil"/>
          <w:bottom w:val="nil"/>
          <w:right w:val="nil"/>
          <w:between w:val="nil"/>
        </w:pBdr>
        <w:spacing w:before="120"/>
        <w:rPr>
          <w:color w:val="000000"/>
          <w:vertAlign w:val="subscript"/>
        </w:rPr>
      </w:pPr>
    </w:p>
    <w:p w14:paraId="0000003B" w14:textId="77777777" w:rsidR="003B3384" w:rsidRDefault="00297AA7">
      <w:pPr>
        <w:spacing w:before="120"/>
      </w:pPr>
      <w:r>
        <w:t>to reflect biogenic CDR from the wastewater (CDR</w:t>
      </w:r>
      <w:r>
        <w:rPr>
          <w:vertAlign w:val="subscript"/>
        </w:rPr>
        <w:t>ww</w:t>
      </w:r>
      <w:r>
        <w:t>) and additional CDR occurring purely in the ocean (CDR</w:t>
      </w:r>
      <w:r>
        <w:rPr>
          <w:vertAlign w:val="subscript"/>
        </w:rPr>
        <w:t>ocean</w:t>
      </w:r>
      <w:r>
        <w:t xml:space="preserve">) when the remaining unconsumed MH is discharged. </w:t>
      </w:r>
    </w:p>
    <w:p w14:paraId="0000003C" w14:textId="77777777" w:rsidR="003B3384" w:rsidRDefault="003B3384">
      <w:pPr>
        <w:spacing w:before="120"/>
      </w:pPr>
    </w:p>
    <w:p w14:paraId="0000003D" w14:textId="77777777" w:rsidR="003B3384" w:rsidRDefault="00297AA7">
      <w:r>
        <w:rPr>
          <w:noProof/>
        </w:rPr>
        <w:lastRenderedPageBreak/>
        <w:drawing>
          <wp:inline distT="0" distB="0" distL="0" distR="0" wp14:anchorId="5D7F5DB9" wp14:editId="7A3B6961">
            <wp:extent cx="5116830" cy="2256790"/>
            <wp:effectExtent l="0" t="0" r="0" b="0"/>
            <wp:docPr id="18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116830" cy="2256790"/>
                    </a:xfrm>
                    <a:prstGeom prst="rect">
                      <a:avLst/>
                    </a:prstGeom>
                    <a:ln/>
                  </pic:spPr>
                </pic:pic>
              </a:graphicData>
            </a:graphic>
          </wp:inline>
        </w:drawing>
      </w:r>
    </w:p>
    <w:p w14:paraId="0000003E" w14:textId="77777777" w:rsidR="003B3384" w:rsidRDefault="00297AA7">
      <w:r>
        <w:rPr>
          <w:b/>
        </w:rPr>
        <w:t>Figure 2</w:t>
      </w:r>
      <w:r>
        <w:t>. %CO</w:t>
      </w:r>
      <w:r>
        <w:rPr>
          <w:vertAlign w:val="subscript"/>
        </w:rPr>
        <w:t>2</w:t>
      </w:r>
      <w:r>
        <w:t xml:space="preserve"> differences in a wastewater pipe measured upstream (blue) and downstream (red) of MH addition. Black horizontal lines indicate the periods of MH addition during the 3-day test. pCO</w:t>
      </w:r>
      <w:r>
        <w:rPr>
          <w:vertAlign w:val="subscript"/>
        </w:rPr>
        <w:t>2</w:t>
      </w:r>
      <w:r>
        <w:t xml:space="preserve"> is approximately equal to %CO</w:t>
      </w:r>
      <w:r>
        <w:rPr>
          <w:vertAlign w:val="subscript"/>
        </w:rPr>
        <w:t>2</w:t>
      </w:r>
      <w:r>
        <w:t xml:space="preserve"> x 1000 μatms/% at 1 atm total pressure. Figure from Kitidis et al. (2023).</w:t>
      </w:r>
    </w:p>
    <w:p w14:paraId="0000003F" w14:textId="77777777" w:rsidR="003B3384" w:rsidRDefault="003B3384"/>
    <w:p w14:paraId="00000040" w14:textId="6D3C788E" w:rsidR="003B3384" w:rsidRDefault="00297AA7">
      <w:pPr>
        <w:spacing w:before="120"/>
      </w:pPr>
      <w:r>
        <w:t>Based on the results shown in Figure 2, a measurable component of CDR</w:t>
      </w:r>
      <w:r>
        <w:rPr>
          <w:vertAlign w:val="subscript"/>
        </w:rPr>
        <w:t>ww</w:t>
      </w:r>
      <w:r>
        <w:t xml:space="preserve"> can be calculated as: </w:t>
      </w:r>
    </w:p>
    <w:p w14:paraId="00000041" w14:textId="58161296" w:rsidR="003B3384" w:rsidRDefault="00297AA7">
      <w:pPr>
        <w:spacing w:before="120"/>
      </w:pPr>
      <w:r>
        <w:t>CDR</w:t>
      </w:r>
      <w:r>
        <w:rPr>
          <w:vertAlign w:val="subscript"/>
        </w:rPr>
        <w:t>ww</w:t>
      </w:r>
      <w:r>
        <w:rPr>
          <w:b/>
        </w:rPr>
        <w:t xml:space="preserve"> </w:t>
      </w:r>
      <w:r>
        <w:t>= (pCO</w:t>
      </w:r>
      <w:r>
        <w:rPr>
          <w:vertAlign w:val="subscript"/>
        </w:rPr>
        <w:t>2pre</w:t>
      </w:r>
      <w:r>
        <w:t xml:space="preserve"> - pCO</w:t>
      </w:r>
      <w:r>
        <w:rPr>
          <w:vertAlign w:val="subscript"/>
        </w:rPr>
        <w:t>2post</w:t>
      </w:r>
      <w:r>
        <w:t>) x k</w:t>
      </w:r>
      <w:r>
        <w:rPr>
          <w:vertAlign w:val="subscript"/>
        </w:rPr>
        <w:t>CO2</w:t>
      </w:r>
      <w:r>
        <w:t xml:space="preserve"> x q</w:t>
      </w:r>
      <w:r>
        <w:rPr>
          <w:vertAlign w:val="subscript"/>
        </w:rPr>
        <w:t>ww</w:t>
      </w:r>
      <w:r>
        <w:t xml:space="preserve"> x t</w:t>
      </w:r>
      <w:r>
        <w:tab/>
      </w:r>
      <w:r>
        <w:tab/>
      </w:r>
      <w:r>
        <w:tab/>
      </w:r>
      <w:r>
        <w:tab/>
      </w:r>
      <w:r>
        <w:tab/>
      </w:r>
      <w:r>
        <w:tab/>
        <w:t>(4)</w:t>
      </w:r>
    </w:p>
    <w:p w14:paraId="42954968" w14:textId="6C792405" w:rsidR="0055251E" w:rsidRPr="0055251E" w:rsidRDefault="00297AA7">
      <w:r>
        <w:t>where CDR</w:t>
      </w:r>
      <w:r>
        <w:rPr>
          <w:vertAlign w:val="subscript"/>
        </w:rPr>
        <w:t>ww</w:t>
      </w:r>
      <w:r>
        <w:t xml:space="preserve"> represents </w:t>
      </w:r>
      <w:proofErr w:type="gramStart"/>
      <w:r>
        <w:t>tonnes</w:t>
      </w:r>
      <w:proofErr w:type="gramEnd"/>
      <w:r>
        <w:t xml:space="preserve"> CO</w:t>
      </w:r>
      <w:r>
        <w:rPr>
          <w:vertAlign w:val="subscript"/>
        </w:rPr>
        <w:t>2</w:t>
      </w:r>
      <w:r>
        <w:t xml:space="preserve"> removed within the wastewater pipe after MH addition and before reaching the downstream monitoring point. pCO</w:t>
      </w:r>
      <w:r>
        <w:rPr>
          <w:vertAlign w:val="subscript"/>
        </w:rPr>
        <w:t>2pre</w:t>
      </w:r>
      <w:r>
        <w:t xml:space="preserve"> and pCO</w:t>
      </w:r>
      <w:r>
        <w:rPr>
          <w:vertAlign w:val="subscript"/>
        </w:rPr>
        <w:t xml:space="preserve">2post </w:t>
      </w:r>
      <w:r>
        <w:t>(µatm) are the wastewater pCO</w:t>
      </w:r>
      <w:r>
        <w:rPr>
          <w:vertAlign w:val="subscript"/>
        </w:rPr>
        <w:t>2</w:t>
      </w:r>
      <w:r>
        <w:t xml:space="preserve"> measured prior to and downstream of the alkalinity addition respectively. k</w:t>
      </w:r>
      <w:r>
        <w:rPr>
          <w:vertAlign w:val="subscript"/>
        </w:rPr>
        <w:t>CO2</w:t>
      </w:r>
      <w:r>
        <w:t xml:space="preserve"> is the temperature- and salinity-dependent CO</w:t>
      </w:r>
      <w:r>
        <w:rPr>
          <w:vertAlign w:val="subscript"/>
        </w:rPr>
        <w:t>2</w:t>
      </w:r>
      <w:r>
        <w:t xml:space="preserve"> solubility constant (in this case, in units of tonnes CO</w:t>
      </w:r>
      <w:r>
        <w:rPr>
          <w:vertAlign w:val="subscript"/>
        </w:rPr>
        <w:t>2</w:t>
      </w:r>
      <w:r>
        <w:t>/µatm/m</w:t>
      </w:r>
      <w:r>
        <w:rPr>
          <w:vertAlign w:val="superscript"/>
        </w:rPr>
        <w:t>3</w:t>
      </w:r>
      <w:r>
        <w:t>), q</w:t>
      </w:r>
      <w:r>
        <w:rPr>
          <w:vertAlign w:val="subscript"/>
        </w:rPr>
        <w:t>ww</w:t>
      </w:r>
      <w:r>
        <w:t xml:space="preserve"> is the discharge rate of wastewater (m</w:t>
      </w:r>
      <w:r>
        <w:rPr>
          <w:vertAlign w:val="superscript"/>
        </w:rPr>
        <w:t>3</w:t>
      </w:r>
      <w:r>
        <w:t xml:space="preserve">/hr), and t is the duration of the alkalinity addition (hours). Depending on the location of the downstream monitoring point, additional wastewater CDR may occur in-pipe between this point and the ocean discharge. </w:t>
      </w:r>
    </w:p>
    <w:p w14:paraId="7AA54FAF" w14:textId="750F9A56" w:rsidR="004C259E" w:rsidRDefault="00297AA7">
      <w:r>
        <w:t>However, as described in Appendix 1 further chemical modeling indicates that Equation 4 yields an underestimate of total CDR</w:t>
      </w:r>
      <w:r>
        <w:rPr>
          <w:vertAlign w:val="subscript"/>
        </w:rPr>
        <w:t>ww</w:t>
      </w:r>
      <w:r>
        <w:t>, especially at high (pCO</w:t>
      </w:r>
      <w:r>
        <w:rPr>
          <w:vertAlign w:val="subscript"/>
        </w:rPr>
        <w:t>2pre</w:t>
      </w:r>
      <w:r>
        <w:t xml:space="preserve"> - pCO</w:t>
      </w:r>
      <w:r>
        <w:rPr>
          <w:vertAlign w:val="subscript"/>
        </w:rPr>
        <w:t>2post</w:t>
      </w:r>
      <w:r>
        <w:t>) values as seen in Figure 2. The basic reason for this underestimate is that Equation 4 only accounts for CDR</w:t>
      </w:r>
      <w:r>
        <w:rPr>
          <w:vertAlign w:val="subscript"/>
        </w:rPr>
        <w:t>ww</w:t>
      </w:r>
      <w:r>
        <w:t xml:space="preserve"> by measuring CDR (or CO</w:t>
      </w:r>
      <w:r>
        <w:rPr>
          <w:vertAlign w:val="subscript"/>
        </w:rPr>
        <w:t>2</w:t>
      </w:r>
      <w:r>
        <w:t xml:space="preserve"> depletion) in a closed system (the pipe). The total CDR</w:t>
      </w:r>
      <w:r>
        <w:rPr>
          <w:vertAlign w:val="subscript"/>
        </w:rPr>
        <w:t>ww</w:t>
      </w:r>
      <w:r>
        <w:t xml:space="preserve"> benefit must be determined by differencing i) the total dissolved inorganic C in the unalkalized wastewater and ii) the total C left in the unalkalized wastewater when equilibrated at the pCO</w:t>
      </w:r>
      <w:r>
        <w:rPr>
          <w:vertAlign w:val="subscript"/>
        </w:rPr>
        <w:t>2</w:t>
      </w:r>
      <w:r>
        <w:t xml:space="preserve"> attained by alkalization. That difference is the loss of C from wastewater to the atmosphere that is avoided by the addition of a given quantity of alkalinity. </w:t>
      </w:r>
      <w:r w:rsidR="004C259E">
        <w:t xml:space="preserve">Consequently, this </w:t>
      </w:r>
      <w:r w:rsidR="00184928">
        <w:t xml:space="preserve">modified </w:t>
      </w:r>
      <w:r w:rsidR="004C259E">
        <w:t>CDR</w:t>
      </w:r>
      <w:r w:rsidR="004C259E">
        <w:rPr>
          <w:vertAlign w:val="subscript"/>
        </w:rPr>
        <w:t>ww</w:t>
      </w:r>
      <w:r w:rsidR="004C259E">
        <w:t xml:space="preserve"> term is derived from </w:t>
      </w:r>
      <w:r>
        <w:t>measured (pCO</w:t>
      </w:r>
      <w:r>
        <w:rPr>
          <w:vertAlign w:val="subscript"/>
        </w:rPr>
        <w:t>2pre</w:t>
      </w:r>
      <w:r>
        <w:t xml:space="preserve"> - pCO</w:t>
      </w:r>
      <w:r>
        <w:rPr>
          <w:vertAlign w:val="subscript"/>
        </w:rPr>
        <w:t>2post</w:t>
      </w:r>
      <w:r>
        <w:t xml:space="preserve">) </w:t>
      </w:r>
      <w:r w:rsidR="004C259E">
        <w:t xml:space="preserve">using a polynomial equation as shown in </w:t>
      </w:r>
      <w:r>
        <w:t>Figure A1.3 in Appendix 1.</w:t>
      </w:r>
    </w:p>
    <w:p w14:paraId="00000045" w14:textId="77777777" w:rsidR="003B3384" w:rsidRDefault="003B3384"/>
    <w:p w14:paraId="51391AD3" w14:textId="61FBE68B" w:rsidR="00A252A2" w:rsidRDefault="00A252A2" w:rsidP="00A252A2">
      <w:pPr>
        <w:pStyle w:val="Heading2"/>
      </w:pPr>
      <w:bookmarkStart w:id="4" w:name="_Toc127971109"/>
      <w:r>
        <w:t>Emissions Accounting Methodology</w:t>
      </w:r>
      <w:bookmarkEnd w:id="4"/>
    </w:p>
    <w:p w14:paraId="00000047" w14:textId="73EADAB0" w:rsidR="003B3384" w:rsidRDefault="00297AA7" w:rsidP="0003659F">
      <w:pPr>
        <w:pStyle w:val="Heading4"/>
      </w:pPr>
      <w:bookmarkStart w:id="5" w:name="_Toc127971110"/>
      <w:r>
        <w:t>System Boundary</w:t>
      </w:r>
      <w:bookmarkEnd w:id="5"/>
    </w:p>
    <w:p w14:paraId="00000048" w14:textId="77777777" w:rsidR="003B3384" w:rsidRDefault="00297AA7">
      <w:r>
        <w:t>In order to calculate the net CO</w:t>
      </w:r>
      <w:r>
        <w:rPr>
          <w:vertAlign w:val="subscript"/>
        </w:rPr>
        <w:t>2</w:t>
      </w:r>
      <w:r>
        <w:t xml:space="preserve"> removal inherent in an OAE process, the boundaries of the </w:t>
      </w:r>
      <w:r>
        <w:lastRenderedPageBreak/>
        <w:t xml:space="preserve">system under consideration must first be defined. </w:t>
      </w:r>
      <w:r>
        <w:rPr>
          <w:color w:val="000000"/>
        </w:rPr>
        <w:t>Planetary adapts the United States Environmental Protection Agency (EPA, 2022) scope language in order to maintain a system boundary and accounting scheme specific to each project site.</w:t>
      </w:r>
      <w:r>
        <w:t xml:space="preserve"> </w:t>
      </w:r>
    </w:p>
    <w:p w14:paraId="00000049" w14:textId="77777777" w:rsidR="003B3384" w:rsidRDefault="00297AA7">
      <w:pPr>
        <w:widowControl/>
        <w:spacing w:after="0"/>
      </w:pPr>
      <w:r>
        <w:rPr>
          <w:color w:val="000000"/>
        </w:rPr>
        <w:t xml:space="preserve">Scope 1- Direct, Project Emissions: </w:t>
      </w:r>
      <w:proofErr w:type="gramStart"/>
      <w:r>
        <w:rPr>
          <w:i/>
          <w:color w:val="000000"/>
        </w:rPr>
        <w:t>“..</w:t>
      </w:r>
      <w:proofErr w:type="gramEnd"/>
      <w:r>
        <w:rPr>
          <w:i/>
          <w:color w:val="000000"/>
        </w:rPr>
        <w:t>direct greenhouse (GHG) emissions that occur from sources that are controlled or owned by an organization (e.g., emissions associated with fuel combustion in boilers, furnaces, vehicles)…”</w:t>
      </w:r>
    </w:p>
    <w:p w14:paraId="0000004A" w14:textId="77777777" w:rsidR="003B3384" w:rsidRDefault="003B3384">
      <w:pPr>
        <w:widowControl/>
        <w:spacing w:after="0"/>
      </w:pPr>
    </w:p>
    <w:p w14:paraId="0000004B" w14:textId="77777777" w:rsidR="003B3384" w:rsidRDefault="00297AA7">
      <w:pPr>
        <w:widowControl/>
        <w:spacing w:after="0"/>
      </w:pPr>
      <w:r>
        <w:rPr>
          <w:color w:val="000000"/>
        </w:rPr>
        <w:t xml:space="preserve">Scope 2- Indirect, Upstream Emissions: </w:t>
      </w:r>
      <w:r>
        <w:rPr>
          <w:i/>
          <w:color w:val="000000"/>
        </w:rPr>
        <w:t>“…indirect GHG emissions associated with the purchase of electricity, steam, heat, or cooling and are a result of the organization’s energy use.”</w:t>
      </w:r>
    </w:p>
    <w:p w14:paraId="0000004C" w14:textId="77777777" w:rsidR="003B3384" w:rsidRDefault="003B3384">
      <w:pPr>
        <w:widowControl/>
        <w:spacing w:after="0"/>
      </w:pPr>
    </w:p>
    <w:p w14:paraId="0000004D" w14:textId="77777777" w:rsidR="003B3384" w:rsidRDefault="00297AA7">
      <w:pPr>
        <w:widowControl/>
        <w:spacing w:after="0"/>
      </w:pPr>
      <w:r>
        <w:rPr>
          <w:color w:val="000000"/>
        </w:rPr>
        <w:t>Scope 3- Indirect, Upstream and Downstream Emissions:</w:t>
      </w:r>
      <w:r>
        <w:rPr>
          <w:i/>
          <w:color w:val="000000"/>
        </w:rPr>
        <w:t xml:space="preserve"> “… all indirect emissions (not included in Scope 2) that occur in the value chain of the reporting company, including both upstream and downstream emissions.”</w:t>
      </w:r>
    </w:p>
    <w:p w14:paraId="0000004E" w14:textId="77777777" w:rsidR="003B3384" w:rsidRDefault="003B3384">
      <w:pPr>
        <w:widowControl/>
        <w:spacing w:after="0"/>
      </w:pPr>
    </w:p>
    <w:p w14:paraId="00000050" w14:textId="4EB66532" w:rsidR="003B3384" w:rsidRPr="0003659F" w:rsidRDefault="00297AA7" w:rsidP="0003659F">
      <w:pPr>
        <w:pStyle w:val="Heading4"/>
      </w:pPr>
      <w:bookmarkStart w:id="6" w:name="_Toc127971111"/>
      <w:r>
        <w:t>CO</w:t>
      </w:r>
      <w:r>
        <w:rPr>
          <w:sz w:val="14"/>
          <w:szCs w:val="14"/>
          <w:vertAlign w:val="subscript"/>
        </w:rPr>
        <w:t>2</w:t>
      </w:r>
      <w:r>
        <w:t xml:space="preserve"> Equivalents</w:t>
      </w:r>
      <w:bookmarkEnd w:id="6"/>
    </w:p>
    <w:p w14:paraId="00000051" w14:textId="22B9E6B8" w:rsidR="003B3384" w:rsidRDefault="00297AA7">
      <w:pPr>
        <w:widowControl/>
        <w:spacing w:after="0"/>
      </w:pPr>
      <w:r>
        <w:rPr>
          <w:color w:val="000000"/>
        </w:rPr>
        <w:t>Planetary recognizes that while the CDR credit nomenclature is often specific to carbon dioxide, project activities may generate other warming gases classified as GHG’s (ex. methane and nitrous oxide). Wherever possible, Planetary will convert and report these as CO</w:t>
      </w:r>
      <w:r>
        <w:rPr>
          <w:color w:val="000000"/>
          <w:vertAlign w:val="subscript"/>
        </w:rPr>
        <w:t>2</w:t>
      </w:r>
      <w:r>
        <w:rPr>
          <w:color w:val="000000"/>
        </w:rPr>
        <w:t>eq.  </w:t>
      </w:r>
    </w:p>
    <w:p w14:paraId="00000052" w14:textId="77777777" w:rsidR="003B3384" w:rsidRDefault="003B3384"/>
    <w:p w14:paraId="4E421BC0" w14:textId="019D3208" w:rsidR="0003659F" w:rsidRDefault="0003659F" w:rsidP="0003659F">
      <w:pPr>
        <w:pStyle w:val="Heading4"/>
      </w:pPr>
      <w:bookmarkStart w:id="7" w:name="_Toc127971112"/>
      <w:r>
        <w:t>Project Emissions</w:t>
      </w:r>
      <w:bookmarkEnd w:id="7"/>
    </w:p>
    <w:p w14:paraId="00000054" w14:textId="49153940" w:rsidR="003B3384" w:rsidRDefault="00297AA7">
      <w:pPr>
        <w:rPr>
          <w:b/>
          <w:color w:val="000000"/>
        </w:rPr>
      </w:pPr>
      <w:r>
        <w:rPr>
          <w:color w:val="000000"/>
        </w:rPr>
        <w:t>Using these definitions, the predicted project emissions categories are detailed here.</w:t>
      </w:r>
    </w:p>
    <w:p w14:paraId="00000055" w14:textId="77777777" w:rsidR="003B3384" w:rsidRDefault="00297AA7">
      <w:pPr>
        <w:widowControl/>
        <w:spacing w:after="0"/>
      </w:pPr>
      <w:r>
        <w:rPr>
          <w:b/>
          <w:color w:val="000000"/>
        </w:rPr>
        <w:t>Scope 1</w:t>
      </w:r>
      <w:r>
        <w:rPr>
          <w:color w:val="000000"/>
        </w:rPr>
        <w:t>:</w:t>
      </w:r>
    </w:p>
    <w:p w14:paraId="45806DB1" w14:textId="59DE6A6D" w:rsidR="004C4129" w:rsidRDefault="00297AA7">
      <w:pPr>
        <w:widowControl/>
        <w:numPr>
          <w:ilvl w:val="0"/>
          <w:numId w:val="7"/>
        </w:numPr>
        <w:spacing w:after="0"/>
      </w:pPr>
      <w:r>
        <w:rPr>
          <w:color w:val="000000"/>
        </w:rPr>
        <w:t>Onsite emissions from running generators for our dosing systems and onsite vehicle activity</w:t>
      </w:r>
    </w:p>
    <w:p w14:paraId="00000059" w14:textId="6851214A" w:rsidR="003B3384" w:rsidRDefault="003B3384" w:rsidP="004C4129">
      <w:pPr>
        <w:widowControl/>
        <w:spacing w:after="0"/>
        <w:ind w:left="720"/>
      </w:pPr>
    </w:p>
    <w:p w14:paraId="0000005A" w14:textId="77777777" w:rsidR="003B3384" w:rsidRDefault="00297AA7">
      <w:pPr>
        <w:widowControl/>
        <w:spacing w:after="0"/>
      </w:pPr>
      <w:r>
        <w:rPr>
          <w:b/>
          <w:color w:val="000000"/>
        </w:rPr>
        <w:t>Scope 2</w:t>
      </w:r>
      <w:r>
        <w:rPr>
          <w:color w:val="000000"/>
        </w:rPr>
        <w:t>:</w:t>
      </w:r>
    </w:p>
    <w:p w14:paraId="0000005B" w14:textId="3366B894" w:rsidR="003B3384" w:rsidRDefault="00297AA7">
      <w:pPr>
        <w:widowControl/>
        <w:numPr>
          <w:ilvl w:val="0"/>
          <w:numId w:val="8"/>
        </w:numPr>
        <w:spacing w:after="0"/>
      </w:pPr>
      <w:r>
        <w:rPr>
          <w:color w:val="000000"/>
        </w:rPr>
        <w:t xml:space="preserve">Purchased/borrowed energy from an outfall facility that comes from fossil fuels or purchased electricity to run </w:t>
      </w:r>
      <w:r w:rsidR="004540FC">
        <w:rPr>
          <w:color w:val="000000"/>
        </w:rPr>
        <w:t>project activities</w:t>
      </w:r>
    </w:p>
    <w:p w14:paraId="0000005C" w14:textId="77777777" w:rsidR="003B3384" w:rsidRDefault="003B3384">
      <w:pPr>
        <w:widowControl/>
        <w:spacing w:after="0"/>
        <w:ind w:left="720"/>
      </w:pPr>
    </w:p>
    <w:p w14:paraId="0000005D" w14:textId="77777777" w:rsidR="003B3384" w:rsidRDefault="00297AA7">
      <w:pPr>
        <w:widowControl/>
        <w:spacing w:after="0"/>
      </w:pPr>
      <w:r>
        <w:rPr>
          <w:b/>
          <w:color w:val="000000"/>
        </w:rPr>
        <w:t>Scope 3</w:t>
      </w:r>
      <w:r>
        <w:rPr>
          <w:color w:val="000000"/>
        </w:rPr>
        <w:t>:</w:t>
      </w:r>
    </w:p>
    <w:p w14:paraId="0000005E" w14:textId="77777777" w:rsidR="003B3384" w:rsidRDefault="00297AA7">
      <w:pPr>
        <w:widowControl/>
        <w:numPr>
          <w:ilvl w:val="0"/>
          <w:numId w:val="8"/>
        </w:numPr>
        <w:spacing w:after="0"/>
      </w:pPr>
      <w:r>
        <w:rPr>
          <w:color w:val="000000"/>
        </w:rPr>
        <w:t>Alkaline feedstock embedded emissions</w:t>
      </w:r>
      <w:r>
        <w:t xml:space="preserve"> (see below)</w:t>
      </w:r>
    </w:p>
    <w:p w14:paraId="0000005F" w14:textId="77777777" w:rsidR="003B3384" w:rsidRDefault="00297AA7">
      <w:pPr>
        <w:widowControl/>
        <w:numPr>
          <w:ilvl w:val="0"/>
          <w:numId w:val="8"/>
        </w:numPr>
        <w:spacing w:after="0"/>
      </w:pPr>
      <w:r>
        <w:rPr>
          <w:color w:val="000000"/>
        </w:rPr>
        <w:t>Embedded emissions in our pumps, hoses, tanks, electrical equipment (amortized over the product lifespan)</w:t>
      </w:r>
    </w:p>
    <w:p w14:paraId="00000060" w14:textId="77777777" w:rsidR="003B3384" w:rsidRDefault="00297AA7">
      <w:pPr>
        <w:widowControl/>
        <w:numPr>
          <w:ilvl w:val="0"/>
          <w:numId w:val="8"/>
        </w:numPr>
        <w:spacing w:after="0"/>
      </w:pPr>
      <w:r>
        <w:rPr>
          <w:color w:val="000000"/>
        </w:rPr>
        <w:t>Business travel required specifically for the project activity</w:t>
      </w:r>
    </w:p>
    <w:p w14:paraId="00000061" w14:textId="77777777" w:rsidR="003B3384" w:rsidRDefault="00297AA7">
      <w:pPr>
        <w:widowControl/>
        <w:numPr>
          <w:ilvl w:val="0"/>
          <w:numId w:val="8"/>
        </w:numPr>
        <w:spacing w:after="0"/>
      </w:pPr>
      <w:r>
        <w:rPr>
          <w:color w:val="000000"/>
        </w:rPr>
        <w:t>Waste generated in our operations</w:t>
      </w:r>
    </w:p>
    <w:p w14:paraId="00000062" w14:textId="77777777" w:rsidR="003B3384" w:rsidRDefault="00297AA7">
      <w:pPr>
        <w:widowControl/>
        <w:numPr>
          <w:ilvl w:val="0"/>
          <w:numId w:val="8"/>
        </w:numPr>
        <w:spacing w:after="0"/>
      </w:pPr>
      <w:r>
        <w:rPr>
          <w:color w:val="000000"/>
        </w:rPr>
        <w:t>Any additional capital goods (amortized over the product lifespan)</w:t>
      </w:r>
    </w:p>
    <w:p w14:paraId="00000063" w14:textId="77777777" w:rsidR="003B3384" w:rsidRDefault="00297AA7">
      <w:pPr>
        <w:widowControl/>
        <w:numPr>
          <w:ilvl w:val="0"/>
          <w:numId w:val="8"/>
        </w:numPr>
        <w:spacing w:after="0"/>
      </w:pPr>
      <w:r>
        <w:rPr>
          <w:color w:val="000000"/>
        </w:rPr>
        <w:t>Any emissions generating services or goods used while on site</w:t>
      </w:r>
    </w:p>
    <w:p w14:paraId="00000064" w14:textId="77777777" w:rsidR="003B3384" w:rsidRDefault="003B3384">
      <w:pPr>
        <w:widowControl/>
        <w:spacing w:after="0"/>
      </w:pPr>
    </w:p>
    <w:p w14:paraId="00000065" w14:textId="77777777" w:rsidR="003B3384" w:rsidRDefault="00297AA7">
      <w:r>
        <w:rPr>
          <w:color w:val="000000"/>
        </w:rPr>
        <w:t>Planetary is actively engineering and assembling many of the components and resources required to successfully achieve its first project deployments. LCA will be fully documented and accounted for including these emissions as part of the verification of net CDR</w:t>
      </w:r>
      <w:r>
        <w:t>.</w:t>
      </w:r>
    </w:p>
    <w:p w14:paraId="00000066" w14:textId="77777777" w:rsidR="003B3384" w:rsidRDefault="003B3384"/>
    <w:p w14:paraId="00000067" w14:textId="1876D5FE" w:rsidR="003B3384" w:rsidRDefault="00297AA7" w:rsidP="0003659F">
      <w:pPr>
        <w:pStyle w:val="Heading4"/>
      </w:pPr>
      <w:bookmarkStart w:id="8" w:name="_Toc127971113"/>
      <w:r>
        <w:lastRenderedPageBreak/>
        <w:t>Alkaline Feedstock Embedded Emissions</w:t>
      </w:r>
      <w:bookmarkEnd w:id="8"/>
    </w:p>
    <w:p w14:paraId="00000068" w14:textId="304D9655" w:rsidR="003B3384" w:rsidRDefault="00297AA7">
      <w:pPr>
        <w:widowControl/>
        <w:spacing w:after="0"/>
        <w:rPr>
          <w:color w:val="000000"/>
        </w:rPr>
      </w:pPr>
      <w:r>
        <w:rPr>
          <w:color w:val="000000"/>
        </w:rPr>
        <w:t>MH production and transportation is</w:t>
      </w:r>
      <w:r w:rsidR="00CB0B0C">
        <w:rPr>
          <w:color w:val="000000"/>
        </w:rPr>
        <w:t xml:space="preserve"> expected to be</w:t>
      </w:r>
      <w:r>
        <w:rPr>
          <w:color w:val="000000"/>
        </w:rPr>
        <w:t xml:space="preserve"> the largest emissions source. This includes mining, processing, treatments, transportation, as well as dosing of the alkalinity.</w:t>
      </w:r>
    </w:p>
    <w:p w14:paraId="00000069" w14:textId="12683080" w:rsidR="003B3384" w:rsidRDefault="00297AA7">
      <w:pPr>
        <w:widowControl/>
        <w:spacing w:before="280" w:after="280"/>
        <w:rPr>
          <w:color w:val="000000"/>
        </w:rPr>
      </w:pPr>
      <w:r>
        <w:rPr>
          <w:color w:val="000000"/>
        </w:rPr>
        <w:t xml:space="preserve">MH production can be accomplished through </w:t>
      </w:r>
      <w:proofErr w:type="gramStart"/>
      <w:r>
        <w:rPr>
          <w:color w:val="000000"/>
        </w:rPr>
        <w:t>a number of</w:t>
      </w:r>
      <w:proofErr w:type="gramEnd"/>
      <w:r>
        <w:rPr>
          <w:color w:val="000000"/>
        </w:rPr>
        <w:t xml:space="preserve"> different pathways, which fall into five broad categories: Mined, Brine, Electrolytic, Leached, and Calcined. Planetary has explored each of these pathways and determined that achieving net</w:t>
      </w:r>
      <w:r w:rsidR="004540FC">
        <w:rPr>
          <w:color w:val="000000"/>
        </w:rPr>
        <w:t xml:space="preserve"> </w:t>
      </w:r>
      <w:r>
        <w:rPr>
          <w:color w:val="000000"/>
        </w:rPr>
        <w:t xml:space="preserve">CDR is possible from either the individual pathway or a blend of these. The embedded emissions are calculated from cradle to grave on a project-by-project basis using industry standard LCA calculations. </w:t>
      </w:r>
    </w:p>
    <w:p w14:paraId="42195606" w14:textId="77777777" w:rsidR="0003659F" w:rsidRDefault="0003659F">
      <w:pPr>
        <w:widowControl/>
        <w:spacing w:before="280" w:after="280"/>
        <w:rPr>
          <w:color w:val="000000"/>
        </w:rPr>
      </w:pPr>
    </w:p>
    <w:p w14:paraId="2D0EED9F" w14:textId="10153C86" w:rsidR="00D22257" w:rsidRDefault="00D22257" w:rsidP="002D4771">
      <w:pPr>
        <w:pStyle w:val="Heading2"/>
      </w:pPr>
      <w:bookmarkStart w:id="9" w:name="_Toc127971114"/>
      <w:r>
        <w:t>Dosing, Measurement and Monitoring</w:t>
      </w:r>
      <w:bookmarkEnd w:id="9"/>
    </w:p>
    <w:p w14:paraId="0000006B" w14:textId="2871B3E4" w:rsidR="003B3384" w:rsidRDefault="00297AA7">
      <w:r>
        <w:t xml:space="preserve">In order to verify Planetary’s CDR, it is necessary to measure a set of core chemical and physical parameters before, during, and after alkalization, and use the resulting data set to calculate all the core variables in the fundamental CDR equations described above. These raw measurements, and a schematic illustrating the proposed monitoring setup for wastewater discharge, are shown below. </w:t>
      </w:r>
    </w:p>
    <w:p w14:paraId="0000006C" w14:textId="77777777" w:rsidR="003B3384" w:rsidRDefault="00297AA7">
      <w:r>
        <w:rPr>
          <w:noProof/>
        </w:rPr>
        <w:drawing>
          <wp:inline distT="0" distB="0" distL="0" distR="0" wp14:anchorId="5446B303" wp14:editId="374E4ED6">
            <wp:extent cx="5849093" cy="3006090"/>
            <wp:effectExtent l="0" t="0" r="0" b="0"/>
            <wp:docPr id="18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849093" cy="3006090"/>
                    </a:xfrm>
                    <a:prstGeom prst="rect">
                      <a:avLst/>
                    </a:prstGeom>
                    <a:ln/>
                  </pic:spPr>
                </pic:pic>
              </a:graphicData>
            </a:graphic>
          </wp:inline>
        </w:drawing>
      </w:r>
    </w:p>
    <w:p w14:paraId="0000006D" w14:textId="77777777" w:rsidR="003B3384" w:rsidRDefault="00297AA7">
      <w:r>
        <w:rPr>
          <w:b/>
        </w:rPr>
        <w:t>Figure 3</w:t>
      </w:r>
      <w:r>
        <w:t>. Schematic showing the layout of Planetary’s monitoring program, the measurements made at each location, and the resulting parameters required for calculation of CDR</w:t>
      </w:r>
      <w:r>
        <w:rPr>
          <w:vertAlign w:val="subscript"/>
        </w:rPr>
        <w:t>gross</w:t>
      </w:r>
      <w:r>
        <w:t>. TSS is total suspended solids.</w:t>
      </w:r>
    </w:p>
    <w:p w14:paraId="0000006E" w14:textId="77777777" w:rsidR="003B3384" w:rsidRDefault="003B3384"/>
    <w:p w14:paraId="7D8F80A6" w14:textId="17F5FD0C" w:rsidR="00F656C5" w:rsidRDefault="00F656C5" w:rsidP="00F656C5">
      <w:r>
        <w:t xml:space="preserve">In order to appropriately generate carbon removal credits, this measurement plan must expand to account for positive and negative emissions across the entire OAE process. As such, the table below summarizes the measurements to be conducted and frequency of those measurements. </w:t>
      </w:r>
    </w:p>
    <w:tbl>
      <w:tblPr>
        <w:tblStyle w:val="TableGrid"/>
        <w:tblW w:w="0" w:type="auto"/>
        <w:tblLook w:val="04A0" w:firstRow="1" w:lastRow="0" w:firstColumn="1" w:lastColumn="0" w:noHBand="0" w:noVBand="1"/>
      </w:tblPr>
      <w:tblGrid>
        <w:gridCol w:w="3005"/>
        <w:gridCol w:w="3005"/>
        <w:gridCol w:w="3006"/>
      </w:tblGrid>
      <w:tr w:rsidR="003F0BF7" w14:paraId="604EBFD3" w14:textId="77777777" w:rsidTr="003F0BF7">
        <w:tc>
          <w:tcPr>
            <w:tcW w:w="3005" w:type="dxa"/>
          </w:tcPr>
          <w:p w14:paraId="4F17A2BD" w14:textId="319598C7" w:rsidR="003F0BF7" w:rsidRPr="003E2F6D" w:rsidRDefault="003F0BF7" w:rsidP="00F656C5">
            <w:pPr>
              <w:rPr>
                <w:b/>
                <w:bCs/>
              </w:rPr>
            </w:pPr>
            <w:r w:rsidRPr="003E2F6D">
              <w:rPr>
                <w:b/>
                <w:bCs/>
              </w:rPr>
              <w:t>Step</w:t>
            </w:r>
          </w:p>
        </w:tc>
        <w:tc>
          <w:tcPr>
            <w:tcW w:w="3005" w:type="dxa"/>
          </w:tcPr>
          <w:p w14:paraId="58CB0214" w14:textId="45A9DD25" w:rsidR="003F0BF7" w:rsidRPr="003E2F6D" w:rsidRDefault="003F0BF7" w:rsidP="00F656C5">
            <w:pPr>
              <w:rPr>
                <w:b/>
                <w:bCs/>
              </w:rPr>
            </w:pPr>
            <w:r w:rsidRPr="003E2F6D">
              <w:rPr>
                <w:b/>
                <w:bCs/>
              </w:rPr>
              <w:t>Measurement</w:t>
            </w:r>
          </w:p>
        </w:tc>
        <w:tc>
          <w:tcPr>
            <w:tcW w:w="3006" w:type="dxa"/>
          </w:tcPr>
          <w:p w14:paraId="7F1B95CC" w14:textId="5A4C87EE" w:rsidR="003F0BF7" w:rsidRPr="003E2F6D" w:rsidRDefault="003F0BF7" w:rsidP="00F656C5">
            <w:pPr>
              <w:rPr>
                <w:b/>
                <w:bCs/>
              </w:rPr>
            </w:pPr>
            <w:r w:rsidRPr="003E2F6D">
              <w:rPr>
                <w:b/>
                <w:bCs/>
              </w:rPr>
              <w:t>Frequency</w:t>
            </w:r>
          </w:p>
        </w:tc>
      </w:tr>
      <w:tr w:rsidR="003F0BF7" w14:paraId="563F0209" w14:textId="77777777" w:rsidTr="003F0BF7">
        <w:tc>
          <w:tcPr>
            <w:tcW w:w="3005" w:type="dxa"/>
          </w:tcPr>
          <w:p w14:paraId="4821E049" w14:textId="09D9F775" w:rsidR="003F0BF7" w:rsidRDefault="003F0BF7" w:rsidP="00F656C5">
            <w:r>
              <w:rPr>
                <w:b/>
                <w:sz w:val="18"/>
                <w:szCs w:val="18"/>
              </w:rPr>
              <w:t>LCA of Alkalinity</w:t>
            </w:r>
          </w:p>
        </w:tc>
        <w:tc>
          <w:tcPr>
            <w:tcW w:w="3005" w:type="dxa"/>
          </w:tcPr>
          <w:p w14:paraId="56A63A2B" w14:textId="29B666FB" w:rsidR="003F0BF7" w:rsidRDefault="003F0BF7" w:rsidP="00F656C5">
            <w:r>
              <w:rPr>
                <w:sz w:val="18"/>
                <w:szCs w:val="18"/>
              </w:rPr>
              <w:t>Provided by supplier</w:t>
            </w:r>
          </w:p>
        </w:tc>
        <w:tc>
          <w:tcPr>
            <w:tcW w:w="3006" w:type="dxa"/>
          </w:tcPr>
          <w:p w14:paraId="421261CE" w14:textId="62B730C3" w:rsidR="003F0BF7" w:rsidRDefault="003F0BF7" w:rsidP="00F656C5">
            <w:r>
              <w:rPr>
                <w:sz w:val="18"/>
                <w:szCs w:val="18"/>
              </w:rPr>
              <w:t>Upon new source and every year</w:t>
            </w:r>
          </w:p>
        </w:tc>
      </w:tr>
      <w:tr w:rsidR="003F0BF7" w14:paraId="685E4BD1" w14:textId="77777777" w:rsidTr="003F0BF7">
        <w:tc>
          <w:tcPr>
            <w:tcW w:w="3005" w:type="dxa"/>
          </w:tcPr>
          <w:p w14:paraId="4A3E0A2E" w14:textId="76C962D0" w:rsidR="003F0BF7" w:rsidRDefault="003F0BF7" w:rsidP="00F656C5">
            <w:r>
              <w:rPr>
                <w:b/>
                <w:sz w:val="18"/>
                <w:szCs w:val="18"/>
              </w:rPr>
              <w:t>LCA of Transportation to Site</w:t>
            </w:r>
          </w:p>
        </w:tc>
        <w:tc>
          <w:tcPr>
            <w:tcW w:w="3005" w:type="dxa"/>
          </w:tcPr>
          <w:p w14:paraId="49196AAA" w14:textId="2760729E" w:rsidR="003F0BF7" w:rsidRDefault="003F0BF7" w:rsidP="00F656C5">
            <w:r>
              <w:rPr>
                <w:sz w:val="18"/>
                <w:szCs w:val="18"/>
              </w:rPr>
              <w:t xml:space="preserve">Bill of lading, distances and mode </w:t>
            </w:r>
            <w:r>
              <w:rPr>
                <w:sz w:val="18"/>
                <w:szCs w:val="18"/>
              </w:rPr>
              <w:lastRenderedPageBreak/>
              <w:t>using standard emissions factors to derive LCA</w:t>
            </w:r>
          </w:p>
        </w:tc>
        <w:tc>
          <w:tcPr>
            <w:tcW w:w="3006" w:type="dxa"/>
          </w:tcPr>
          <w:p w14:paraId="6F1DE16F" w14:textId="7B6E2311" w:rsidR="003F0BF7" w:rsidRDefault="003F0BF7" w:rsidP="00F656C5">
            <w:r>
              <w:rPr>
                <w:sz w:val="18"/>
                <w:szCs w:val="18"/>
              </w:rPr>
              <w:lastRenderedPageBreak/>
              <w:t>Per load</w:t>
            </w:r>
          </w:p>
        </w:tc>
      </w:tr>
      <w:tr w:rsidR="003F0BF7" w14:paraId="5AF25ADE" w14:textId="77777777" w:rsidTr="003F0BF7">
        <w:tc>
          <w:tcPr>
            <w:tcW w:w="3005" w:type="dxa"/>
          </w:tcPr>
          <w:p w14:paraId="048F91BB" w14:textId="5E96C4BC" w:rsidR="003F0BF7" w:rsidRDefault="003F0BF7" w:rsidP="00F656C5">
            <w:r>
              <w:rPr>
                <w:b/>
                <w:sz w:val="18"/>
                <w:szCs w:val="18"/>
              </w:rPr>
              <w:t>LCA of Dosing System</w:t>
            </w:r>
          </w:p>
        </w:tc>
        <w:tc>
          <w:tcPr>
            <w:tcW w:w="3005" w:type="dxa"/>
          </w:tcPr>
          <w:p w14:paraId="12D66FA1" w14:textId="73126979" w:rsidR="003F0BF7" w:rsidRDefault="003F0BF7" w:rsidP="00F656C5">
            <w:r>
              <w:rPr>
                <w:sz w:val="18"/>
                <w:szCs w:val="18"/>
              </w:rPr>
              <w:t>LCA calculation per LCA section</w:t>
            </w:r>
          </w:p>
        </w:tc>
        <w:tc>
          <w:tcPr>
            <w:tcW w:w="3006" w:type="dxa"/>
          </w:tcPr>
          <w:p w14:paraId="47852BE9" w14:textId="7B31FF3B" w:rsidR="003F0BF7" w:rsidRDefault="003F0BF7" w:rsidP="00F656C5">
            <w:r>
              <w:rPr>
                <w:sz w:val="18"/>
                <w:szCs w:val="18"/>
              </w:rPr>
              <w:t>Upon installation or modification of dosing setup</w:t>
            </w:r>
          </w:p>
        </w:tc>
      </w:tr>
      <w:tr w:rsidR="003F0BF7" w14:paraId="397DAB80" w14:textId="77777777" w:rsidTr="003F0BF7">
        <w:tc>
          <w:tcPr>
            <w:tcW w:w="3005" w:type="dxa"/>
          </w:tcPr>
          <w:p w14:paraId="1E94CC98" w14:textId="4B30D21B" w:rsidR="003F0BF7" w:rsidRDefault="003F0BF7" w:rsidP="00F656C5">
            <w:r>
              <w:rPr>
                <w:b/>
                <w:sz w:val="18"/>
                <w:szCs w:val="18"/>
              </w:rPr>
              <w:t>Dose added</w:t>
            </w:r>
          </w:p>
        </w:tc>
        <w:tc>
          <w:tcPr>
            <w:tcW w:w="3005" w:type="dxa"/>
          </w:tcPr>
          <w:p w14:paraId="4D79A3CE" w14:textId="2E6B56AE" w:rsidR="003F0BF7" w:rsidRDefault="003F0BF7" w:rsidP="00F656C5">
            <w:r>
              <w:rPr>
                <w:sz w:val="18"/>
                <w:szCs w:val="18"/>
              </w:rPr>
              <w:t>Dosing system flow rate x slurry concentration</w:t>
            </w:r>
          </w:p>
        </w:tc>
        <w:tc>
          <w:tcPr>
            <w:tcW w:w="3006" w:type="dxa"/>
          </w:tcPr>
          <w:p w14:paraId="4E8E05B4" w14:textId="6688BD03" w:rsidR="003F0BF7" w:rsidRDefault="003F0BF7" w:rsidP="00F656C5">
            <w:r>
              <w:rPr>
                <w:sz w:val="18"/>
                <w:szCs w:val="18"/>
              </w:rPr>
              <w:t>Continuous</w:t>
            </w:r>
          </w:p>
        </w:tc>
      </w:tr>
      <w:tr w:rsidR="003F0BF7" w14:paraId="4CCCBAA8" w14:textId="77777777" w:rsidTr="003F0BF7">
        <w:tc>
          <w:tcPr>
            <w:tcW w:w="3005" w:type="dxa"/>
          </w:tcPr>
          <w:p w14:paraId="25291090" w14:textId="69E7D00C" w:rsidR="003F0BF7" w:rsidRDefault="003F0BF7" w:rsidP="00F656C5">
            <w:r>
              <w:rPr>
                <w:b/>
                <w:sz w:val="18"/>
                <w:szCs w:val="18"/>
              </w:rPr>
              <w:t>CDR</w:t>
            </w:r>
            <w:r>
              <w:rPr>
                <w:b/>
                <w:sz w:val="18"/>
                <w:szCs w:val="18"/>
                <w:vertAlign w:val="subscript"/>
              </w:rPr>
              <w:t>ww</w:t>
            </w:r>
          </w:p>
        </w:tc>
        <w:tc>
          <w:tcPr>
            <w:tcW w:w="3005" w:type="dxa"/>
          </w:tcPr>
          <w:p w14:paraId="336D2D98" w14:textId="49BC4840" w:rsidR="003F0BF7" w:rsidRDefault="003F0BF7" w:rsidP="00F656C5">
            <w:r>
              <w:rPr>
                <w:sz w:val="18"/>
                <w:szCs w:val="18"/>
              </w:rPr>
              <w:t>pCO</w:t>
            </w:r>
            <w:r>
              <w:rPr>
                <w:sz w:val="18"/>
                <w:szCs w:val="18"/>
                <w:vertAlign w:val="subscript"/>
              </w:rPr>
              <w:t>2</w:t>
            </w:r>
            <w:r>
              <w:rPr>
                <w:sz w:val="18"/>
                <w:szCs w:val="18"/>
              </w:rPr>
              <w:t xml:space="preserve"> pre-addition - pCO</w:t>
            </w:r>
            <w:r>
              <w:rPr>
                <w:sz w:val="18"/>
                <w:szCs w:val="18"/>
                <w:vertAlign w:val="subscript"/>
              </w:rPr>
              <w:t xml:space="preserve">2 </w:t>
            </w:r>
            <w:r>
              <w:rPr>
                <w:sz w:val="18"/>
                <w:szCs w:val="18"/>
              </w:rPr>
              <w:t>post-addition</w:t>
            </w:r>
          </w:p>
        </w:tc>
        <w:tc>
          <w:tcPr>
            <w:tcW w:w="3006" w:type="dxa"/>
          </w:tcPr>
          <w:p w14:paraId="7E7AEC6B" w14:textId="65B6C4A3" w:rsidR="003F0BF7" w:rsidRDefault="003E2F6D" w:rsidP="00F656C5">
            <w:r>
              <w:rPr>
                <w:sz w:val="18"/>
                <w:szCs w:val="18"/>
              </w:rPr>
              <w:t>Continuous</w:t>
            </w:r>
          </w:p>
        </w:tc>
      </w:tr>
      <w:tr w:rsidR="003F0BF7" w14:paraId="6DACF434" w14:textId="77777777" w:rsidTr="003F0BF7">
        <w:tc>
          <w:tcPr>
            <w:tcW w:w="3005" w:type="dxa"/>
          </w:tcPr>
          <w:p w14:paraId="585A09F0" w14:textId="22486EFB" w:rsidR="003F0BF7" w:rsidRDefault="003F0BF7" w:rsidP="00F656C5">
            <w:pPr>
              <w:rPr>
                <w:b/>
                <w:sz w:val="18"/>
                <w:szCs w:val="18"/>
              </w:rPr>
            </w:pPr>
            <w:r>
              <w:rPr>
                <w:b/>
                <w:sz w:val="18"/>
                <w:szCs w:val="18"/>
              </w:rPr>
              <w:t>CDR</w:t>
            </w:r>
            <w:r>
              <w:rPr>
                <w:b/>
                <w:sz w:val="18"/>
                <w:szCs w:val="18"/>
                <w:vertAlign w:val="subscript"/>
              </w:rPr>
              <w:t>eff</w:t>
            </w:r>
          </w:p>
        </w:tc>
        <w:tc>
          <w:tcPr>
            <w:tcW w:w="3005" w:type="dxa"/>
          </w:tcPr>
          <w:p w14:paraId="113C21CB" w14:textId="2D3736A7" w:rsidR="003F0BF7" w:rsidRDefault="003F0BF7" w:rsidP="00F656C5">
            <w:r>
              <w:rPr>
                <w:sz w:val="18"/>
                <w:szCs w:val="18"/>
              </w:rPr>
              <w:t xml:space="preserve">Derived from </w:t>
            </w:r>
            <w:r w:rsidR="003E2F6D">
              <w:rPr>
                <w:sz w:val="18"/>
                <w:szCs w:val="18"/>
              </w:rPr>
              <w:t xml:space="preserve">numerical simulations of </w:t>
            </w:r>
            <w:r>
              <w:rPr>
                <w:sz w:val="18"/>
                <w:szCs w:val="18"/>
              </w:rPr>
              <w:t xml:space="preserve">effluent </w:t>
            </w:r>
            <w:r w:rsidR="003E2F6D">
              <w:rPr>
                <w:sz w:val="18"/>
                <w:szCs w:val="18"/>
              </w:rPr>
              <w:t>dispersion and regional oceanographic conditions</w:t>
            </w:r>
          </w:p>
        </w:tc>
        <w:tc>
          <w:tcPr>
            <w:tcW w:w="3006" w:type="dxa"/>
          </w:tcPr>
          <w:p w14:paraId="4AE927E9" w14:textId="20D9377C" w:rsidR="003F0BF7" w:rsidRPr="003E2F6D" w:rsidRDefault="003F0BF7" w:rsidP="00F656C5">
            <w:pPr>
              <w:rPr>
                <w:sz w:val="18"/>
                <w:szCs w:val="18"/>
              </w:rPr>
            </w:pPr>
            <w:r>
              <w:rPr>
                <w:sz w:val="18"/>
                <w:szCs w:val="18"/>
              </w:rPr>
              <w:t>Model re-validated with ocean sensing and DIC/TA spot measurements every year</w:t>
            </w:r>
          </w:p>
        </w:tc>
      </w:tr>
      <w:tr w:rsidR="003F0BF7" w14:paraId="05D64D60" w14:textId="77777777" w:rsidTr="003F0BF7">
        <w:tc>
          <w:tcPr>
            <w:tcW w:w="3005" w:type="dxa"/>
          </w:tcPr>
          <w:p w14:paraId="27CB0F8D" w14:textId="509D2E99" w:rsidR="003F0BF7" w:rsidRPr="003E2F6D" w:rsidRDefault="003F0BF7" w:rsidP="00F656C5">
            <w:pPr>
              <w:rPr>
                <w:b/>
                <w:sz w:val="18"/>
                <w:szCs w:val="18"/>
                <w:vertAlign w:val="subscript"/>
              </w:rPr>
            </w:pPr>
            <w:r>
              <w:rPr>
                <w:b/>
                <w:sz w:val="18"/>
                <w:szCs w:val="18"/>
              </w:rPr>
              <w:t>CDR</w:t>
            </w:r>
            <w:r w:rsidR="00B652F5">
              <w:rPr>
                <w:b/>
                <w:sz w:val="18"/>
                <w:szCs w:val="18"/>
              </w:rPr>
              <w:t xml:space="preserve"> ratio</w:t>
            </w:r>
          </w:p>
        </w:tc>
        <w:tc>
          <w:tcPr>
            <w:tcW w:w="3005" w:type="dxa"/>
          </w:tcPr>
          <w:p w14:paraId="34204A79" w14:textId="1F449E6E" w:rsidR="003F0BF7" w:rsidRDefault="003F0BF7" w:rsidP="00F656C5">
            <w:pPr>
              <w:rPr>
                <w:sz w:val="18"/>
                <w:szCs w:val="18"/>
              </w:rPr>
            </w:pPr>
            <w:r>
              <w:rPr>
                <w:sz w:val="18"/>
                <w:szCs w:val="18"/>
              </w:rPr>
              <w:t>Point of discharge CTD sensor &amp; pH measurements applied to CO2SYS model</w:t>
            </w:r>
          </w:p>
        </w:tc>
        <w:tc>
          <w:tcPr>
            <w:tcW w:w="3006" w:type="dxa"/>
          </w:tcPr>
          <w:p w14:paraId="55D5CAEA" w14:textId="576A8AED" w:rsidR="003F0BF7" w:rsidRDefault="003F0BF7" w:rsidP="00F656C5">
            <w:pPr>
              <w:rPr>
                <w:sz w:val="18"/>
                <w:szCs w:val="18"/>
              </w:rPr>
            </w:pPr>
            <w:r>
              <w:rPr>
                <w:sz w:val="18"/>
                <w:szCs w:val="18"/>
              </w:rPr>
              <w:t>Every 3 months</w:t>
            </w:r>
          </w:p>
        </w:tc>
      </w:tr>
      <w:tr w:rsidR="003F0BF7" w14:paraId="286887A3" w14:textId="77777777" w:rsidTr="003F0BF7">
        <w:tc>
          <w:tcPr>
            <w:tcW w:w="3005" w:type="dxa"/>
          </w:tcPr>
          <w:p w14:paraId="38AB13D7" w14:textId="0DA51143" w:rsidR="003F0BF7" w:rsidRDefault="003F0BF7" w:rsidP="00F656C5">
            <w:pPr>
              <w:rPr>
                <w:b/>
                <w:sz w:val="18"/>
                <w:szCs w:val="18"/>
              </w:rPr>
            </w:pPr>
            <w:r>
              <w:rPr>
                <w:b/>
                <w:sz w:val="18"/>
                <w:szCs w:val="18"/>
              </w:rPr>
              <w:t>Permit Compliance</w:t>
            </w:r>
          </w:p>
        </w:tc>
        <w:tc>
          <w:tcPr>
            <w:tcW w:w="3005" w:type="dxa"/>
          </w:tcPr>
          <w:p w14:paraId="1624FC8B" w14:textId="4EADB85E" w:rsidR="003F0BF7" w:rsidRDefault="003F0BF7" w:rsidP="00F656C5">
            <w:pPr>
              <w:rPr>
                <w:sz w:val="18"/>
                <w:szCs w:val="18"/>
              </w:rPr>
            </w:pPr>
            <w:r>
              <w:rPr>
                <w:sz w:val="18"/>
                <w:szCs w:val="18"/>
              </w:rPr>
              <w:t>TSS &amp; pH sensor</w:t>
            </w:r>
          </w:p>
        </w:tc>
        <w:tc>
          <w:tcPr>
            <w:tcW w:w="3006" w:type="dxa"/>
          </w:tcPr>
          <w:p w14:paraId="23F92761" w14:textId="40BE355E" w:rsidR="003F0BF7" w:rsidRDefault="003F0BF7" w:rsidP="00F656C5">
            <w:pPr>
              <w:rPr>
                <w:sz w:val="18"/>
                <w:szCs w:val="18"/>
              </w:rPr>
            </w:pPr>
            <w:r>
              <w:rPr>
                <w:sz w:val="18"/>
                <w:szCs w:val="18"/>
              </w:rPr>
              <w:t xml:space="preserve">Continuous </w:t>
            </w:r>
          </w:p>
        </w:tc>
      </w:tr>
    </w:tbl>
    <w:p w14:paraId="0A9F12B5" w14:textId="77777777" w:rsidR="003F0BF7" w:rsidRDefault="003F0BF7" w:rsidP="00F656C5"/>
    <w:p w14:paraId="05475D5D" w14:textId="77777777" w:rsidR="00F656C5" w:rsidRDefault="00F656C5" w:rsidP="00F656C5">
      <w:r>
        <w:t>Ideally, the ocean measurement protocol would determine the seawater CO</w:t>
      </w:r>
      <w:r>
        <w:rPr>
          <w:vertAlign w:val="subscript"/>
        </w:rPr>
        <w:t>2</w:t>
      </w:r>
      <w:r>
        <w:t xml:space="preserve"> undersaturation relative to air resulting from hydroxide addition, and the subsequent increase in seawater DIC as atmospheric CO</w:t>
      </w:r>
      <w:r>
        <w:rPr>
          <w:vertAlign w:val="subscript"/>
        </w:rPr>
        <w:t>2</w:t>
      </w:r>
      <w:r>
        <w:t xml:space="preserve"> invades. However, direct measurement of an increase in seawater DIC over the entire volume of seawater affected is not currently possible. This is due to:</w:t>
      </w:r>
    </w:p>
    <w:p w14:paraId="1DD57268" w14:textId="77777777" w:rsidR="00F656C5" w:rsidRDefault="00F656C5" w:rsidP="00F656C5">
      <w:pPr>
        <w:numPr>
          <w:ilvl w:val="0"/>
          <w:numId w:val="6"/>
        </w:numPr>
        <w:ind w:left="630" w:hanging="450"/>
      </w:pPr>
      <w:r>
        <w:t xml:space="preserve">the time and space scales involved, </w:t>
      </w:r>
    </w:p>
    <w:p w14:paraId="2092CD69" w14:textId="77777777" w:rsidR="00F656C5" w:rsidRDefault="00F656C5" w:rsidP="00F656C5">
      <w:pPr>
        <w:numPr>
          <w:ilvl w:val="0"/>
          <w:numId w:val="6"/>
        </w:numPr>
        <w:ind w:left="630" w:hanging="450"/>
      </w:pPr>
      <w:r>
        <w:t>the continuous and significant dilution of the added alkalinity and affected seawater,</w:t>
      </w:r>
    </w:p>
    <w:p w14:paraId="3ADEEF84" w14:textId="77777777" w:rsidR="00F656C5" w:rsidRDefault="00F656C5" w:rsidP="00F656C5">
      <w:pPr>
        <w:numPr>
          <w:ilvl w:val="0"/>
          <w:numId w:val="6"/>
        </w:numPr>
        <w:ind w:left="630" w:hanging="450"/>
      </w:pPr>
      <w:r>
        <w:t xml:space="preserve">the natural background variability of seawater chemistry, and </w:t>
      </w:r>
    </w:p>
    <w:p w14:paraId="1597618A" w14:textId="77777777" w:rsidR="00F656C5" w:rsidRDefault="00F656C5" w:rsidP="00F656C5">
      <w:pPr>
        <w:numPr>
          <w:ilvl w:val="0"/>
          <w:numId w:val="6"/>
        </w:numPr>
        <w:ind w:left="630" w:hanging="450"/>
      </w:pPr>
      <w:r>
        <w:t xml:space="preserve">the limitations of measurement precision and accuracy. </w:t>
      </w:r>
    </w:p>
    <w:p w14:paraId="2AEE301D" w14:textId="57AA2B6C" w:rsidR="00F656C5" w:rsidRPr="00452398" w:rsidRDefault="00F656C5" w:rsidP="00452398">
      <w:r>
        <w:t xml:space="preserve">As a result, beyond areas where an increase in seawater DIC is measurable, well-validated ocean models will be used to determine the amount of CDR achieved through OAE. </w:t>
      </w:r>
    </w:p>
    <w:p w14:paraId="0000009A" w14:textId="77777777" w:rsidR="003B3384" w:rsidRDefault="003B3384"/>
    <w:p w14:paraId="6E5D940A" w14:textId="04DE8576" w:rsidR="002D4771" w:rsidRDefault="002D4771" w:rsidP="002D4771">
      <w:pPr>
        <w:pStyle w:val="Heading2"/>
      </w:pPr>
      <w:bookmarkStart w:id="10" w:name="_Toc127971115"/>
      <w:r>
        <w:t>Additional Considerations</w:t>
      </w:r>
      <w:bookmarkEnd w:id="10"/>
    </w:p>
    <w:p w14:paraId="000000B7" w14:textId="2B911F26" w:rsidR="003B3384" w:rsidRDefault="00297AA7" w:rsidP="0003659F">
      <w:pPr>
        <w:pStyle w:val="Heading4"/>
        <w:rPr>
          <w:rFonts w:ascii="Arial" w:eastAsia="Arial" w:hAnsi="Arial" w:cs="Arial"/>
          <w:color w:val="000000"/>
          <w:sz w:val="22"/>
          <w:szCs w:val="22"/>
        </w:rPr>
      </w:pPr>
      <w:bookmarkStart w:id="11" w:name="_Toc127971116"/>
      <w:r>
        <w:t>Consideration and Monitoring of Ecological Safety</w:t>
      </w:r>
      <w:bookmarkEnd w:id="11"/>
      <w:r>
        <w:t xml:space="preserve"> </w:t>
      </w:r>
    </w:p>
    <w:p w14:paraId="000000B9" w14:textId="4B2B5D91" w:rsidR="003B3384" w:rsidRDefault="00297AA7">
      <w:r>
        <w:t>Ecological safety cannot be guaranteed for any human activity that intersects the natural world, including alkalinity addition, and rigorous peer-reviewed studies will be required to identify and mitigate any potential ecological concerns surrounding these activities. As stated in Planetary’s published code of conduct (see</w:t>
      </w:r>
      <w:hyperlink r:id="rId16" w:history="1">
        <w:r>
          <w:t xml:space="preserve"> </w:t>
        </w:r>
      </w:hyperlink>
      <w:hyperlink r:id="rId17" w:history="1">
        <w:r>
          <w:t>https://www.planetarytech.com/projects/codeofconduct/</w:t>
        </w:r>
      </w:hyperlink>
      <w:r>
        <w:t>), a strong understanding of any environmental impacts, both positive and negative, is the primary measure of success.  In turn, the Planetary tea</w:t>
      </w:r>
      <w:r w:rsidR="00AE4389">
        <w:t xml:space="preserve">m is dedicated to ensuring, to the greatest extent possible given current knowledge, that ecological risks are minimized. </w:t>
      </w:r>
    </w:p>
    <w:p w14:paraId="000000BA" w14:textId="77777777" w:rsidR="003B3384" w:rsidRDefault="00297AA7">
      <w:r>
        <w:t>Most important among these safety considerations is Planetary’s choice of MH as the alkalinity source. MH is not classified as dangerous under the Workplace Hazardous Materials Information System (WHMIS) nor is it classified as persistent, bio-accumulative or toxic under the Environmental Protection Agencies Toxic Release Inventory List or Toxic Substances Control Act. Perhaps most importantly, MH is of low toxicity to aquatic organisms, with published limits greatly exceeding any concentrations Planetary is aiming to disperse into the ocean (</w:t>
      </w:r>
      <w:hyperlink r:id="rId18">
        <w:r>
          <w:rPr>
            <w:color w:val="0000FF"/>
            <w:u w:val="single"/>
          </w:rPr>
          <w:t>https://beta.lakeland.edu/AboutUs/MSDS/PDFs/3675/Magnesium-Hydroxide-Millipore-Sigma-1-15-2020.pdf</w:t>
        </w:r>
      </w:hyperlink>
      <w:r>
        <w:t>).</w:t>
      </w:r>
    </w:p>
    <w:p w14:paraId="000000BB" w14:textId="77777777" w:rsidR="003B3384" w:rsidRDefault="00297AA7">
      <w:r>
        <w:t xml:space="preserve">In addition, the critical characteristic of MH that greatly limits its potential environmental </w:t>
      </w:r>
      <w:r>
        <w:lastRenderedPageBreak/>
        <w:t xml:space="preserve">impact is its slow dissolution kinetics (i.e., its low solubility). Slow MH dissolution means that general dilution of an alkalinized effluent in the marine environment will greatly outpace the chemical changes induced by the MH addition. The key example for this is pH, an important environmental quality standard (EQS) applicable to alkalinized discharges. The relatively slow dissolution kinetics of MH in seawater prevent rapid pH rises at the dosing location, after which rapid dilution with ambient seawater will keep pH well within safe limits. This has been confirmed by controlled experimentation at pool-scale (Dalhousie Aquatron), where 4 probes located at differing close proximities (1.5 m-13 m) from a pipe dosing saturated MH slurry measured maximum pH increases of 0.13-0.32 units. </w:t>
      </w:r>
    </w:p>
    <w:p w14:paraId="000000BC" w14:textId="7F238716" w:rsidR="003B3384" w:rsidRDefault="00297AA7">
      <w:r>
        <w:t xml:space="preserve">Finally, in addition to these inherent mitigation factors, close monitoring and control of alkalinity dosing rates alongside monitoring of important ecological parameters, such as pH and total suspended solids (TSS), will further ensure permit limits are strictly adhered to and environmental impact is minimized. Alkalinity dosing rates will be monitored constantly, particularly during trial additions, using a flowmeter downstream of a highly tunable pump. In the ocean and, whenever possible, in the pipe downstream of the addition point, pH measurements will be monitored regularly. Furthermore, when logistically feasible, benthic surveys to quantify marine community composition, physical habitat structure, sediment composition, and localized marine environmental health monitoring will be conducted. These surveys and monitoring initiatives are designed to determine any potential ecological response to OAE. This way, any potential concerns that arise can be addressed immediately by the scientific team to remedy any potential impacts. </w:t>
      </w:r>
    </w:p>
    <w:p w14:paraId="000000BD" w14:textId="77777777" w:rsidR="003B3384" w:rsidRDefault="00297AA7">
      <w:r>
        <w:rPr>
          <w:color w:val="000000"/>
        </w:rPr>
        <w:t>Planetary is also developing technology whereby a feedback loop within a central computing system allows for environmental data collected downstream (</w:t>
      </w:r>
      <w:proofErr w:type="gramStart"/>
      <w:r>
        <w:rPr>
          <w:color w:val="000000"/>
        </w:rPr>
        <w:t>i.e.</w:t>
      </w:r>
      <w:proofErr w:type="gramEnd"/>
      <w:r>
        <w:rPr>
          <w:color w:val="000000"/>
        </w:rPr>
        <w:t xml:space="preserve"> pH and/or TSS within the effluent, or potentially from a ship) to automatically tune the dosing rate. For example, if in-pipe pH measured downstream exceeds a given threshold near the permitting limit (typically 8.5), dosing would automatically decrease or cease until the pH drops accordingly. </w:t>
      </w:r>
    </w:p>
    <w:p w14:paraId="000000BE" w14:textId="77777777" w:rsidR="003B3384" w:rsidRDefault="003B3384">
      <w:pPr>
        <w:pStyle w:val="Heading3"/>
      </w:pPr>
    </w:p>
    <w:p w14:paraId="000000BF" w14:textId="6E3916B2" w:rsidR="003B3384" w:rsidRDefault="00297AA7" w:rsidP="0003659F">
      <w:pPr>
        <w:pStyle w:val="Heading4"/>
      </w:pPr>
      <w:bookmarkStart w:id="12" w:name="_Toc127971117"/>
      <w:r>
        <w:t>Considering Benefits: Restorative Impact</w:t>
      </w:r>
      <w:bookmarkEnd w:id="12"/>
    </w:p>
    <w:p w14:paraId="000000C0" w14:textId="77777777" w:rsidR="003B3384" w:rsidRDefault="00297AA7">
      <w:r>
        <w:rPr>
          <w:color w:val="000000"/>
        </w:rPr>
        <w:t>It is important to keep in mind the potential ecological benefits of alkalinity addition, namely its restorative chemical impact. OAE has been shown to enhance calcification rates in coral reef ecosystems (see Albright et al., 2016), although more research is needed to build on this conclusion. Such research is underway in partnership with Planetary, with the aim of assessing whether OAE leads to quantifiable increases in coral resilience to bleaching.</w:t>
      </w:r>
    </w:p>
    <w:p w14:paraId="000000C1" w14:textId="0B17FF72" w:rsidR="003B3384" w:rsidRDefault="00297AA7">
      <w:r>
        <w:t>Monitoring this impact will be done predominantly using pH and carbonate saturation state. Specifically, mapping the magnitude and spatial extent of elevated pH (</w:t>
      </w:r>
      <w:proofErr w:type="gramStart"/>
      <w:r>
        <w:t>similar to</w:t>
      </w:r>
      <w:proofErr w:type="gramEnd"/>
      <w:r>
        <w:t xml:space="preserve"> mapping of pCO</w:t>
      </w:r>
      <w:r>
        <w:rPr>
          <w:vertAlign w:val="subscript"/>
        </w:rPr>
        <w:t>2</w:t>
      </w:r>
      <w:r>
        <w:t xml:space="preserve"> described above) will quantify the extent to which alkalinity addition has effectively countered ocean acidification in the local environment. Also, using bottle samples of dissolved inorganic carbon and alkalinity, we anticipate measuring localized increases in the calcite and aragonite saturation states (Ω</w:t>
      </w:r>
      <w:r>
        <w:rPr>
          <w:vertAlign w:val="subscript"/>
        </w:rPr>
        <w:t xml:space="preserve">calcite, </w:t>
      </w:r>
      <w:r>
        <w:t>Ω</w:t>
      </w:r>
      <w:r>
        <w:rPr>
          <w:vertAlign w:val="subscript"/>
        </w:rPr>
        <w:t>aragonite</w:t>
      </w:r>
      <w:r>
        <w:t xml:space="preserve">, a parameter which describes the extent to which seawater is corrosive to (Ω &lt; 1) or preservative of (Ω &gt; 1) carbonate shell-forming organisms. Subsequently, </w:t>
      </w:r>
      <w:r w:rsidR="00184928">
        <w:t xml:space="preserve">these </w:t>
      </w:r>
      <w:r>
        <w:t>data will also be used to validate models that predict the extent to which pH and carbonate saturation states are increased both locally and downstream of the addition site.</w:t>
      </w:r>
    </w:p>
    <w:p w14:paraId="22F92F96" w14:textId="77777777" w:rsidR="00452398" w:rsidRDefault="00452398"/>
    <w:p w14:paraId="7861DF66" w14:textId="7FF079A9" w:rsidR="0015006C" w:rsidRDefault="0015006C" w:rsidP="0015006C">
      <w:pPr>
        <w:pStyle w:val="Heading2"/>
      </w:pPr>
      <w:bookmarkStart w:id="13" w:name="_Toc127971118"/>
      <w:r>
        <w:lastRenderedPageBreak/>
        <w:t>Permanence of Sequestration</w:t>
      </w:r>
      <w:bookmarkEnd w:id="13"/>
    </w:p>
    <w:p w14:paraId="000000C3" w14:textId="57371D0A" w:rsidR="003B3384" w:rsidRDefault="00297AA7">
      <w:r>
        <w:t>The mean residence time of alkaline dissolved carbon (bicarbonate and carbonate ions charged-balanced by cations other than H</w:t>
      </w:r>
      <w:r>
        <w:rPr>
          <w:vertAlign w:val="superscript"/>
        </w:rPr>
        <w:t>+</w:t>
      </w:r>
      <w:r>
        <w:t>) in the ocean is about 10</w:t>
      </w:r>
      <w:r>
        <w:rPr>
          <w:vertAlign w:val="superscript"/>
        </w:rPr>
        <w:t>5</w:t>
      </w:r>
      <w:r>
        <w:t xml:space="preserve"> yrs, based on the annual input of alkaline C from rivers (0.3 GtC/yr), the alkaline pool of dissolved alkaline C resident in the ocean (about 34,000 GtC), and assuming steady state (Middelburg et al. 2020). We assume that any additional alkaline C added will behave in the same way. In the above time scale, about half of the dissolved alkaline C is eventually lost from seawater as CO</w:t>
      </w:r>
      <w:r>
        <w:rPr>
          <w:vertAlign w:val="subscript"/>
        </w:rPr>
        <w:t>2</w:t>
      </w:r>
      <w:r>
        <w:t xml:space="preserve"> (returns to the atmosphere) and the remainder precipitates primarily as CaCO</w:t>
      </w:r>
      <w:r>
        <w:rPr>
          <w:vertAlign w:val="subscript"/>
        </w:rPr>
        <w:t>3</w:t>
      </w:r>
      <w:r>
        <w:t xml:space="preserve"> to ocean sediments, where some fraction eventually joins the multimillion-year geologic C cycle.</w:t>
      </w:r>
    </w:p>
    <w:p w14:paraId="7EC4C608" w14:textId="77777777" w:rsidR="0015006C" w:rsidRDefault="0015006C"/>
    <w:p w14:paraId="7AA7E38A" w14:textId="3EBC7ECD" w:rsidR="0015006C" w:rsidRDefault="0015006C" w:rsidP="0015006C">
      <w:pPr>
        <w:pStyle w:val="Heading2"/>
      </w:pPr>
      <w:bookmarkStart w:id="14" w:name="_Toc127971119"/>
      <w:r>
        <w:t>Reversal Risks</w:t>
      </w:r>
      <w:bookmarkEnd w:id="14"/>
    </w:p>
    <w:p w14:paraId="000000C5" w14:textId="7A967F8B" w:rsidR="003B3384" w:rsidRDefault="00297AA7">
      <w:r>
        <w:t>CO</w:t>
      </w:r>
      <w:r>
        <w:rPr>
          <w:vertAlign w:val="subscript"/>
        </w:rPr>
        <w:t>2</w:t>
      </w:r>
      <w:r>
        <w:t xml:space="preserve"> can be returned to the atmosphere from dissolved alkaline C in seawater via biotic and abiotic precipitation of CaCO</w:t>
      </w:r>
      <w:r>
        <w:rPr>
          <w:vertAlign w:val="subscript"/>
        </w:rPr>
        <w:t>3</w:t>
      </w:r>
      <w:r>
        <w:t>:</w:t>
      </w:r>
    </w:p>
    <w:p w14:paraId="000000C6" w14:textId="77777777" w:rsidR="003B3384" w:rsidRDefault="00297AA7">
      <w:r>
        <w:t>Ca</w:t>
      </w:r>
      <w:r>
        <w:rPr>
          <w:vertAlign w:val="superscript"/>
        </w:rPr>
        <w:t>2+</w:t>
      </w:r>
      <w:r>
        <w:t xml:space="preserve"> + 2HCO</w:t>
      </w:r>
      <w:r>
        <w:rPr>
          <w:vertAlign w:val="subscript"/>
        </w:rPr>
        <w:t>3</w:t>
      </w:r>
      <w:r>
        <w:rPr>
          <w:vertAlign w:val="superscript"/>
        </w:rPr>
        <w:t>-</w:t>
      </w:r>
      <w:sdt>
        <w:sdtPr>
          <w:tag w:val="goog_rdk_10"/>
          <w:id w:val="1370335205"/>
        </w:sdtPr>
        <w:sdtContent>
          <w:r>
            <w:rPr>
              <w:rFonts w:ascii="Cardo" w:eastAsia="Cardo" w:hAnsi="Cardo" w:cs="Cardo"/>
            </w:rPr>
            <w:t xml:space="preserve"> → CO</w:t>
          </w:r>
        </w:sdtContent>
      </w:sdt>
      <w:r>
        <w:rPr>
          <w:vertAlign w:val="subscript"/>
        </w:rPr>
        <w:t>2g</w:t>
      </w:r>
      <w:r>
        <w:t xml:space="preserve"> + CaCO</w:t>
      </w:r>
      <w:r>
        <w:rPr>
          <w:vertAlign w:val="subscript"/>
        </w:rPr>
        <w:t>3s</w:t>
      </w:r>
      <w:r>
        <w:t xml:space="preserve"> + H</w:t>
      </w:r>
      <w:r>
        <w:rPr>
          <w:vertAlign w:val="subscript"/>
        </w:rPr>
        <w:t>2</w:t>
      </w:r>
      <w:r>
        <w:t>O.</w:t>
      </w:r>
    </w:p>
    <w:p w14:paraId="000000C7" w14:textId="77777777" w:rsidR="003B3384" w:rsidRDefault="00297AA7">
      <w:r>
        <w:t>Annually, CaCO</w:t>
      </w:r>
      <w:r>
        <w:rPr>
          <w:vertAlign w:val="subscript"/>
        </w:rPr>
        <w:t>3</w:t>
      </w:r>
      <w:r>
        <w:t xml:space="preserve"> precipitation and permanent burial amounts to about 0.3 GtC in the global ocean, and in turn implies the same net C loss rate to air as CO</w:t>
      </w:r>
      <w:r>
        <w:rPr>
          <w:vertAlign w:val="subscript"/>
        </w:rPr>
        <w:t>2</w:t>
      </w:r>
      <w:r>
        <w:t xml:space="preserve"> associated with that precipitation and burial. Since the ocean contains 34,000 Gt of dissolved alkaline C, this implies a CO</w:t>
      </w:r>
      <w:r>
        <w:rPr>
          <w:vertAlign w:val="subscript"/>
        </w:rPr>
        <w:t>2</w:t>
      </w:r>
      <w:r>
        <w:t xml:space="preserve"> loss rate of 0.0009 %/yr assuming steady state. We assume that the same loss rate applies to any new alkaline C added to the ocean via OAE. </w:t>
      </w:r>
    </w:p>
    <w:p w14:paraId="000000C8" w14:textId="73276E07" w:rsidR="003B3384" w:rsidRDefault="00297AA7">
      <w:r>
        <w:t>A second way that alkaline C can be returned to the atmosphere is if the pCO</w:t>
      </w:r>
      <w:r>
        <w:rPr>
          <w:vertAlign w:val="subscript"/>
        </w:rPr>
        <w:t>2</w:t>
      </w:r>
      <w:r>
        <w:t xml:space="preserve"> of the overlying atmosphere were to be reduced below the pCO</w:t>
      </w:r>
      <w:r>
        <w:rPr>
          <w:vertAlign w:val="subscript"/>
        </w:rPr>
        <w:t>2</w:t>
      </w:r>
      <w:r>
        <w:t xml:space="preserve"> in the surface ocean, </w:t>
      </w:r>
      <w:proofErr w:type="gramStart"/>
      <w:r>
        <w:t>e.g.</w:t>
      </w:r>
      <w:proofErr w:type="gramEnd"/>
      <w:r>
        <w:t xml:space="preserve"> via very effective global CDR. In this case surface ocean CO</w:t>
      </w:r>
      <w:r>
        <w:rPr>
          <w:vertAlign w:val="subscript"/>
        </w:rPr>
        <w:t>2</w:t>
      </w:r>
      <w:r>
        <w:t xml:space="preserve"> would tend to escape to the atmosphere in order to equalize air/sea CO</w:t>
      </w:r>
      <w:r>
        <w:rPr>
          <w:vertAlign w:val="subscript"/>
        </w:rPr>
        <w:t>2</w:t>
      </w:r>
      <w:r>
        <w:t xml:space="preserve"> partial pressures. This ocean </w:t>
      </w:r>
      <w:r w:rsidR="00062774">
        <w:t>CO</w:t>
      </w:r>
      <w:r w:rsidR="00062774">
        <w:rPr>
          <w:vertAlign w:val="subscript"/>
        </w:rPr>
        <w:t>2</w:t>
      </w:r>
      <w:r w:rsidR="00062774">
        <w:t xml:space="preserve"> </w:t>
      </w:r>
      <w:r>
        <w:t xml:space="preserve">“rebound” consequence of very effective global CDR is well </w:t>
      </w:r>
      <w:r w:rsidR="00062774">
        <w:t>modeled</w:t>
      </w:r>
      <w:r>
        <w:t xml:space="preserve"> (e.g., </w:t>
      </w:r>
      <w:r>
        <w:rPr>
          <w:color w:val="000000"/>
          <w:highlight w:val="white"/>
        </w:rPr>
        <w:t>Vichi</w:t>
      </w:r>
      <w:r>
        <w:t xml:space="preserve"> et al. 2013, </w:t>
      </w:r>
      <w:r>
        <w:rPr>
          <w:color w:val="000000"/>
          <w:highlight w:val="white"/>
        </w:rPr>
        <w:t>Mathesius et al, 2015).</w:t>
      </w:r>
      <w:r>
        <w:rPr>
          <w:sz w:val="22"/>
          <w:szCs w:val="22"/>
        </w:rPr>
        <w:t xml:space="preserve"> </w:t>
      </w:r>
      <w:r>
        <w:t>Such loss of CO</w:t>
      </w:r>
      <w:r>
        <w:rPr>
          <w:vertAlign w:val="subscript"/>
        </w:rPr>
        <w:t>2</w:t>
      </w:r>
      <w:r>
        <w:t xml:space="preserve"> from the ocean surface would, through chemical equilibria, force the loss of carbon among both alkaline and non-alkaline dissolved inorganic C constituents in seawater that, if large enough, could be directly measured as a loss of global mean sea surface DIC and an elevation in seawater pH. In theory this loss of DIC could be countered by performing additional OAE CDR, though this would further elevate seawater pH.  </w:t>
      </w:r>
    </w:p>
    <w:p w14:paraId="30BA7BA6" w14:textId="77777777" w:rsidR="00452398" w:rsidRDefault="00452398"/>
    <w:p w14:paraId="7FFE9716" w14:textId="06F5FD02" w:rsidR="00452398" w:rsidRDefault="00452398" w:rsidP="00452398">
      <w:pPr>
        <w:pStyle w:val="Heading2"/>
      </w:pPr>
      <w:bookmarkStart w:id="15" w:name="_Toc127971120"/>
      <w:r>
        <w:t>Reporting and Verification</w:t>
      </w:r>
      <w:bookmarkEnd w:id="15"/>
    </w:p>
    <w:p w14:paraId="000000CA" w14:textId="36F21439" w:rsidR="003B3384" w:rsidRDefault="00297AA7">
      <w:r>
        <w:t xml:space="preserve">Reporting and verification </w:t>
      </w:r>
      <w:proofErr w:type="gramStart"/>
      <w:r>
        <w:t>is</w:t>
      </w:r>
      <w:proofErr w:type="gramEnd"/>
      <w:r>
        <w:t xml:space="preserve"> performed by an independent third party against this MRV plan. This ensures that the measurements are accurate and that the calculations of the amounts of carbon dioxide sequestered are correctly assessed. </w:t>
      </w:r>
    </w:p>
    <w:p w14:paraId="000000CB" w14:textId="77777777" w:rsidR="003B3384" w:rsidRDefault="00297AA7">
      <w:pPr>
        <w:numPr>
          <w:ilvl w:val="0"/>
          <w:numId w:val="1"/>
        </w:numPr>
        <w:pBdr>
          <w:top w:val="nil"/>
          <w:left w:val="nil"/>
          <w:bottom w:val="nil"/>
          <w:right w:val="nil"/>
          <w:between w:val="nil"/>
        </w:pBdr>
        <w:spacing w:after="0"/>
        <w:ind w:left="360"/>
      </w:pPr>
      <w:r>
        <w:rPr>
          <w:color w:val="000000"/>
        </w:rPr>
        <w:t xml:space="preserve">Per the measurement section above, the </w:t>
      </w:r>
      <w:r>
        <w:rPr>
          <w:b/>
          <w:color w:val="000000"/>
        </w:rPr>
        <w:t>LCA emissions of the alkalinity</w:t>
      </w:r>
      <w:r>
        <w:rPr>
          <w:color w:val="000000"/>
        </w:rPr>
        <w:t xml:space="preserve"> used in the process must be properly audited - either directly by the 3rd party or through reliance on a trusted external verifier. </w:t>
      </w:r>
    </w:p>
    <w:p w14:paraId="000000CC" w14:textId="77777777" w:rsidR="003B3384" w:rsidRDefault="00297AA7">
      <w:pPr>
        <w:numPr>
          <w:ilvl w:val="0"/>
          <w:numId w:val="1"/>
        </w:numPr>
        <w:pBdr>
          <w:top w:val="nil"/>
          <w:left w:val="nil"/>
          <w:bottom w:val="nil"/>
          <w:right w:val="nil"/>
          <w:between w:val="nil"/>
        </w:pBdr>
        <w:spacing w:after="0"/>
        <w:ind w:left="360"/>
      </w:pPr>
      <w:r>
        <w:rPr>
          <w:color w:val="000000"/>
        </w:rPr>
        <w:t xml:space="preserve">The </w:t>
      </w:r>
      <w:r>
        <w:rPr>
          <w:b/>
          <w:color w:val="000000"/>
        </w:rPr>
        <w:t>transportation emissions</w:t>
      </w:r>
      <w:r>
        <w:rPr>
          <w:color w:val="000000"/>
        </w:rPr>
        <w:t xml:space="preserve"> must be assessed from transit paperwork. </w:t>
      </w:r>
    </w:p>
    <w:p w14:paraId="000000CD" w14:textId="77777777" w:rsidR="003B3384" w:rsidRDefault="00297AA7">
      <w:pPr>
        <w:numPr>
          <w:ilvl w:val="0"/>
          <w:numId w:val="1"/>
        </w:numPr>
        <w:pBdr>
          <w:top w:val="nil"/>
          <w:left w:val="nil"/>
          <w:bottom w:val="nil"/>
          <w:right w:val="nil"/>
          <w:between w:val="nil"/>
        </w:pBdr>
        <w:spacing w:after="0"/>
        <w:ind w:left="360"/>
      </w:pPr>
      <w:r>
        <w:rPr>
          <w:color w:val="000000"/>
        </w:rPr>
        <w:t xml:space="preserve">Records of </w:t>
      </w:r>
      <w:r>
        <w:rPr>
          <w:b/>
          <w:color w:val="000000"/>
        </w:rPr>
        <w:t>periodic assays</w:t>
      </w:r>
      <w:r>
        <w:rPr>
          <w:color w:val="000000"/>
        </w:rPr>
        <w:t xml:space="preserve"> for the MH product used. This includes, but is not limited to, particle size distribution (PSD), heavy metal content, and %MH.</w:t>
      </w:r>
    </w:p>
    <w:p w14:paraId="000000CE" w14:textId="77777777" w:rsidR="003B3384" w:rsidRDefault="00297AA7">
      <w:pPr>
        <w:numPr>
          <w:ilvl w:val="0"/>
          <w:numId w:val="1"/>
        </w:numPr>
        <w:pBdr>
          <w:top w:val="nil"/>
          <w:left w:val="nil"/>
          <w:bottom w:val="nil"/>
          <w:right w:val="nil"/>
          <w:between w:val="nil"/>
        </w:pBdr>
        <w:spacing w:after="0"/>
        <w:ind w:left="360"/>
      </w:pPr>
      <w:r>
        <w:rPr>
          <w:color w:val="000000"/>
        </w:rPr>
        <w:t xml:space="preserve">The </w:t>
      </w:r>
      <w:r>
        <w:rPr>
          <w:b/>
          <w:color w:val="000000"/>
        </w:rPr>
        <w:t>dosing records</w:t>
      </w:r>
      <w:r>
        <w:rPr>
          <w:color w:val="000000"/>
        </w:rPr>
        <w:t xml:space="preserve"> must be reviewed and matched to delivery load amounts. Parameters closely monitored will include, but are not limited to: </w:t>
      </w:r>
    </w:p>
    <w:p w14:paraId="000000CF" w14:textId="77777777" w:rsidR="003B3384" w:rsidRDefault="00297AA7">
      <w:pPr>
        <w:numPr>
          <w:ilvl w:val="1"/>
          <w:numId w:val="1"/>
        </w:numPr>
        <w:pBdr>
          <w:top w:val="nil"/>
          <w:left w:val="nil"/>
          <w:bottom w:val="nil"/>
          <w:right w:val="nil"/>
          <w:between w:val="nil"/>
        </w:pBdr>
        <w:spacing w:after="0"/>
        <w:ind w:left="810"/>
      </w:pPr>
      <w:r>
        <w:rPr>
          <w:color w:val="000000"/>
        </w:rPr>
        <w:lastRenderedPageBreak/>
        <w:t>pH</w:t>
      </w:r>
    </w:p>
    <w:p w14:paraId="000000D0" w14:textId="77777777" w:rsidR="003B3384" w:rsidRDefault="00297AA7">
      <w:pPr>
        <w:numPr>
          <w:ilvl w:val="1"/>
          <w:numId w:val="1"/>
        </w:numPr>
        <w:pBdr>
          <w:top w:val="nil"/>
          <w:left w:val="nil"/>
          <w:bottom w:val="nil"/>
          <w:right w:val="nil"/>
          <w:between w:val="nil"/>
        </w:pBdr>
        <w:spacing w:after="0"/>
        <w:ind w:left="810"/>
      </w:pPr>
      <w:r>
        <w:rPr>
          <w:color w:val="000000"/>
        </w:rPr>
        <w:t>TSS</w:t>
      </w:r>
    </w:p>
    <w:p w14:paraId="000000D1" w14:textId="77777777" w:rsidR="003B3384" w:rsidRDefault="00297AA7">
      <w:pPr>
        <w:numPr>
          <w:ilvl w:val="1"/>
          <w:numId w:val="1"/>
        </w:numPr>
        <w:pBdr>
          <w:top w:val="nil"/>
          <w:left w:val="nil"/>
          <w:bottom w:val="nil"/>
          <w:right w:val="nil"/>
          <w:between w:val="nil"/>
        </w:pBdr>
        <w:spacing w:after="0"/>
        <w:ind w:left="810"/>
      </w:pPr>
      <w:r>
        <w:rPr>
          <w:color w:val="000000"/>
        </w:rPr>
        <w:t>alkalinity dosing rate and duration</w:t>
      </w:r>
    </w:p>
    <w:p w14:paraId="000000D2" w14:textId="77777777" w:rsidR="003B3384" w:rsidRDefault="00297AA7">
      <w:pPr>
        <w:numPr>
          <w:ilvl w:val="1"/>
          <w:numId w:val="1"/>
        </w:numPr>
        <w:pBdr>
          <w:top w:val="nil"/>
          <w:left w:val="nil"/>
          <w:bottom w:val="nil"/>
          <w:right w:val="nil"/>
          <w:between w:val="nil"/>
        </w:pBdr>
        <w:spacing w:after="0"/>
        <w:ind w:left="810"/>
      </w:pPr>
      <w:r>
        <w:rPr>
          <w:color w:val="000000"/>
        </w:rPr>
        <w:t xml:space="preserve">slurry concentration </w:t>
      </w:r>
    </w:p>
    <w:p w14:paraId="000000D3" w14:textId="77777777" w:rsidR="003B3384" w:rsidRDefault="00297AA7">
      <w:pPr>
        <w:numPr>
          <w:ilvl w:val="0"/>
          <w:numId w:val="1"/>
        </w:numPr>
        <w:pBdr>
          <w:top w:val="nil"/>
          <w:left w:val="nil"/>
          <w:bottom w:val="nil"/>
          <w:right w:val="nil"/>
          <w:between w:val="nil"/>
        </w:pBdr>
        <w:spacing w:after="0"/>
        <w:ind w:left="360"/>
      </w:pPr>
      <w:r>
        <w:rPr>
          <w:color w:val="000000"/>
        </w:rPr>
        <w:t xml:space="preserve">The </w:t>
      </w:r>
      <w:r>
        <w:rPr>
          <w:b/>
          <w:color w:val="000000"/>
        </w:rPr>
        <w:t>pCO</w:t>
      </w:r>
      <w:r>
        <w:rPr>
          <w:b/>
          <w:color w:val="000000"/>
          <w:vertAlign w:val="subscript"/>
        </w:rPr>
        <w:t>2</w:t>
      </w:r>
      <w:r>
        <w:rPr>
          <w:b/>
          <w:color w:val="000000"/>
        </w:rPr>
        <w:t xml:space="preserve"> sensing results</w:t>
      </w:r>
      <w:r>
        <w:rPr>
          <w:color w:val="000000"/>
        </w:rPr>
        <w:t xml:space="preserve"> must be reviewed. </w:t>
      </w:r>
    </w:p>
    <w:p w14:paraId="000000D4" w14:textId="77777777" w:rsidR="003B3384" w:rsidRDefault="00297AA7">
      <w:pPr>
        <w:numPr>
          <w:ilvl w:val="0"/>
          <w:numId w:val="1"/>
        </w:numPr>
        <w:pBdr>
          <w:top w:val="nil"/>
          <w:left w:val="nil"/>
          <w:bottom w:val="nil"/>
          <w:right w:val="nil"/>
          <w:between w:val="nil"/>
        </w:pBdr>
        <w:spacing w:after="0"/>
        <w:ind w:left="360"/>
      </w:pPr>
      <w:r>
        <w:rPr>
          <w:color w:val="000000"/>
        </w:rPr>
        <w:t xml:space="preserve">Finally, the model must be validated with </w:t>
      </w:r>
      <w:r>
        <w:rPr>
          <w:b/>
          <w:color w:val="000000"/>
        </w:rPr>
        <w:t>ocean sensing</w:t>
      </w:r>
      <w:r>
        <w:rPr>
          <w:color w:val="000000"/>
        </w:rPr>
        <w:t xml:space="preserve"> and its output aligned with the understanding of the OAE efficiency factor (CDR</w:t>
      </w:r>
      <w:r>
        <w:rPr>
          <w:color w:val="000000"/>
          <w:vertAlign w:val="subscript"/>
        </w:rPr>
        <w:t>eff</w:t>
      </w:r>
      <w:r>
        <w:rPr>
          <w:color w:val="000000"/>
        </w:rPr>
        <w:t xml:space="preserve">). </w:t>
      </w:r>
    </w:p>
    <w:p w14:paraId="000000D5" w14:textId="77777777" w:rsidR="003B3384" w:rsidRDefault="00297AA7">
      <w:pPr>
        <w:numPr>
          <w:ilvl w:val="0"/>
          <w:numId w:val="1"/>
        </w:numPr>
        <w:pBdr>
          <w:top w:val="nil"/>
          <w:left w:val="nil"/>
          <w:bottom w:val="nil"/>
          <w:right w:val="nil"/>
          <w:between w:val="nil"/>
        </w:pBdr>
        <w:spacing w:after="0"/>
        <w:ind w:left="360"/>
      </w:pPr>
      <w:r>
        <w:rPr>
          <w:color w:val="000000"/>
        </w:rPr>
        <w:t>The calculation of the CO</w:t>
      </w:r>
      <w:r>
        <w:rPr>
          <w:color w:val="000000"/>
          <w:vertAlign w:val="subscript"/>
        </w:rPr>
        <w:t>2</w:t>
      </w:r>
      <w:r>
        <w:rPr>
          <w:color w:val="000000"/>
        </w:rPr>
        <w:t xml:space="preserve"> captured and sequestered must be assessed by the verifier on a regular time interval. </w:t>
      </w:r>
    </w:p>
    <w:p w14:paraId="000000D6" w14:textId="77777777" w:rsidR="003B3384" w:rsidRDefault="00297AA7">
      <w:pPr>
        <w:numPr>
          <w:ilvl w:val="0"/>
          <w:numId w:val="1"/>
        </w:numPr>
        <w:pBdr>
          <w:top w:val="nil"/>
          <w:left w:val="nil"/>
          <w:bottom w:val="nil"/>
          <w:right w:val="nil"/>
          <w:between w:val="nil"/>
        </w:pBdr>
        <w:spacing w:after="0"/>
        <w:ind w:left="360"/>
      </w:pPr>
      <w:r>
        <w:rPr>
          <w:color w:val="000000"/>
        </w:rPr>
        <w:t xml:space="preserve">Metering must be shown to be accurate and reliable, and </w:t>
      </w:r>
    </w:p>
    <w:p w14:paraId="000000D7" w14:textId="77777777" w:rsidR="003B3384" w:rsidRDefault="00297AA7">
      <w:pPr>
        <w:numPr>
          <w:ilvl w:val="0"/>
          <w:numId w:val="1"/>
        </w:numPr>
        <w:pBdr>
          <w:top w:val="nil"/>
          <w:left w:val="nil"/>
          <w:bottom w:val="nil"/>
          <w:right w:val="nil"/>
          <w:between w:val="nil"/>
        </w:pBdr>
        <w:spacing w:after="0"/>
        <w:ind w:left="360"/>
      </w:pPr>
      <w:r>
        <w:rPr>
          <w:color w:val="000000"/>
        </w:rPr>
        <w:t xml:space="preserve">Records must be maintained for at least ten years. </w:t>
      </w:r>
    </w:p>
    <w:p w14:paraId="054F06DA" w14:textId="77777777" w:rsidR="00B327C6" w:rsidRPr="00B327C6" w:rsidRDefault="00B327C6" w:rsidP="00B327C6"/>
    <w:p w14:paraId="5EA827A7" w14:textId="0A4AC2E3" w:rsidR="00452398" w:rsidRDefault="00452398" w:rsidP="00452398">
      <w:pPr>
        <w:pStyle w:val="Heading2"/>
      </w:pPr>
      <w:bookmarkStart w:id="16" w:name="_Toc127971121"/>
      <w:r>
        <w:t>References</w:t>
      </w:r>
      <w:bookmarkEnd w:id="16"/>
    </w:p>
    <w:p w14:paraId="000000D9" w14:textId="6986423E" w:rsidR="003B3384" w:rsidRDefault="00297AA7">
      <w:pPr>
        <w:spacing w:line="276" w:lineRule="auto"/>
      </w:pPr>
      <w:r>
        <w:t xml:space="preserve">Albright, R., Caldeira, C., Hosfelt, J., Kwiatkowski, L., Mclaren, J.K. et al. 2016. Reversal of ocean acidification enhances net coral reef calcification. </w:t>
      </w:r>
      <w:r>
        <w:rPr>
          <w:i/>
        </w:rPr>
        <w:t>Nature</w:t>
      </w:r>
      <w:r>
        <w:t xml:space="preserve">, </w:t>
      </w:r>
      <w:r>
        <w:rPr>
          <w:b/>
        </w:rPr>
        <w:t>531</w:t>
      </w:r>
      <w:r>
        <w:t>, 362–365.</w:t>
      </w:r>
    </w:p>
    <w:p w14:paraId="000000DA" w14:textId="77777777" w:rsidR="003B3384" w:rsidRDefault="00297AA7">
      <w:r>
        <w:t xml:space="preserve">Brown, J., et al. 2003. Observations of the physical structure and seasonal jet-like circulation of the Celtic Sea and St. George’s Channel of the Irish Sea. </w:t>
      </w:r>
      <w:r>
        <w:rPr>
          <w:i/>
        </w:rPr>
        <w:t>Cont. She. Res</w:t>
      </w:r>
      <w:r>
        <w:t xml:space="preserve">. </w:t>
      </w:r>
      <w:r>
        <w:rPr>
          <w:b/>
        </w:rPr>
        <w:t>23</w:t>
      </w:r>
      <w:r>
        <w:t>, 533-561. doi:10.1016/S0278-4343(03)00008-6.</w:t>
      </w:r>
    </w:p>
    <w:p w14:paraId="000000DB" w14:textId="4FFD8E1A" w:rsidR="003B3384" w:rsidRDefault="00297AA7">
      <w:r>
        <w:t xml:space="preserve">Caldeira, </w:t>
      </w:r>
      <w:proofErr w:type="gramStart"/>
      <w:r>
        <w:t>K. ,</w:t>
      </w:r>
      <w:proofErr w:type="gramEnd"/>
      <w:r>
        <w:t xml:space="preserve"> et al. 2006. Ocean Storage. In </w:t>
      </w:r>
      <w:r>
        <w:rPr>
          <w:i/>
        </w:rPr>
        <w:t>IPCC special report on carbon dioxide capture and storage</w:t>
      </w:r>
      <w:r>
        <w:t>. Edited by Bert Metz</w:t>
      </w:r>
      <w:proofErr w:type="gramStart"/>
      <w:r>
        <w:t>…[</w:t>
      </w:r>
      <w:proofErr w:type="gramEnd"/>
      <w:r>
        <w:t xml:space="preserve">et al]. </w:t>
      </w:r>
      <w:r>
        <w:rPr>
          <w:i/>
        </w:rPr>
        <w:t>prepared by Working Group III of the Intergovernmental Panel on Climate Change. Cambridge: Cambridge University Press for the Intergovernmental Panel on Climat</w:t>
      </w:r>
      <w:r>
        <w:t xml:space="preserve">e, pp. 277-317. </w:t>
      </w:r>
    </w:p>
    <w:p w14:paraId="4D415848" w14:textId="06F945EA" w:rsidR="00B327C6" w:rsidRDefault="00B327C6">
      <w:r>
        <w:t>Chay, F., Klitzke, J., Hausfather, Z., Martin, K., Freeman, J., and Cullenward, D., 2022. CDR Verification Framework. CarbonPlan. Available at: carbonplan.org/research/cdr-verification.</w:t>
      </w:r>
    </w:p>
    <w:p w14:paraId="000000DC" w14:textId="365810F3" w:rsidR="003B3384" w:rsidRDefault="00297AA7">
      <w:pPr>
        <w:rPr>
          <w:color w:val="0563C1"/>
          <w:u w:val="single"/>
        </w:rPr>
      </w:pPr>
      <w:r>
        <w:t xml:space="preserve">Environmental Protection Agency. </w:t>
      </w:r>
      <w:r>
        <w:rPr>
          <w:color w:val="000000"/>
        </w:rPr>
        <w:t xml:space="preserve">(2022, July 18). </w:t>
      </w:r>
      <w:r>
        <w:rPr>
          <w:i/>
          <w:color w:val="000000"/>
        </w:rPr>
        <w:t>Greenhouse Gases at EPA</w:t>
      </w:r>
      <w:r>
        <w:rPr>
          <w:color w:val="000000"/>
        </w:rPr>
        <w:t xml:space="preserve">. EPA. Retrieved February 8, 2023, from </w:t>
      </w:r>
      <w:hyperlink r:id="rId19">
        <w:r>
          <w:rPr>
            <w:color w:val="0563C1"/>
            <w:u w:val="single"/>
          </w:rPr>
          <w:t>https://www.epa.gov/greeningepa/greenhouse-gases-epa</w:t>
        </w:r>
      </w:hyperlink>
    </w:p>
    <w:p w14:paraId="6B8F1BC2" w14:textId="2D109D00" w:rsidR="00B327C6" w:rsidRPr="00B327C6" w:rsidRDefault="00B327C6">
      <w:pPr>
        <w:rPr>
          <w:sz w:val="32"/>
          <w:szCs w:val="32"/>
        </w:rPr>
      </w:pPr>
      <w:r>
        <w:rPr>
          <w:color w:val="222222"/>
          <w:highlight w:val="white"/>
        </w:rPr>
        <w:t>Hartmann, J., Suitner, N., Lim, C., et al., 2022. Stability of alkalinity in Ocean Alkalinity Enhancement (OAE) approaches–consequences for durability of CO</w:t>
      </w:r>
      <w:r>
        <w:rPr>
          <w:color w:val="222222"/>
          <w:highlight w:val="white"/>
          <w:vertAlign w:val="subscript"/>
        </w:rPr>
        <w:t>2</w:t>
      </w:r>
      <w:r>
        <w:rPr>
          <w:color w:val="222222"/>
          <w:highlight w:val="white"/>
        </w:rPr>
        <w:t xml:space="preserve"> storage. </w:t>
      </w:r>
      <w:r>
        <w:rPr>
          <w:i/>
          <w:color w:val="222222"/>
          <w:highlight w:val="white"/>
        </w:rPr>
        <w:t>Biogeosciences Discussions</w:t>
      </w:r>
      <w:r>
        <w:rPr>
          <w:color w:val="222222"/>
          <w:highlight w:val="white"/>
        </w:rPr>
        <w:t>, 1-29.</w:t>
      </w:r>
    </w:p>
    <w:p w14:paraId="452FE6DE" w14:textId="11FFCA44" w:rsidR="00B327C6" w:rsidRPr="00B327C6" w:rsidRDefault="00B327C6">
      <w:pPr>
        <w:rPr>
          <w:color w:val="222222"/>
          <w:highlight w:val="white"/>
        </w:rPr>
      </w:pPr>
      <w:r>
        <w:rPr>
          <w:color w:val="222222"/>
          <w:highlight w:val="white"/>
        </w:rPr>
        <w:t>He, J. and Tyka, M.D., 2023. Limits and CO</w:t>
      </w:r>
      <w:r>
        <w:rPr>
          <w:color w:val="222222"/>
          <w:highlight w:val="white"/>
          <w:vertAlign w:val="subscript"/>
        </w:rPr>
        <w:t>2</w:t>
      </w:r>
      <w:r>
        <w:rPr>
          <w:color w:val="222222"/>
          <w:highlight w:val="white"/>
        </w:rPr>
        <w:t xml:space="preserve"> equilibration of near-coast alkalinity enhancement. </w:t>
      </w:r>
      <w:r>
        <w:rPr>
          <w:i/>
          <w:color w:val="222222"/>
          <w:highlight w:val="white"/>
        </w:rPr>
        <w:t>Biogeosciences</w:t>
      </w:r>
      <w:r>
        <w:rPr>
          <w:color w:val="222222"/>
          <w:highlight w:val="white"/>
        </w:rPr>
        <w:t>, </w:t>
      </w:r>
      <w:r>
        <w:rPr>
          <w:i/>
          <w:color w:val="222222"/>
          <w:highlight w:val="white"/>
        </w:rPr>
        <w:t>20</w:t>
      </w:r>
      <w:r>
        <w:rPr>
          <w:color w:val="222222"/>
          <w:highlight w:val="white"/>
        </w:rPr>
        <w:t>(1), 27-43.</w:t>
      </w:r>
    </w:p>
    <w:p w14:paraId="000000DD" w14:textId="27110B0E" w:rsidR="003B3384" w:rsidRDefault="00297AA7">
      <w:r>
        <w:t xml:space="preserve">Holt, J., and Proctor, R. 2008. The seasonal circulation and volume transport on the northwest European continental shelf: A fine-resolution model study. </w:t>
      </w:r>
      <w:r>
        <w:rPr>
          <w:i/>
        </w:rPr>
        <w:t>J. Geophys. Res.</w:t>
      </w:r>
      <w:r>
        <w:t xml:space="preserve"> </w:t>
      </w:r>
      <w:r>
        <w:rPr>
          <w:b/>
        </w:rPr>
        <w:t>113</w:t>
      </w:r>
      <w:r>
        <w:t>, C06021, doi:10.1029/2006JC004034.</w:t>
      </w:r>
    </w:p>
    <w:p w14:paraId="53E1DB98" w14:textId="28B06EAB" w:rsidR="00B327C6" w:rsidRPr="00B327C6" w:rsidRDefault="00B327C6">
      <w:pPr>
        <w:rPr>
          <w:color w:val="222222"/>
          <w:highlight w:val="white"/>
        </w:rPr>
      </w:pPr>
      <w:r>
        <w:rPr>
          <w:color w:val="222222"/>
          <w:highlight w:val="white"/>
        </w:rPr>
        <w:t>Jones, D.C., Ito, T., Takano, Y. and Hsu, W.C., 2014. Spatial and seasonal variability of the air‐sea equilibration timescale of carbon dioxide. </w:t>
      </w:r>
      <w:r>
        <w:rPr>
          <w:i/>
          <w:color w:val="222222"/>
          <w:highlight w:val="white"/>
        </w:rPr>
        <w:t>Global Biogeochemical Cycles</w:t>
      </w:r>
      <w:r>
        <w:rPr>
          <w:color w:val="222222"/>
          <w:highlight w:val="white"/>
        </w:rPr>
        <w:t>, </w:t>
      </w:r>
      <w:r>
        <w:rPr>
          <w:i/>
          <w:color w:val="222222"/>
          <w:highlight w:val="white"/>
        </w:rPr>
        <w:t>28</w:t>
      </w:r>
      <w:r>
        <w:rPr>
          <w:color w:val="222222"/>
          <w:highlight w:val="white"/>
        </w:rPr>
        <w:t>(11), 1163-1178.</w:t>
      </w:r>
    </w:p>
    <w:p w14:paraId="000000DE" w14:textId="77777777" w:rsidR="003B3384" w:rsidRDefault="00297AA7">
      <w:r>
        <w:t xml:space="preserve">Kitidis, V., Fileman, T., &amp; Fawcett, S. 2023. Verification of Carbon Dioxide Removal by </w:t>
      </w:r>
      <w:proofErr w:type="gramStart"/>
      <w:r>
        <w:t>Mg(</w:t>
      </w:r>
      <w:proofErr w:type="gramEnd"/>
      <w:r>
        <w:t>OH)</w:t>
      </w:r>
      <w:r>
        <w:rPr>
          <w:vertAlign w:val="subscript"/>
        </w:rPr>
        <w:t>2</w:t>
      </w:r>
      <w:r>
        <w:t xml:space="preserve"> Addition to Wastewater Effluent from the Hayle Waste Water Treatment Works. Rep. PMA1904, </w:t>
      </w:r>
      <w:r>
        <w:rPr>
          <w:color w:val="000080"/>
        </w:rPr>
        <w:t xml:space="preserve">PML Applications Ltd., Plymouth, UK. 32p. </w:t>
      </w:r>
    </w:p>
    <w:p w14:paraId="000000DF" w14:textId="77777777" w:rsidR="003B3384" w:rsidRDefault="00297AA7">
      <w:r>
        <w:t>Mathesius, S., Hofmann, M., Caldeira, K. &amp; Schellnhuber, H. J. 2015. Long-term response of oceans to CO2 removal from the atmosphere. Nat. Clim. Change 5, 1107–1114.</w:t>
      </w:r>
    </w:p>
    <w:p w14:paraId="000000E0" w14:textId="455A3214" w:rsidR="003B3384" w:rsidRDefault="00297AA7">
      <w:r>
        <w:lastRenderedPageBreak/>
        <w:t xml:space="preserve">Middelburg, J. J., Soetaert, K., and Hagens, M. 2020. Ocean alkalinity, buffering and biogeochemical processes. Rev. Geophys. </w:t>
      </w:r>
      <w:proofErr w:type="gramStart"/>
      <w:r>
        <w:t>58:e</w:t>
      </w:r>
      <w:proofErr w:type="gramEnd"/>
      <w:r>
        <w:t>2019RG000681. doi: 10.1029/2019RG000681</w:t>
      </w:r>
    </w:p>
    <w:p w14:paraId="304004D4" w14:textId="2A9F5C8A" w:rsidR="00B327C6" w:rsidRDefault="00B327C6">
      <w:r>
        <w:t>Moras, C.A., Bach, L.T., Cyronak, T., Joannes-Boyau, R. and Schulz, K.G., 2022. Ocean alkalinity enhancement–avoiding runaway CaCO</w:t>
      </w:r>
      <w:r>
        <w:rPr>
          <w:vertAlign w:val="subscript"/>
        </w:rPr>
        <w:t>3</w:t>
      </w:r>
      <w:r>
        <w:t xml:space="preserve"> precipitation during quick and hydrated lime dissolution. </w:t>
      </w:r>
      <w:r>
        <w:rPr>
          <w:i/>
        </w:rPr>
        <w:t>Biogeosciences</w:t>
      </w:r>
      <w:r>
        <w:t>, 19(15), 3537-3557.</w:t>
      </w:r>
    </w:p>
    <w:p w14:paraId="000000E1" w14:textId="77777777" w:rsidR="003B3384" w:rsidRDefault="00297AA7">
      <w:r>
        <w:t>Pierrot, D., Lewis, E., and Wallace, D. W. R. 2006. MS Excel Program Developed for CO</w:t>
      </w:r>
      <w:r>
        <w:rPr>
          <w:vertAlign w:val="subscript"/>
        </w:rPr>
        <w:t>2</w:t>
      </w:r>
      <w:r>
        <w:t xml:space="preserve"> System Calculations, Tech. rep., Carbon Dioxide Inf. Anal. Cent., Oak Ridge Natl. Lab., US DOE, Oak Ridge, Tenn.</w:t>
      </w:r>
    </w:p>
    <w:p w14:paraId="000000E2" w14:textId="52814281" w:rsidR="003B3384" w:rsidRDefault="00297AA7">
      <w:r>
        <w:t>Sabine, C. L. and Tanhau, T., 2010. Estimation of anthropogenic CO</w:t>
      </w:r>
      <w:r>
        <w:rPr>
          <w:vertAlign w:val="subscript"/>
        </w:rPr>
        <w:t>2</w:t>
      </w:r>
      <w:r>
        <w:t xml:space="preserve"> inventories in the ocean. </w:t>
      </w:r>
      <w:r>
        <w:rPr>
          <w:i/>
        </w:rPr>
        <w:t>Annu. Rev. Mar. Sci</w:t>
      </w:r>
      <w:r>
        <w:t xml:space="preserve">. </w:t>
      </w:r>
      <w:r>
        <w:rPr>
          <w:b/>
        </w:rPr>
        <w:t>2</w:t>
      </w:r>
      <w:r>
        <w:t>, 175–98. doi:10.1146/annurev-marine-120308-080947.</w:t>
      </w:r>
    </w:p>
    <w:p w14:paraId="43E12C60" w14:textId="596AB17B" w:rsidR="00B327C6" w:rsidRPr="00B327C6" w:rsidRDefault="00B327C6">
      <w:pPr>
        <w:rPr>
          <w:color w:val="222222"/>
          <w:highlight w:val="white"/>
        </w:rPr>
      </w:pPr>
      <w:r>
        <w:rPr>
          <w:color w:val="222222"/>
          <w:highlight w:val="white"/>
        </w:rPr>
        <w:t>Tyka, M.D., Van Arsdale, C. and Platt, J.C., 2022. CO</w:t>
      </w:r>
      <w:r>
        <w:rPr>
          <w:color w:val="222222"/>
          <w:highlight w:val="white"/>
          <w:vertAlign w:val="subscript"/>
        </w:rPr>
        <w:t>2</w:t>
      </w:r>
      <w:r>
        <w:rPr>
          <w:color w:val="222222"/>
          <w:highlight w:val="white"/>
        </w:rPr>
        <w:t xml:space="preserve"> capture by pumping surface acidity to the deep ocean. </w:t>
      </w:r>
      <w:r>
        <w:rPr>
          <w:i/>
          <w:color w:val="222222"/>
          <w:highlight w:val="white"/>
        </w:rPr>
        <w:t>Energy &amp; Environmental Science</w:t>
      </w:r>
      <w:r>
        <w:rPr>
          <w:color w:val="222222"/>
          <w:highlight w:val="white"/>
        </w:rPr>
        <w:t>, </w:t>
      </w:r>
      <w:r>
        <w:rPr>
          <w:i/>
          <w:color w:val="222222"/>
          <w:highlight w:val="white"/>
        </w:rPr>
        <w:t>15</w:t>
      </w:r>
      <w:r>
        <w:rPr>
          <w:color w:val="222222"/>
          <w:highlight w:val="white"/>
        </w:rPr>
        <w:t>(2), 786-798.</w:t>
      </w:r>
    </w:p>
    <w:p w14:paraId="000000E3" w14:textId="780A2FCE" w:rsidR="003B3384" w:rsidRDefault="00297AA7">
      <w:r>
        <w:t>Vichi, M., Navarra, A. &amp; Fogli, P. G. 2013. Adjustment of the natural ocean carbon cycle to negative emission rates. Clim. Change 118, 105–118.</w:t>
      </w:r>
    </w:p>
    <w:p w14:paraId="39D8E1DB" w14:textId="01A5FFB5" w:rsidR="00B327C6" w:rsidRPr="00B327C6" w:rsidRDefault="00B327C6">
      <w:pPr>
        <w:rPr>
          <w:color w:val="222222"/>
          <w:highlight w:val="white"/>
        </w:rPr>
      </w:pPr>
      <w:r>
        <w:rPr>
          <w:color w:val="222222"/>
          <w:highlight w:val="white"/>
        </w:rPr>
        <w:t>Wang, H., Pilcher, D. J., Kearney, K. A., Cross, J. N., Shugart, O. M., Eisaman, M. D., and Carter, B. R. 2023. Simulated impact of ocean alkalinity enhancement on atmospheric CO2 removal in the Bering Sea. Earth's Future, 11, e2022EF002816. https://doi.org/10.1029/2022EF002816</w:t>
      </w:r>
    </w:p>
    <w:p w14:paraId="000000E4" w14:textId="77777777" w:rsidR="003B3384" w:rsidRDefault="00297AA7">
      <w:r>
        <w:t xml:space="preserve">Zeebe and Wolf-Gladrow, 2001. </w:t>
      </w:r>
      <w:r>
        <w:rPr>
          <w:i/>
        </w:rPr>
        <w:t>CO</w:t>
      </w:r>
      <w:r>
        <w:rPr>
          <w:i/>
          <w:vertAlign w:val="subscript"/>
        </w:rPr>
        <w:t>2</w:t>
      </w:r>
      <w:r>
        <w:rPr>
          <w:i/>
        </w:rPr>
        <w:t xml:space="preserve"> in Seawater: Equilibrium, Kinetics, Isotopes</w:t>
      </w:r>
      <w:r>
        <w:t>. Amsterdam, Elsevier, 346pp.</w:t>
      </w:r>
    </w:p>
    <w:p w14:paraId="000000E5" w14:textId="77777777" w:rsidR="003B3384" w:rsidRDefault="003B3384"/>
    <w:p w14:paraId="000000E7" w14:textId="4B774008" w:rsidR="003B3384" w:rsidRDefault="00297AA7" w:rsidP="00FB2BEC">
      <w:pPr>
        <w:pStyle w:val="Heading3"/>
      </w:pPr>
      <w:r>
        <w:br w:type="page"/>
      </w:r>
      <w:bookmarkStart w:id="17" w:name="_Toc127971122"/>
      <w:r>
        <w:lastRenderedPageBreak/>
        <w:t>Appendix 1: Detailed discussion of factors affecting CDR</w:t>
      </w:r>
      <w:r>
        <w:rPr>
          <w:vertAlign w:val="subscript"/>
        </w:rPr>
        <w:t>net</w:t>
      </w:r>
      <w:bookmarkEnd w:id="17"/>
    </w:p>
    <w:p w14:paraId="000000E8" w14:textId="16E78EB8" w:rsidR="003B3384" w:rsidRDefault="00297AA7" w:rsidP="00FB2BEC">
      <w:pPr>
        <w:pStyle w:val="Heading4"/>
      </w:pPr>
      <w:bookmarkStart w:id="18" w:name="_Toc127971123"/>
      <w:r>
        <w:t>CDR</w:t>
      </w:r>
      <w:r>
        <w:rPr>
          <w:vertAlign w:val="subscript"/>
        </w:rPr>
        <w:t>gross</w:t>
      </w:r>
      <w:bookmarkEnd w:id="18"/>
      <w:r>
        <w:t xml:space="preserve"> </w:t>
      </w:r>
    </w:p>
    <w:p w14:paraId="000000E9" w14:textId="77777777" w:rsidR="003B3384" w:rsidRDefault="00297AA7">
      <w:r>
        <w:t>CDR</w:t>
      </w:r>
      <w:r>
        <w:rPr>
          <w:vertAlign w:val="subscript"/>
        </w:rPr>
        <w:t>gross</w:t>
      </w:r>
      <w:r>
        <w:rPr>
          <w:b/>
        </w:rPr>
        <w:t xml:space="preserve"> </w:t>
      </w:r>
      <w:r>
        <w:t xml:space="preserve">refers to the theoretical maximum gross CDR achieved without considering potential losses or inefficiencies of the fundamental OAE process. In the case of </w:t>
      </w:r>
      <w:proofErr w:type="gramStart"/>
      <w:r>
        <w:t>Mg(</w:t>
      </w:r>
      <w:proofErr w:type="gramEnd"/>
      <w:r>
        <w:t>OH)</w:t>
      </w:r>
      <w:r>
        <w:rPr>
          <w:vertAlign w:val="subscript"/>
        </w:rPr>
        <w:t>2aq</w:t>
      </w:r>
      <w:r>
        <w:t xml:space="preserve"> addition, CO</w:t>
      </w:r>
      <w:r>
        <w:rPr>
          <w:vertAlign w:val="subscript"/>
        </w:rPr>
        <w:t>2</w:t>
      </w:r>
      <w:r>
        <w:t xml:space="preserve"> is removed from solution via this reaction: </w:t>
      </w:r>
    </w:p>
    <w:p w14:paraId="000000EA" w14:textId="77777777" w:rsidR="003B3384" w:rsidRDefault="003B3384"/>
    <w:p w14:paraId="000000EB" w14:textId="77777777" w:rsidR="003B3384" w:rsidRDefault="00297AA7">
      <w:r>
        <w:t>Mg</w:t>
      </w:r>
      <w:r>
        <w:rPr>
          <w:vertAlign w:val="superscript"/>
        </w:rPr>
        <w:t>2+</w:t>
      </w:r>
      <w:r>
        <w:t xml:space="preserve"> + 2OH- + </w:t>
      </w:r>
      <w:r>
        <w:rPr>
          <w:i/>
        </w:rPr>
        <w:t>A</w:t>
      </w:r>
      <w:r>
        <w:t>(CO</w:t>
      </w:r>
      <w:r>
        <w:rPr>
          <w:vertAlign w:val="subscript"/>
        </w:rPr>
        <w:t>2aq</w:t>
      </w:r>
      <w:r>
        <w:rPr>
          <w:rFonts w:ascii="Cardo" w:eastAsia="Cardo" w:hAnsi="Cardo" w:cs="Cardo"/>
        </w:rPr>
        <w:t xml:space="preserve">) → </w:t>
      </w:r>
      <w:r>
        <w:t>Mg</w:t>
      </w:r>
      <w:r>
        <w:rPr>
          <w:vertAlign w:val="superscript"/>
        </w:rPr>
        <w:t>2+</w:t>
      </w:r>
      <w:r>
        <w:t xml:space="preserve"> + </w:t>
      </w:r>
      <w:r>
        <w:rPr>
          <w:i/>
        </w:rPr>
        <w:t>B</w:t>
      </w:r>
      <w:r>
        <w:t>(HCO</w:t>
      </w:r>
      <w:r>
        <w:rPr>
          <w:vertAlign w:val="subscript"/>
        </w:rPr>
        <w:t>3</w:t>
      </w:r>
      <w:r>
        <w:rPr>
          <w:vertAlign w:val="superscript"/>
        </w:rPr>
        <w:t>-</w:t>
      </w:r>
      <w:r>
        <w:t xml:space="preserve">) + </w:t>
      </w:r>
      <w:r>
        <w:rPr>
          <w:i/>
        </w:rPr>
        <w:t>C</w:t>
      </w:r>
      <w:r>
        <w:t>(CO</w:t>
      </w:r>
      <w:r>
        <w:rPr>
          <w:vertAlign w:val="subscript"/>
        </w:rPr>
        <w:t>3</w:t>
      </w:r>
      <w:r>
        <w:rPr>
          <w:vertAlign w:val="superscript"/>
        </w:rPr>
        <w:t>2-</w:t>
      </w:r>
      <w:r>
        <w:t xml:space="preserve">) + </w:t>
      </w:r>
      <w:r>
        <w:rPr>
          <w:i/>
        </w:rPr>
        <w:t>D</w:t>
      </w:r>
      <w:r>
        <w:t>(OH</w:t>
      </w:r>
      <w:r>
        <w:rPr>
          <w:vertAlign w:val="superscript"/>
        </w:rPr>
        <w:t>-</w:t>
      </w:r>
      <w:proofErr w:type="gramStart"/>
      <w:r>
        <w:t xml:space="preserve">)  </w:t>
      </w:r>
      <w:r>
        <w:tab/>
      </w:r>
      <w:proofErr w:type="gramEnd"/>
      <w:r>
        <w:tab/>
        <w:t>(A1.1)</w:t>
      </w:r>
    </w:p>
    <w:p w14:paraId="000000EC" w14:textId="77777777" w:rsidR="003B3384" w:rsidRDefault="003B3384">
      <w:pPr>
        <w:jc w:val="center"/>
        <w:rPr>
          <w:u w:val="single"/>
        </w:rPr>
      </w:pPr>
    </w:p>
    <w:p w14:paraId="000000ED" w14:textId="77777777" w:rsidR="003B3384" w:rsidRDefault="00297AA7">
      <w:r>
        <w:t xml:space="preserve">where </w:t>
      </w:r>
      <w:r>
        <w:rPr>
          <w:i/>
        </w:rPr>
        <w:t>A</w:t>
      </w:r>
      <w:r>
        <w:t xml:space="preserve">= </w:t>
      </w:r>
      <w:r>
        <w:rPr>
          <w:i/>
        </w:rPr>
        <w:t>B</w:t>
      </w:r>
      <w:r>
        <w:t>+</w:t>
      </w:r>
      <w:r>
        <w:rPr>
          <w:i/>
        </w:rPr>
        <w:t>C</w:t>
      </w:r>
      <w:r>
        <w:t xml:space="preserve"> and </w:t>
      </w:r>
      <w:r>
        <w:rPr>
          <w:i/>
        </w:rPr>
        <w:t>B</w:t>
      </w:r>
      <w:r>
        <w:t>+(2</w:t>
      </w:r>
      <w:proofErr w:type="gramStart"/>
      <w:r>
        <w:t>x</w:t>
      </w:r>
      <w:r>
        <w:rPr>
          <w:i/>
        </w:rPr>
        <w:t>C</w:t>
      </w:r>
      <w:r>
        <w:t>)+</w:t>
      </w:r>
      <w:proofErr w:type="gramEnd"/>
      <w:r>
        <w:rPr>
          <w:i/>
        </w:rPr>
        <w:t>D</w:t>
      </w:r>
      <w:r>
        <w:t xml:space="preserve"> = 2. At a typical equilibrium seawater pH of 8.1 at 20 °C, 35ppt salinity and at shallow depth (near sea surface pressure), </w:t>
      </w:r>
      <w:r>
        <w:rPr>
          <w:i/>
        </w:rPr>
        <w:t>A</w:t>
      </w:r>
      <w:r>
        <w:t xml:space="preserve"> = 1.65 mols of CO</w:t>
      </w:r>
      <w:r>
        <w:rPr>
          <w:vertAlign w:val="subscript"/>
        </w:rPr>
        <w:t>2</w:t>
      </w:r>
      <w:r>
        <w:t xml:space="preserve"> per mol of MH, which equates to a CDR</w:t>
      </w:r>
      <w:r>
        <w:rPr>
          <w:vertAlign w:val="subscript"/>
        </w:rPr>
        <w:t>gross</w:t>
      </w:r>
      <w:r>
        <w:t xml:space="preserve"> versus added alkalinity mol ratio (CDR/Alk) of 1.65/2 = 0.825 considering that 1 mol MH = 2 mols alkalinity. </w:t>
      </w:r>
      <w:r>
        <w:rPr>
          <w:i/>
        </w:rPr>
        <w:t>B</w:t>
      </w:r>
      <w:r>
        <w:t xml:space="preserve">, </w:t>
      </w:r>
      <w:r>
        <w:rPr>
          <w:i/>
        </w:rPr>
        <w:t>C</w:t>
      </w:r>
      <w:r>
        <w:t xml:space="preserve"> and </w:t>
      </w:r>
      <w:r>
        <w:rPr>
          <w:i/>
        </w:rPr>
        <w:t>D</w:t>
      </w:r>
      <w:r>
        <w:t xml:space="preserve"> are 1.48, 0.17 and 0.18 moles per mol of </w:t>
      </w:r>
      <w:proofErr w:type="gramStart"/>
      <w:r>
        <w:t>Mg(</w:t>
      </w:r>
      <w:proofErr w:type="gramEnd"/>
      <w:r>
        <w:t>OH)</w:t>
      </w:r>
      <w:r>
        <w:rPr>
          <w:vertAlign w:val="subscript"/>
        </w:rPr>
        <w:t>2aq</w:t>
      </w:r>
      <w:r>
        <w:t>, respectively, based on seawater chemistry modeling (CO2SYS; Pierrot et al., 2006).</w:t>
      </w:r>
    </w:p>
    <w:p w14:paraId="000000EE" w14:textId="77777777" w:rsidR="003B3384" w:rsidRDefault="00297AA7">
      <w:r>
        <w:t xml:space="preserve">These preceding molar ratios vary as a function of equilibrium seawater pH, temperature (T) and salinity (S). In particular, the molar quantity </w:t>
      </w:r>
      <w:r>
        <w:rPr>
          <w:i/>
        </w:rPr>
        <w:t>A</w:t>
      </w:r>
      <w:r>
        <w:t xml:space="preserve"> decreases (increases) with increasing (decreasing) equilibrium seawater pH, T and S (Fig. A1.1). The reason for this is that the CO</w:t>
      </w:r>
      <w:r>
        <w:rPr>
          <w:vertAlign w:val="subscript"/>
        </w:rPr>
        <w:t>3</w:t>
      </w:r>
      <w:r>
        <w:rPr>
          <w:vertAlign w:val="superscript"/>
        </w:rPr>
        <w:t>2-</w:t>
      </w:r>
      <w:r>
        <w:t xml:space="preserve"> fraction of the total dissolved inorganic carbon (DIC) in a </w:t>
      </w:r>
      <w:proofErr w:type="gramStart"/>
      <w:r>
        <w:t>solution increases</w:t>
      </w:r>
      <w:proofErr w:type="gramEnd"/>
      <w:r>
        <w:t xml:space="preserve"> as these parameters increase. Because this is a divalent molecule, it takes twice the alkalinity to charge balance and store than does typically more abundant, monovalent HCO</w:t>
      </w:r>
      <w:r>
        <w:rPr>
          <w:vertAlign w:val="subscript"/>
        </w:rPr>
        <w:t>3</w:t>
      </w:r>
      <w:r>
        <w:rPr>
          <w:vertAlign w:val="superscript"/>
        </w:rPr>
        <w:t>-</w:t>
      </w:r>
      <w:r>
        <w:t xml:space="preserve"> ions. This accordingly reduces the CO</w:t>
      </w:r>
      <w:r>
        <w:rPr>
          <w:vertAlign w:val="subscript"/>
        </w:rPr>
        <w:t>2</w:t>
      </w:r>
      <w:r>
        <w:t xml:space="preserve"> consumption and storage efficiency per mole of alkalinity addition. In the extreme, as pH declines the CDR/MH molar ratio asymptotes to 2, as the reaction becomes </w:t>
      </w:r>
      <w:proofErr w:type="gramStart"/>
      <w:r>
        <w:t>predominantly;</w:t>
      </w:r>
      <w:proofErr w:type="gramEnd"/>
    </w:p>
    <w:p w14:paraId="000000EF" w14:textId="77777777" w:rsidR="003B3384" w:rsidRDefault="00297AA7">
      <w:proofErr w:type="gramStart"/>
      <w:r w:rsidRPr="00184928">
        <w:t>Mg(</w:t>
      </w:r>
      <w:proofErr w:type="gramEnd"/>
      <w:r w:rsidRPr="00184928">
        <w:t>OH)</w:t>
      </w:r>
      <w:r w:rsidRPr="00184928">
        <w:rPr>
          <w:vertAlign w:val="subscript"/>
        </w:rPr>
        <w:t>2</w:t>
      </w:r>
      <w:r w:rsidRPr="00184928">
        <w:t xml:space="preserve"> + 2CO</w:t>
      </w:r>
      <w:r w:rsidRPr="00184928">
        <w:rPr>
          <w:vertAlign w:val="subscript"/>
        </w:rPr>
        <w:t>2</w:t>
      </w:r>
      <w:sdt>
        <w:sdtPr>
          <w:tag w:val="goog_rdk_11"/>
          <w:id w:val="1601676555"/>
        </w:sdtPr>
        <w:sdtContent>
          <w:r w:rsidRPr="004C4129">
            <w:rPr>
              <w:rFonts w:eastAsia="Cardo"/>
            </w:rPr>
            <w:t xml:space="preserve"> → Mg</w:t>
          </w:r>
        </w:sdtContent>
      </w:sdt>
      <w:r w:rsidRPr="00184928">
        <w:rPr>
          <w:vertAlign w:val="superscript"/>
        </w:rPr>
        <w:t>2+</w:t>
      </w:r>
      <w:r w:rsidRPr="00184928">
        <w:t xml:space="preserve"> + 2HCO</w:t>
      </w:r>
      <w:r w:rsidRPr="00184928">
        <w:rPr>
          <w:vertAlign w:val="subscript"/>
        </w:rPr>
        <w:t>3</w:t>
      </w:r>
      <w:r w:rsidRPr="00184928">
        <w:rPr>
          <w:vertAlign w:val="superscript"/>
        </w:rPr>
        <w:t>-</w:t>
      </w:r>
      <w:r w:rsidRPr="00184928">
        <w:tab/>
      </w:r>
      <w:r w:rsidRPr="00184928">
        <w:tab/>
      </w:r>
      <w:r>
        <w:tab/>
      </w:r>
      <w:r>
        <w:tab/>
      </w:r>
      <w:r>
        <w:tab/>
      </w:r>
      <w:r>
        <w:tab/>
      </w:r>
      <w:r>
        <w:tab/>
        <w:t>(A1.2)</w:t>
      </w:r>
      <w:r>
        <w:tab/>
      </w:r>
    </w:p>
    <w:p w14:paraId="000000F0" w14:textId="77777777" w:rsidR="003B3384" w:rsidRDefault="00297AA7">
      <w:r>
        <w:t xml:space="preserve">Conversely, </w:t>
      </w:r>
      <w:r>
        <w:rPr>
          <w:i/>
        </w:rPr>
        <w:t>A</w:t>
      </w:r>
      <w:r>
        <w:t xml:space="preserve"> approaches 1 as pH rises and the dominant reaction </w:t>
      </w:r>
      <w:proofErr w:type="gramStart"/>
      <w:r>
        <w:t>becomes;</w:t>
      </w:r>
      <w:proofErr w:type="gramEnd"/>
    </w:p>
    <w:p w14:paraId="000000F1" w14:textId="77777777" w:rsidR="003B3384" w:rsidRDefault="00297AA7">
      <w:pPr>
        <w:rPr>
          <w:vertAlign w:val="superscript"/>
        </w:rPr>
      </w:pPr>
      <w:proofErr w:type="gramStart"/>
      <w:r w:rsidRPr="00184928">
        <w:t>Mg(</w:t>
      </w:r>
      <w:proofErr w:type="gramEnd"/>
      <w:r w:rsidRPr="00184928">
        <w:t>OH)</w:t>
      </w:r>
      <w:r w:rsidRPr="00184928">
        <w:rPr>
          <w:vertAlign w:val="subscript"/>
        </w:rPr>
        <w:t>2</w:t>
      </w:r>
      <w:r w:rsidRPr="00184928">
        <w:t xml:space="preserve"> + CO</w:t>
      </w:r>
      <w:r w:rsidRPr="00184928">
        <w:rPr>
          <w:vertAlign w:val="subscript"/>
        </w:rPr>
        <w:t>2</w:t>
      </w:r>
      <w:sdt>
        <w:sdtPr>
          <w:tag w:val="goog_rdk_12"/>
          <w:id w:val="-343012988"/>
        </w:sdtPr>
        <w:sdtContent>
          <w:r w:rsidRPr="004C4129">
            <w:rPr>
              <w:rFonts w:eastAsia="Cardo"/>
            </w:rPr>
            <w:t xml:space="preserve"> → Mg</w:t>
          </w:r>
        </w:sdtContent>
      </w:sdt>
      <w:r w:rsidRPr="00184928">
        <w:rPr>
          <w:vertAlign w:val="superscript"/>
        </w:rPr>
        <w:t>2+</w:t>
      </w:r>
      <w:r w:rsidRPr="00184928">
        <w:t xml:space="preserve"> + CO</w:t>
      </w:r>
      <w:r w:rsidRPr="00184928">
        <w:rPr>
          <w:vertAlign w:val="subscript"/>
        </w:rPr>
        <w:t>3</w:t>
      </w:r>
      <w:r w:rsidRPr="00184928">
        <w:rPr>
          <w:vertAlign w:val="superscript"/>
        </w:rPr>
        <w:t xml:space="preserve">2- </w:t>
      </w:r>
      <w:r>
        <w:rPr>
          <w:vertAlign w:val="superscript"/>
        </w:rPr>
        <w:tab/>
      </w:r>
      <w:r>
        <w:rPr>
          <w:vertAlign w:val="superscript"/>
        </w:rPr>
        <w:tab/>
      </w:r>
      <w:r>
        <w:rPr>
          <w:vertAlign w:val="superscript"/>
        </w:rPr>
        <w:tab/>
      </w:r>
      <w:r>
        <w:rPr>
          <w:vertAlign w:val="superscript"/>
        </w:rPr>
        <w:tab/>
      </w:r>
      <w:r>
        <w:rPr>
          <w:vertAlign w:val="superscript"/>
        </w:rPr>
        <w:tab/>
      </w:r>
      <w:r>
        <w:tab/>
      </w:r>
      <w:r>
        <w:tab/>
        <w:t>(A1.3)</w:t>
      </w:r>
      <w:r>
        <w:tab/>
      </w:r>
    </w:p>
    <w:p w14:paraId="000000F2" w14:textId="77777777" w:rsidR="003B3384" w:rsidRDefault="00297AA7">
      <w:r>
        <w:t>Correspondingly, the CDR/Alk molar ratio maximally ranges from 0.5 to 1.</w:t>
      </w:r>
    </w:p>
    <w:p w14:paraId="000000F3" w14:textId="77777777" w:rsidR="003B3384" w:rsidRDefault="003B3384"/>
    <w:p w14:paraId="000000F4" w14:textId="77777777" w:rsidR="003B3384" w:rsidRDefault="00297AA7">
      <w:r>
        <w:t>In terms of mass, 1.65 (mols CO</w:t>
      </w:r>
      <w:r>
        <w:rPr>
          <w:vertAlign w:val="subscript"/>
        </w:rPr>
        <w:t>2</w:t>
      </w:r>
      <w:r>
        <w:t>/mol MH) x 44 (wt./mol CO</w:t>
      </w:r>
      <w:r>
        <w:rPr>
          <w:vertAlign w:val="subscript"/>
        </w:rPr>
        <w:t>2</w:t>
      </w:r>
      <w:r>
        <w:t>)/58.3 (wt./mol MH) = 1.25 t CO</w:t>
      </w:r>
      <w:r>
        <w:rPr>
          <w:vertAlign w:val="subscript"/>
        </w:rPr>
        <w:t>2</w:t>
      </w:r>
      <w:r>
        <w:t>/t MH at a pH of 8.1. Thus, by knowing the total tonnes of MH added to the surface ocean mixed layer we can calculate the potential gross CDR achieved at a final ocean equilibrium pH (Figure A1.1). These conditions are approximated by the mean, background pH, T and S of the surface seawater into which the alkalinity is to be added and (effectively infinitely) diluted.</w:t>
      </w:r>
    </w:p>
    <w:p w14:paraId="000000F5" w14:textId="58D36641" w:rsidR="003B3384" w:rsidRDefault="00297AA7">
      <w:r>
        <w:t>Tyka et al. (2022) suggested that the typical CDR/Alk range is 0.75-0.85, which equates to a CDR/MH (defined as the ‘CDR Ratio’ in the main document here) range of 1.5-1.7. He and Tyka (2023) used a CDR/Alk ratio of 0.8 for their simulated experiments and found that CDR via near-coast OAE operations has a potential to draw down several Gt CO</w:t>
      </w:r>
      <w:r>
        <w:rPr>
          <w:vertAlign w:val="subscript"/>
        </w:rPr>
        <w:t>2</w:t>
      </w:r>
      <w:r w:rsidRPr="003E2F6D">
        <w:t xml:space="preserve"> per year globally. A CDR/Alk ratio of 0.83 (</w:t>
      </w:r>
      <w:proofErr w:type="gramStart"/>
      <w:r w:rsidRPr="003E2F6D">
        <w:t>i.e.</w:t>
      </w:r>
      <w:proofErr w:type="gramEnd"/>
      <w:r w:rsidRPr="003E2F6D">
        <w:t xml:space="preserve"> CDR/MH of 1.66) has been derived and used by Renforth and Henderson (2017) to investigate the scale of carbon sequestration through increasing ocean alkalinity. In addition, a recent model simulation on OAE in the Bering Sea reveals that the CDR/Alk ratio is on the high end (≥0.85) because of high DIC and </w:t>
      </w:r>
      <w:r w:rsidRPr="003E2F6D">
        <w:lastRenderedPageBreak/>
        <w:t xml:space="preserve">persistently low pH and T of the study region (Wang et al., 2023). </w:t>
      </w:r>
    </w:p>
    <w:p w14:paraId="000000F8" w14:textId="35B28579" w:rsidR="003B3384" w:rsidRDefault="00184928">
      <w:r>
        <w:rPr>
          <w:noProof/>
        </w:rPr>
        <w:drawing>
          <wp:anchor distT="0" distB="0" distL="114300" distR="114300" simplePos="0" relativeHeight="251660288" behindDoc="0" locked="0" layoutInCell="1" allowOverlap="1" wp14:anchorId="52332BED" wp14:editId="5D50B4CB">
            <wp:simplePos x="0" y="0"/>
            <wp:positionH relativeFrom="column">
              <wp:posOffset>50800</wp:posOffset>
            </wp:positionH>
            <wp:positionV relativeFrom="paragraph">
              <wp:posOffset>203835</wp:posOffset>
            </wp:positionV>
            <wp:extent cx="5943600" cy="3871595"/>
            <wp:effectExtent l="0" t="0" r="0" b="1905"/>
            <wp:wrapSquare wrapText="bothSides"/>
            <wp:docPr id="18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943600" cy="3871595"/>
                    </a:xfrm>
                    <a:prstGeom prst="rect">
                      <a:avLst/>
                    </a:prstGeom>
                    <a:ln/>
                  </pic:spPr>
                </pic:pic>
              </a:graphicData>
            </a:graphic>
            <wp14:sizeRelH relativeFrom="page">
              <wp14:pctWidth>0</wp14:pctWidth>
            </wp14:sizeRelH>
            <wp14:sizeRelV relativeFrom="page">
              <wp14:pctHeight>0</wp14:pctHeight>
            </wp14:sizeRelV>
          </wp:anchor>
        </w:drawing>
      </w:r>
    </w:p>
    <w:p w14:paraId="000000F9" w14:textId="77777777" w:rsidR="003B3384" w:rsidRDefault="00297AA7">
      <w:r w:rsidRPr="00B327C6">
        <w:rPr>
          <w:b/>
          <w:bCs/>
        </w:rPr>
        <w:t>Figure A1.1</w:t>
      </w:r>
      <w:r>
        <w:t>. Change in the CDRgross/</w:t>
      </w:r>
      <w:proofErr w:type="gramStart"/>
      <w:r>
        <w:t>Mg(</w:t>
      </w:r>
      <w:proofErr w:type="gramEnd"/>
      <w:r>
        <w:t>OH)</w:t>
      </w:r>
      <w:r>
        <w:rPr>
          <w:vertAlign w:val="subscript"/>
        </w:rPr>
        <w:t>2</w:t>
      </w:r>
      <w:r>
        <w:t xml:space="preserve"> added molar ratio (= 2xDelta [DIC]/Delta [TA]) as a function of ocean pH under air pCO</w:t>
      </w:r>
      <w:r>
        <w:rPr>
          <w:vertAlign w:val="subscript"/>
        </w:rPr>
        <w:t>2</w:t>
      </w:r>
      <w:r>
        <w:t xml:space="preserve"> equilibration as modeled in CO2SYS (Pierrot et al., 2006) where pCO</w:t>
      </w:r>
      <w:r>
        <w:rPr>
          <w:vertAlign w:val="subscript"/>
        </w:rPr>
        <w:t>2</w:t>
      </w:r>
      <w:r>
        <w:t xml:space="preserve"> is held constant at 415 µatm and pH is increased by 0.05 units from 8.00 to 8.50. The resulting change in DIC relative to change in alkalinity at each pH step is then determined. Other base conditions: S=35 ppt, T=20 °C, P=10 dbar. The effects of decreasing S and T from the base case are shown. Equilibration values as modeled in CO2SYS (Pierrot et al., 2006).</w:t>
      </w:r>
    </w:p>
    <w:p w14:paraId="000000FA" w14:textId="77777777" w:rsidR="003B3384" w:rsidRDefault="003B3384"/>
    <w:p w14:paraId="000000FB" w14:textId="1F60FDB1" w:rsidR="003B3384" w:rsidRDefault="00297AA7" w:rsidP="00FB2BEC">
      <w:pPr>
        <w:pStyle w:val="Heading4"/>
      </w:pPr>
      <w:bookmarkStart w:id="19" w:name="_Toc127971124"/>
      <w:r>
        <w:t>CDR</w:t>
      </w:r>
      <w:r>
        <w:rPr>
          <w:vertAlign w:val="subscript"/>
        </w:rPr>
        <w:t>ww</w:t>
      </w:r>
      <w:bookmarkEnd w:id="19"/>
      <w:r>
        <w:t xml:space="preserve"> </w:t>
      </w:r>
    </w:p>
    <w:p w14:paraId="000000FC" w14:textId="77777777" w:rsidR="003B3384" w:rsidRDefault="00297AA7">
      <w:r>
        <w:t>Wastewater discharge rate is typically monitored closely by wastewater operators, and/or can be measured using a flowmeter inserted into the pipe whose wastewater cross-sectional area is known. pCO</w:t>
      </w:r>
      <w:r>
        <w:rPr>
          <w:vertAlign w:val="subscript"/>
        </w:rPr>
        <w:t>2pre</w:t>
      </w:r>
      <w:r>
        <w:t xml:space="preserve"> is measured upstream to any alkalinity addition. This in effect provides the non-alkalized control measure to which the post-alkalinization measure (pCO</w:t>
      </w:r>
      <w:r>
        <w:rPr>
          <w:vertAlign w:val="subscript"/>
        </w:rPr>
        <w:t>2post</w:t>
      </w:r>
      <w:r>
        <w:t>) can then be differenced to determine the amount of CDR occurring between these points in the pipe. Differencing upstream and downstream pCO</w:t>
      </w:r>
      <w:r>
        <w:rPr>
          <w:vertAlign w:val="subscript"/>
        </w:rPr>
        <w:t>2</w:t>
      </w:r>
      <w:r>
        <w:t xml:space="preserve"> without MH addition measures in-pipe changes in pCO</w:t>
      </w:r>
      <w:r>
        <w:rPr>
          <w:vertAlign w:val="subscript"/>
        </w:rPr>
        <w:t>2</w:t>
      </w:r>
      <w:r>
        <w:t xml:space="preserve"> due to non-alkalization processes, such as loss of CO</w:t>
      </w:r>
      <w:r>
        <w:rPr>
          <w:vertAlign w:val="subscript"/>
        </w:rPr>
        <w:t>2</w:t>
      </w:r>
      <w:r>
        <w:t xml:space="preserve"> to the air or additional in-pipe biogenic CO</w:t>
      </w:r>
      <w:r>
        <w:rPr>
          <w:vertAlign w:val="subscript"/>
        </w:rPr>
        <w:t>2</w:t>
      </w:r>
      <w:r>
        <w:t xml:space="preserve"> generation. </w:t>
      </w:r>
    </w:p>
    <w:p w14:paraId="000000FD" w14:textId="3D0D05E0" w:rsidR="003B3384" w:rsidRDefault="0069759F">
      <w:r>
        <w:t>A simple calculation of CDR</w:t>
      </w:r>
      <w:r>
        <w:rPr>
          <w:vertAlign w:val="subscript"/>
        </w:rPr>
        <w:t>ww</w:t>
      </w:r>
      <w:r>
        <w:t xml:space="preserve"> using a differencing of pCO</w:t>
      </w:r>
      <w:r>
        <w:rPr>
          <w:vertAlign w:val="subscript"/>
        </w:rPr>
        <w:t xml:space="preserve">2post </w:t>
      </w:r>
      <w:r>
        <w:t>and pCO</w:t>
      </w:r>
      <w:r>
        <w:rPr>
          <w:vertAlign w:val="subscript"/>
        </w:rPr>
        <w:t>2pre</w:t>
      </w:r>
      <w:r>
        <w:t xml:space="preserve"> (Eq. 4 in main text, the “Delta pCO</w:t>
      </w:r>
      <w:r>
        <w:rPr>
          <w:vertAlign w:val="subscript"/>
        </w:rPr>
        <w:t>2</w:t>
      </w:r>
      <w:r>
        <w:t xml:space="preserve">” </w:t>
      </w:r>
      <w:proofErr w:type="gramStart"/>
      <w:r>
        <w:t>method)  has</w:t>
      </w:r>
      <w:proofErr w:type="gramEnd"/>
      <w:r>
        <w:t xml:space="preserve"> been found to underestimate the total wastewater CDR</w:t>
      </w:r>
      <w:r>
        <w:rPr>
          <w:vertAlign w:val="subscript"/>
        </w:rPr>
        <w:t xml:space="preserve"> </w:t>
      </w:r>
      <w:r>
        <w:t>achieved (i.e., biogenic CO</w:t>
      </w:r>
      <w:r>
        <w:rPr>
          <w:vertAlign w:val="subscript"/>
        </w:rPr>
        <w:t>2</w:t>
      </w:r>
      <w:r>
        <w:t xml:space="preserve"> emissions avoided), especially under high alkalinity and thus large pCO</w:t>
      </w:r>
      <w:r>
        <w:rPr>
          <w:vertAlign w:val="subscript"/>
        </w:rPr>
        <w:t>2</w:t>
      </w:r>
      <w:r>
        <w:t xml:space="preserve"> differentials, as shown in Figure A1.2.</w:t>
      </w:r>
    </w:p>
    <w:p w14:paraId="000000FE" w14:textId="77777777" w:rsidR="003B3384" w:rsidRDefault="00297AA7">
      <w:r>
        <w:rPr>
          <w:noProof/>
        </w:rPr>
        <w:lastRenderedPageBreak/>
        <w:drawing>
          <wp:anchor distT="0" distB="0" distL="114300" distR="114300" simplePos="0" relativeHeight="251658240" behindDoc="0" locked="0" layoutInCell="1" allowOverlap="1" wp14:anchorId="112B8177" wp14:editId="11221A3C">
            <wp:simplePos x="0" y="0"/>
            <wp:positionH relativeFrom="column">
              <wp:posOffset>711200</wp:posOffset>
            </wp:positionH>
            <wp:positionV relativeFrom="paragraph">
              <wp:posOffset>0</wp:posOffset>
            </wp:positionV>
            <wp:extent cx="4368800" cy="2413000"/>
            <wp:effectExtent l="0" t="0" r="0" b="0"/>
            <wp:wrapSquare wrapText="bothSides"/>
            <wp:docPr id="18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4368800" cy="2413000"/>
                    </a:xfrm>
                    <a:prstGeom prst="rect">
                      <a:avLst/>
                    </a:prstGeom>
                    <a:ln/>
                  </pic:spPr>
                </pic:pic>
              </a:graphicData>
            </a:graphic>
            <wp14:sizeRelH relativeFrom="page">
              <wp14:pctWidth>0</wp14:pctWidth>
            </wp14:sizeRelH>
            <wp14:sizeRelV relativeFrom="page">
              <wp14:pctHeight>0</wp14:pctHeight>
            </wp14:sizeRelV>
          </wp:anchor>
        </w:drawing>
      </w:r>
    </w:p>
    <w:p w14:paraId="09869451" w14:textId="77777777" w:rsidR="00184928" w:rsidRDefault="00184928">
      <w:pPr>
        <w:rPr>
          <w:b/>
          <w:bCs/>
        </w:rPr>
      </w:pPr>
    </w:p>
    <w:p w14:paraId="70592C6B" w14:textId="77777777" w:rsidR="00184928" w:rsidRDefault="00184928">
      <w:pPr>
        <w:rPr>
          <w:b/>
          <w:bCs/>
        </w:rPr>
      </w:pPr>
    </w:p>
    <w:p w14:paraId="6EC91DDB" w14:textId="77777777" w:rsidR="00184928" w:rsidRDefault="00184928">
      <w:pPr>
        <w:rPr>
          <w:b/>
          <w:bCs/>
        </w:rPr>
      </w:pPr>
    </w:p>
    <w:p w14:paraId="5FCCCC1B" w14:textId="77777777" w:rsidR="00184928" w:rsidRDefault="00184928">
      <w:pPr>
        <w:rPr>
          <w:b/>
          <w:bCs/>
        </w:rPr>
      </w:pPr>
    </w:p>
    <w:p w14:paraId="34E02EB2" w14:textId="77777777" w:rsidR="00184928" w:rsidRDefault="00184928">
      <w:pPr>
        <w:rPr>
          <w:b/>
          <w:bCs/>
        </w:rPr>
      </w:pPr>
    </w:p>
    <w:p w14:paraId="1CC2AA3B" w14:textId="77777777" w:rsidR="00184928" w:rsidRDefault="00184928">
      <w:pPr>
        <w:rPr>
          <w:b/>
          <w:bCs/>
        </w:rPr>
      </w:pPr>
    </w:p>
    <w:p w14:paraId="56440276" w14:textId="77777777" w:rsidR="00184928" w:rsidRDefault="00184928">
      <w:pPr>
        <w:rPr>
          <w:b/>
          <w:bCs/>
        </w:rPr>
      </w:pPr>
    </w:p>
    <w:p w14:paraId="61079D4C" w14:textId="77777777" w:rsidR="00184928" w:rsidRDefault="00184928">
      <w:pPr>
        <w:rPr>
          <w:b/>
          <w:bCs/>
        </w:rPr>
      </w:pPr>
    </w:p>
    <w:p w14:paraId="3FAC60A1" w14:textId="77777777" w:rsidR="00184928" w:rsidRDefault="00184928">
      <w:pPr>
        <w:rPr>
          <w:b/>
          <w:bCs/>
        </w:rPr>
      </w:pPr>
    </w:p>
    <w:p w14:paraId="000000FF" w14:textId="7A343399" w:rsidR="003B3384" w:rsidRDefault="00297AA7">
      <w:r w:rsidRPr="00B327C6">
        <w:rPr>
          <w:b/>
          <w:bCs/>
        </w:rPr>
        <w:t>Figure A1.2</w:t>
      </w:r>
      <w:r>
        <w:t>. Calculated wastewater CDR versus alkalinity added, determined: i) from the pre- and post- Delta pCO</w:t>
      </w:r>
      <w:r>
        <w:rPr>
          <w:vertAlign w:val="subscript"/>
        </w:rPr>
        <w:t>2</w:t>
      </w:r>
      <w:r>
        <w:t xml:space="preserve"> method (blue line), and ii) from modeling the loss of CO</w:t>
      </w:r>
      <w:r>
        <w:rPr>
          <w:vertAlign w:val="subscript"/>
        </w:rPr>
        <w:t>2</w:t>
      </w:r>
      <w:r>
        <w:t xml:space="preserve"> to air in ambient wastewater relative to the loss of CO</w:t>
      </w:r>
      <w:r>
        <w:rPr>
          <w:vertAlign w:val="subscript"/>
        </w:rPr>
        <w:t>2</w:t>
      </w:r>
      <w:r>
        <w:t xml:space="preserve"> to air when wastewater pCO</w:t>
      </w:r>
      <w:r>
        <w:rPr>
          <w:vertAlign w:val="subscript"/>
        </w:rPr>
        <w:t>2</w:t>
      </w:r>
      <w:r>
        <w:t xml:space="preserve"> is lowered by the same amount as in the Delta pCO</w:t>
      </w:r>
      <w:r>
        <w:rPr>
          <w:vertAlign w:val="subscript"/>
        </w:rPr>
        <w:t>2</w:t>
      </w:r>
      <w:r>
        <w:t xml:space="preserve"> example (red line). Modeled using CO2SYS (Pierrot et al., 2006).</w:t>
      </w:r>
    </w:p>
    <w:p w14:paraId="7AF90CCB" w14:textId="77777777" w:rsidR="00B327C6" w:rsidRDefault="00B327C6"/>
    <w:p w14:paraId="00000100" w14:textId="22997BF4" w:rsidR="003B3384" w:rsidRDefault="00297AA7">
      <w:r>
        <w:t>The “Delta pCO</w:t>
      </w:r>
      <w:r>
        <w:rPr>
          <w:vertAlign w:val="subscript"/>
        </w:rPr>
        <w:t>2</w:t>
      </w:r>
      <w:r>
        <w:t>” method calculates the CDR taking place in-pipe between the monitoring points without air equilibration, while the Delta air equilibrium method (red line) reflects the full biogenic CO</w:t>
      </w:r>
      <w:r>
        <w:rPr>
          <w:vertAlign w:val="subscript"/>
        </w:rPr>
        <w:t>2</w:t>
      </w:r>
      <w:r>
        <w:t xml:space="preserve"> emissions avoided by alkalinity addition to wastewater that is ultimately equilibrated with air. The reason for this difference is the higher pH, and thus the higher prevalence of CO</w:t>
      </w:r>
      <w:r>
        <w:rPr>
          <w:vertAlign w:val="subscript"/>
        </w:rPr>
        <w:t>3</w:t>
      </w:r>
      <w:r>
        <w:rPr>
          <w:vertAlign w:val="superscript"/>
        </w:rPr>
        <w:t>2-</w:t>
      </w:r>
      <w:r>
        <w:t xml:space="preserve"> relative to HCO</w:t>
      </w:r>
      <w:r>
        <w:rPr>
          <w:vertAlign w:val="subscript"/>
        </w:rPr>
        <w:t>3</w:t>
      </w:r>
      <w:r>
        <w:rPr>
          <w:vertAlign w:val="superscript"/>
        </w:rPr>
        <w:t>-</w:t>
      </w:r>
      <w:r>
        <w:t xml:space="preserve"> storage, of the consumed CO</w:t>
      </w:r>
      <w:r>
        <w:rPr>
          <w:vertAlign w:val="subscript"/>
        </w:rPr>
        <w:t>2</w:t>
      </w:r>
      <w:r>
        <w:t xml:space="preserve"> in an alkalinized, closed-pipe system as opposed to the lower equilibrium pH achieved once the wastewater equilibrates with air. </w:t>
      </w:r>
    </w:p>
    <w:p w14:paraId="00000101" w14:textId="0C16DFB3" w:rsidR="003B3384" w:rsidRDefault="0069759F">
      <w:r>
        <w:t>We empirically relate the measured Delta pCO</w:t>
      </w:r>
      <w:r>
        <w:rPr>
          <w:vertAlign w:val="subscript"/>
        </w:rPr>
        <w:t xml:space="preserve">2 </w:t>
      </w:r>
      <w:r>
        <w:t>to the more representative CDR</w:t>
      </w:r>
      <w:r>
        <w:rPr>
          <w:vertAlign w:val="subscript"/>
        </w:rPr>
        <w:t>ww</w:t>
      </w:r>
      <w:r>
        <w:t xml:space="preserve"> using a polynomial equation as shown in Figure A1.3</w:t>
      </w:r>
      <w:r w:rsidR="00184928">
        <w:t>.</w:t>
      </w:r>
    </w:p>
    <w:p w14:paraId="00000102" w14:textId="77777777" w:rsidR="003B3384" w:rsidRDefault="00297AA7">
      <w:r>
        <w:rPr>
          <w:noProof/>
        </w:rPr>
        <w:drawing>
          <wp:anchor distT="0" distB="0" distL="114300" distR="114300" simplePos="0" relativeHeight="251659264" behindDoc="0" locked="0" layoutInCell="1" allowOverlap="1" wp14:anchorId="551CAAB4" wp14:editId="5124A52E">
            <wp:simplePos x="0" y="0"/>
            <wp:positionH relativeFrom="column">
              <wp:posOffset>609600</wp:posOffset>
            </wp:positionH>
            <wp:positionV relativeFrom="paragraph">
              <wp:posOffset>635</wp:posOffset>
            </wp:positionV>
            <wp:extent cx="4406900" cy="2184400"/>
            <wp:effectExtent l="0" t="0" r="0" b="0"/>
            <wp:wrapSquare wrapText="bothSides"/>
            <wp:docPr id="1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406900" cy="2184400"/>
                    </a:xfrm>
                    <a:prstGeom prst="rect">
                      <a:avLst/>
                    </a:prstGeom>
                    <a:ln/>
                  </pic:spPr>
                </pic:pic>
              </a:graphicData>
            </a:graphic>
            <wp14:sizeRelH relativeFrom="page">
              <wp14:pctWidth>0</wp14:pctWidth>
            </wp14:sizeRelH>
            <wp14:sizeRelV relativeFrom="page">
              <wp14:pctHeight>0</wp14:pctHeight>
            </wp14:sizeRelV>
          </wp:anchor>
        </w:drawing>
      </w:r>
    </w:p>
    <w:p w14:paraId="1BA1C3FD" w14:textId="77777777" w:rsidR="00184928" w:rsidRDefault="00184928">
      <w:pPr>
        <w:rPr>
          <w:b/>
          <w:bCs/>
        </w:rPr>
      </w:pPr>
    </w:p>
    <w:p w14:paraId="1A6067A5" w14:textId="77777777" w:rsidR="00184928" w:rsidRDefault="00184928">
      <w:pPr>
        <w:rPr>
          <w:b/>
          <w:bCs/>
        </w:rPr>
      </w:pPr>
    </w:p>
    <w:p w14:paraId="0812BB3D" w14:textId="77777777" w:rsidR="00184928" w:rsidRDefault="00184928">
      <w:pPr>
        <w:rPr>
          <w:b/>
          <w:bCs/>
        </w:rPr>
      </w:pPr>
    </w:p>
    <w:p w14:paraId="7B1EED8E" w14:textId="77777777" w:rsidR="00184928" w:rsidRDefault="00184928">
      <w:pPr>
        <w:rPr>
          <w:b/>
          <w:bCs/>
        </w:rPr>
      </w:pPr>
    </w:p>
    <w:p w14:paraId="621363FD" w14:textId="77777777" w:rsidR="00184928" w:rsidRDefault="00184928">
      <w:pPr>
        <w:rPr>
          <w:b/>
          <w:bCs/>
        </w:rPr>
      </w:pPr>
    </w:p>
    <w:p w14:paraId="7D4D9FE3" w14:textId="77777777" w:rsidR="00184928" w:rsidRDefault="00184928">
      <w:pPr>
        <w:rPr>
          <w:b/>
          <w:bCs/>
        </w:rPr>
      </w:pPr>
    </w:p>
    <w:p w14:paraId="4DE50C23" w14:textId="77777777" w:rsidR="00184928" w:rsidRDefault="00184928">
      <w:pPr>
        <w:rPr>
          <w:b/>
          <w:bCs/>
        </w:rPr>
      </w:pPr>
    </w:p>
    <w:p w14:paraId="3DF74EB5" w14:textId="77777777" w:rsidR="00184928" w:rsidRDefault="00184928">
      <w:pPr>
        <w:rPr>
          <w:b/>
          <w:bCs/>
        </w:rPr>
      </w:pPr>
    </w:p>
    <w:p w14:paraId="00000103" w14:textId="1E806033" w:rsidR="003B3384" w:rsidRDefault="00297AA7">
      <w:r w:rsidRPr="00B327C6">
        <w:rPr>
          <w:b/>
          <w:bCs/>
        </w:rPr>
        <w:t>Figure A1.3</w:t>
      </w:r>
      <w:r>
        <w:t>. The modeled relationship between Delta pCO</w:t>
      </w:r>
      <w:r>
        <w:rPr>
          <w:vertAlign w:val="subscript"/>
        </w:rPr>
        <w:t>2ww</w:t>
      </w:r>
      <w:r>
        <w:t xml:space="preserve"> (= pCO</w:t>
      </w:r>
      <w:r>
        <w:rPr>
          <w:vertAlign w:val="subscript"/>
        </w:rPr>
        <w:t>2pre</w:t>
      </w:r>
      <w:r>
        <w:t xml:space="preserve"> – pCO</w:t>
      </w:r>
      <w:r>
        <w:rPr>
          <w:vertAlign w:val="subscript"/>
        </w:rPr>
        <w:t>2post</w:t>
      </w:r>
      <w:r>
        <w:t>) and i) CDR</w:t>
      </w:r>
      <w:r>
        <w:rPr>
          <w:vertAlign w:val="subscript"/>
        </w:rPr>
        <w:t>ww</w:t>
      </w:r>
      <w:r>
        <w:t xml:space="preserve"> calculated from Delta pCO</w:t>
      </w:r>
      <w:r>
        <w:rPr>
          <w:vertAlign w:val="subscript"/>
        </w:rPr>
        <w:t>2ww</w:t>
      </w:r>
      <w:r>
        <w:t xml:space="preserve"> (blue lines) and ii) total wastewater CDR calculated based on biogenic CO</w:t>
      </w:r>
      <w:r>
        <w:rPr>
          <w:vertAlign w:val="subscript"/>
        </w:rPr>
        <w:t>2</w:t>
      </w:r>
      <w:r>
        <w:t xml:space="preserve"> emissions avoided upon air equilibration (red lines). The CDR</w:t>
      </w:r>
      <w:r>
        <w:rPr>
          <w:vertAlign w:val="subscript"/>
        </w:rPr>
        <w:t>ww</w:t>
      </w:r>
      <w:r>
        <w:t xml:space="preserve"> shown here in μM can be converted to tonnes using the appropriate solution volume affected and mole weight conversion factors.  Modeling based on CO2SYS (Pierrot et al., 2006).</w:t>
      </w:r>
    </w:p>
    <w:p w14:paraId="08F61511" w14:textId="77777777" w:rsidR="00B327C6" w:rsidRDefault="00B327C6"/>
    <w:p w14:paraId="00000104" w14:textId="77777777" w:rsidR="003B3384" w:rsidRDefault="00297AA7">
      <w:r>
        <w:t xml:space="preserve">The CDR shown here in μM can be converted to tonnes using the appropriate volume and mol weight conversion factors. </w:t>
      </w:r>
    </w:p>
    <w:p w14:paraId="00000105" w14:textId="290608B9" w:rsidR="003B3384" w:rsidRDefault="00297AA7">
      <w:r>
        <w:t>An additional refinement of the CDR</w:t>
      </w:r>
      <w:r>
        <w:rPr>
          <w:vertAlign w:val="subscript"/>
        </w:rPr>
        <w:t>ww</w:t>
      </w:r>
      <w:r>
        <w:t xml:space="preserve"> measurement is anticipated given that the ultimate pH, T and S of the alkalized wastewater will, upon “infinite” dilution in the ocean and air equilibration, approach the values of background seawater. Such chemical changes to wastewater caused by dilution and equilibration can increase or decrease CDR</w:t>
      </w:r>
      <w:r>
        <w:rPr>
          <w:vertAlign w:val="subscript"/>
        </w:rPr>
        <w:t>ww</w:t>
      </w:r>
      <w:r>
        <w:t xml:space="preserve"> achieved per unit of alkalinity added (Fig. A1.1).  However, we believe such effects will be relatively small. We will continue to refine our measurement of CDR</w:t>
      </w:r>
      <w:r>
        <w:rPr>
          <w:vertAlign w:val="subscript"/>
        </w:rPr>
        <w:t>ww</w:t>
      </w:r>
      <w:r>
        <w:t xml:space="preserve"> via further modeling and experimentation.  </w:t>
      </w:r>
    </w:p>
    <w:p w14:paraId="678972F4" w14:textId="77777777" w:rsidR="00FB2BEC" w:rsidRDefault="00FB2BEC"/>
    <w:p w14:paraId="00000106" w14:textId="6E2FB6A9" w:rsidR="003B3384" w:rsidRDefault="00297AA7" w:rsidP="00FB2BEC">
      <w:pPr>
        <w:pStyle w:val="Heading4"/>
      </w:pPr>
      <w:bookmarkStart w:id="20" w:name="_Toc127971125"/>
      <w:r>
        <w:t>CDR</w:t>
      </w:r>
      <w:r>
        <w:rPr>
          <w:vertAlign w:val="subscript"/>
        </w:rPr>
        <w:t>eff</w:t>
      </w:r>
      <w:bookmarkEnd w:id="20"/>
    </w:p>
    <w:p w14:paraId="00000107" w14:textId="77777777" w:rsidR="003B3384" w:rsidRDefault="00297AA7">
      <w:r>
        <w:t>CDR</w:t>
      </w:r>
      <w:r>
        <w:rPr>
          <w:vertAlign w:val="subscript"/>
        </w:rPr>
        <w:t xml:space="preserve">eff </w:t>
      </w:r>
      <w:r>
        <w:t>is the fraction of the theoretical CDR</w:t>
      </w:r>
      <w:r>
        <w:rPr>
          <w:vertAlign w:val="subscript"/>
        </w:rPr>
        <w:t>gross</w:t>
      </w:r>
      <w:r>
        <w:t xml:space="preserve"> that is achieved within a </w:t>
      </w:r>
      <w:proofErr w:type="gramStart"/>
      <w:r>
        <w:t>1 year</w:t>
      </w:r>
      <w:proofErr w:type="gramEnd"/>
      <w:r>
        <w:t xml:space="preserve"> period following the addition of alkalinity for a specific location, and is derived from laboratory and field experimentation and physical ocean modeling (methods for which are referenced below). </w:t>
      </w:r>
    </w:p>
    <w:p w14:paraId="00000108" w14:textId="77777777" w:rsidR="003B3384" w:rsidRDefault="003B3384"/>
    <w:p w14:paraId="00000109" w14:textId="77777777" w:rsidR="003B3384" w:rsidRDefault="00297AA7">
      <w:r>
        <w:t>CDR</w:t>
      </w:r>
      <w:r>
        <w:rPr>
          <w:vertAlign w:val="subscript"/>
        </w:rPr>
        <w:t>eff</w:t>
      </w:r>
      <w:r>
        <w:t xml:space="preserve"> = CDR</w:t>
      </w:r>
      <w:r>
        <w:rPr>
          <w:vertAlign w:val="subscript"/>
        </w:rPr>
        <w:t>model</w:t>
      </w:r>
      <w:r>
        <w:t xml:space="preserve"> / CDR</w:t>
      </w:r>
      <w:r>
        <w:rPr>
          <w:vertAlign w:val="subscript"/>
        </w:rPr>
        <w:t>gross</w:t>
      </w:r>
      <w:r>
        <w:rPr>
          <w:vertAlign w:val="subscript"/>
        </w:rPr>
        <w:tab/>
      </w:r>
      <w:r>
        <w:rPr>
          <w:vertAlign w:val="subscript"/>
        </w:rPr>
        <w:tab/>
      </w:r>
      <w:r>
        <w:tab/>
      </w:r>
      <w:r>
        <w:tab/>
      </w:r>
      <w:r>
        <w:tab/>
      </w:r>
      <w:r>
        <w:tab/>
      </w:r>
      <w:r>
        <w:tab/>
        <w:t>(A1.4)</w:t>
      </w:r>
      <w:r>
        <w:tab/>
      </w:r>
    </w:p>
    <w:p w14:paraId="0000010A" w14:textId="77777777" w:rsidR="003B3384" w:rsidRDefault="003B3384"/>
    <w:p w14:paraId="48D2BB2B" w14:textId="44960839" w:rsidR="0055251E" w:rsidRDefault="00297AA7">
      <w:r>
        <w:t>CDR</w:t>
      </w:r>
      <w:r>
        <w:rPr>
          <w:vertAlign w:val="subscript"/>
        </w:rPr>
        <w:t>model</w:t>
      </w:r>
      <w:r>
        <w:t xml:space="preserve"> is the gross CDR calculated for that time period from numerical model outputs. This factor accounts for two potential loss terms for the alkalinity added</w:t>
      </w:r>
      <w:r w:rsidR="0055251E">
        <w:t xml:space="preserve">: </w:t>
      </w:r>
    </w:p>
    <w:p w14:paraId="2F6F70E1" w14:textId="0C09FBAF" w:rsidR="004C4129" w:rsidRPr="00AB79FD" w:rsidRDefault="0055251E" w:rsidP="0055251E">
      <w:pPr>
        <w:pStyle w:val="ListParagraph"/>
        <w:numPr>
          <w:ilvl w:val="0"/>
          <w:numId w:val="11"/>
        </w:numPr>
      </w:pPr>
      <w:r>
        <w:t>The vertical advection of alkalized, CO</w:t>
      </w:r>
      <w:r w:rsidRPr="0055251E">
        <w:rPr>
          <w:vertAlign w:val="subscript"/>
        </w:rPr>
        <w:t>2</w:t>
      </w:r>
      <w:r>
        <w:t>-reduced seawater out of contact with the atmosphere such that CDR does not occur within the specified time frame.</w:t>
      </w:r>
    </w:p>
    <w:p w14:paraId="0000010B" w14:textId="2F78A3F8" w:rsidR="003B3384" w:rsidRPr="004C4129" w:rsidRDefault="0055251E" w:rsidP="004C4129">
      <w:pPr>
        <w:pStyle w:val="ListParagraph"/>
        <w:numPr>
          <w:ilvl w:val="0"/>
          <w:numId w:val="11"/>
        </w:numPr>
      </w:pPr>
      <w:r>
        <w:t>The sinking of any solid, undissolved alkalinity out of the surface mixed layer such that dissolved alkalinity generation, CO</w:t>
      </w:r>
      <w:r w:rsidRPr="004C4129">
        <w:t>2</w:t>
      </w:r>
      <w:r>
        <w:t xml:space="preserve"> undersaturation, air contacting and CDR does not occur within the </w:t>
      </w:r>
      <w:proofErr w:type="gramStart"/>
      <w:r>
        <w:t>time period</w:t>
      </w:r>
      <w:proofErr w:type="gramEnd"/>
      <w:r>
        <w:t>.</w:t>
      </w:r>
    </w:p>
    <w:p w14:paraId="0000010C" w14:textId="77777777" w:rsidR="003B3384" w:rsidRDefault="00297AA7">
      <w:r>
        <w:t>Based on laboratory experiments and models, dissolution of fine MH particles in seawater occurs on timescales of hours-to-days (Hartmann et al., 2022), and timescales for ocean-atmosphere CO</w:t>
      </w:r>
      <w:r>
        <w:rPr>
          <w:vertAlign w:val="subscript"/>
        </w:rPr>
        <w:t>2</w:t>
      </w:r>
      <w:r>
        <w:t xml:space="preserve"> equilibration range from weeks to months (Zeebe and Wolf-Gladrow, 2001; Caldeira et al., 2005; Sabine and Tanhua, 2010). A 1-year time horizon is adopted here, providing a robust requirement that both dissolution and equilibration will be complete within that period, while also providing a cap to better constrain the reporting and verification process. </w:t>
      </w:r>
    </w:p>
    <w:p w14:paraId="0000010D" w14:textId="77777777" w:rsidR="003B3384" w:rsidRDefault="00297AA7">
      <w:r>
        <w:t>The choice of 1 year aligns well with global model output for CO</w:t>
      </w:r>
      <w:r>
        <w:rPr>
          <w:vertAlign w:val="subscript"/>
        </w:rPr>
        <w:t>2</w:t>
      </w:r>
      <w:r>
        <w:t xml:space="preserve"> equilibration timescales, which reported a global mean value of 4.1 months, a standard deviation of 3.4 months, and only a small fraction of areas in offshore waters where the value exceeded 12 months (Jones et al., 2014). This study also revealed deeper mixed layer depth, offset by higher winter wind speeds, as the dominant factor driving increases in equilibration timescales, highlighting the importance of understanding these specific dynamics near a proposed OAE site. </w:t>
      </w:r>
    </w:p>
    <w:p w14:paraId="0000010E" w14:textId="77777777" w:rsidR="003B3384" w:rsidRDefault="00297AA7">
      <w:r>
        <w:t xml:space="preserve">Planetary’s OAE approach centers on alkalinity addition to relatively shallow coastal or nearshore waters, inherently lowering the risk of alkalinized waters reaching deeper offshore areas prior to equilibration. Removals that are not achieved within 1 year are not considered </w:t>
      </w:r>
      <w:proofErr w:type="gramStart"/>
      <w:r>
        <w:t>here, but</w:t>
      </w:r>
      <w:proofErr w:type="gramEnd"/>
      <w:r>
        <w:t xml:space="preserve"> could still provide CDR at some future date up to about 1,000 years (the turnover </w:t>
      </w:r>
      <w:r>
        <w:lastRenderedPageBreak/>
        <w:t>time of the ocean and the maximum duration that seawater can remain out of contact with the atmosphere). Going forward, numerical modelling efforts that build upon and apply this prior research to OAE-focused questions—both led by Planetary but perhaps more so by the greater research community—will undoubtedly help refine this aspect of the MRV protocol.</w:t>
      </w:r>
    </w:p>
    <w:p w14:paraId="0000010F" w14:textId="46C7F7A5" w:rsidR="003B3384" w:rsidRDefault="00297AA7">
      <w:r>
        <w:t>Alongside potential losses from particle sinking and alkalized water subduction, the possibility of runaway precipitation of CaCO</w:t>
      </w:r>
      <w:r>
        <w:rPr>
          <w:vertAlign w:val="subscript"/>
        </w:rPr>
        <w:t>3</w:t>
      </w:r>
      <w:r>
        <w:t xml:space="preserve"> from seawater following alkalinity addition has been identified as a further potential risk to the effectiveness of OAE (Chay et al. 2022). However, based on reported experimental results</w:t>
      </w:r>
      <w:r w:rsidR="00F500B5">
        <w:t xml:space="preserve"> (Hartmann et al. 2022; Moras et al. 2022)</w:t>
      </w:r>
      <w:r>
        <w:t>, as well as our own in-house experiments,</w:t>
      </w:r>
      <w:r w:rsidR="00F500B5">
        <w:t xml:space="preserve"> </w:t>
      </w:r>
      <w:r>
        <w:t>it is possible to add alkalinity including MH to seawater in quantities that stay below the precipitation threshold. Furthermore, these types of bottle or beaker experiments do not account for the rapid dilution of alkalinity once added to wastewater and especially once entering the ocean. Even for large rates of addition, dilution has been shown to drop the concentration of alkalinity in seawater below precipitation thresholds at a rate far faster than the rate at which CaCO</w:t>
      </w:r>
      <w:r>
        <w:rPr>
          <w:vertAlign w:val="subscript"/>
        </w:rPr>
        <w:t>3</w:t>
      </w:r>
      <w:r>
        <w:t xml:space="preserve"> precipitation can proceed (He and Tyka 2023; their Fig. 7). This is especially the case for MH, which dissolves (and thus releases alkalinity) slowly, providing an addition</w:t>
      </w:r>
      <w:r w:rsidR="00184928">
        <w:t>al</w:t>
      </w:r>
      <w:r>
        <w:t xml:space="preserve"> layer of safety with respect to staying below marine chemical (and biological) thresholds. </w:t>
      </w:r>
      <w:r w:rsidR="00F500B5">
        <w:t xml:space="preserve">Overall, a relatively slow-release alkalinity source </w:t>
      </w:r>
      <w:r w:rsidR="00017D1C">
        <w:t>and a highly dilutive environment combine to greatly minimize the risk posed by secondary precipitation for the OAE process described here.</w:t>
      </w:r>
    </w:p>
    <w:p w14:paraId="00000111" w14:textId="77777777" w:rsidR="003B3384" w:rsidRDefault="003B3384"/>
    <w:p w14:paraId="00000112" w14:textId="77777777" w:rsidR="003B3384" w:rsidRDefault="00297AA7" w:rsidP="00FB2BEC">
      <w:pPr>
        <w:pStyle w:val="Heading4"/>
      </w:pPr>
      <w:bookmarkStart w:id="21" w:name="_Toc127971126"/>
      <w:r>
        <w:t>CDR</w:t>
      </w:r>
      <w:r>
        <w:rPr>
          <w:vertAlign w:val="subscript"/>
        </w:rPr>
        <w:t>hback</w:t>
      </w:r>
      <w:bookmarkEnd w:id="21"/>
      <w:r>
        <w:rPr>
          <w:vertAlign w:val="subscript"/>
        </w:rPr>
        <w:t xml:space="preserve"> </w:t>
      </w:r>
    </w:p>
    <w:p w14:paraId="00000113" w14:textId="6338784B" w:rsidR="003B3384" w:rsidRDefault="00297AA7">
      <w:r>
        <w:t>In order to balance the need to proceed with removals with the reality that CDR</w:t>
      </w:r>
      <w:r>
        <w:rPr>
          <w:vertAlign w:val="subscript"/>
        </w:rPr>
        <w:t>eff</w:t>
      </w:r>
      <w:r>
        <w:t>, and hence CDR</w:t>
      </w:r>
      <w:r>
        <w:rPr>
          <w:vertAlign w:val="subscript"/>
        </w:rPr>
        <w:t>net</w:t>
      </w:r>
      <w:r>
        <w:t xml:space="preserve">, will be continually refined as removals are conducted and verified, an “estimate and refine” </w:t>
      </w:r>
      <w:r w:rsidR="00F656C5">
        <w:t xml:space="preserve">approach </w:t>
      </w:r>
      <w:r>
        <w:t xml:space="preserve">is used. In this </w:t>
      </w:r>
      <w:r w:rsidR="00F656C5">
        <w:t xml:space="preserve">approach </w:t>
      </w:r>
      <w:r>
        <w:t>new sites begin with an estimate of the CDR</w:t>
      </w:r>
      <w:r>
        <w:rPr>
          <w:vertAlign w:val="subscript"/>
        </w:rPr>
        <w:t>eff</w:t>
      </w:r>
      <w:r>
        <w:t xml:space="preserve"> based on the best available </w:t>
      </w:r>
      <w:r w:rsidR="006162EA">
        <w:t xml:space="preserve">oceanographic data </w:t>
      </w:r>
      <w:r>
        <w:t xml:space="preserve">that site. From there, a holdback is subtracted </w:t>
      </w:r>
      <w:proofErr w:type="gramStart"/>
      <w:r>
        <w:t>from  CDR</w:t>
      </w:r>
      <w:r>
        <w:rPr>
          <w:vertAlign w:val="subscript"/>
        </w:rPr>
        <w:t>eff</w:t>
      </w:r>
      <w:proofErr w:type="gramEnd"/>
      <w:r>
        <w:t xml:space="preserve"> that reflects the maturity of data available for the site. For example, if the best available estimate </w:t>
      </w:r>
      <w:proofErr w:type="gramStart"/>
      <w:r>
        <w:t>for  CDR</w:t>
      </w:r>
      <w:r>
        <w:rPr>
          <w:vertAlign w:val="subscript"/>
        </w:rPr>
        <w:t>eff</w:t>
      </w:r>
      <w:proofErr w:type="gramEnd"/>
      <w:r>
        <w:t xml:space="preserve"> = 0.9 and the holdback factor is 0.15, the initial reduction factor will be 0.75, i.e., only 75% of the potential CDR</w:t>
      </w:r>
      <w:r>
        <w:rPr>
          <w:vertAlign w:val="subscript"/>
        </w:rPr>
        <w:t>gross</w:t>
      </w:r>
      <w:r>
        <w:t xml:space="preserve"> can be claimed and credited (after the LCA</w:t>
      </w:r>
      <w:r>
        <w:rPr>
          <w:vertAlign w:val="subscript"/>
        </w:rPr>
        <w:t>emiss</w:t>
      </w:r>
      <w:r>
        <w:t xml:space="preserve"> deduction). The 0.15 holdback value is considered the upper limit of uncertainty we believe exists for a </w:t>
      </w:r>
      <w:proofErr w:type="gramStart"/>
      <w:r>
        <w:t>given  CDR</w:t>
      </w:r>
      <w:r>
        <w:rPr>
          <w:vertAlign w:val="subscript"/>
        </w:rPr>
        <w:t>eff</w:t>
      </w:r>
      <w:proofErr w:type="gramEnd"/>
      <w:r>
        <w:t xml:space="preserve"> estimate. As additional data collection and modeling are conducted for a site, uncertainties are expected to decrease, and the holdback factor </w:t>
      </w:r>
      <w:proofErr w:type="gramStart"/>
      <w:r>
        <w:t>and  CDR</w:t>
      </w:r>
      <w:r>
        <w:rPr>
          <w:vertAlign w:val="subscript"/>
        </w:rPr>
        <w:t>eff</w:t>
      </w:r>
      <w:proofErr w:type="gramEnd"/>
      <w:r>
        <w:t xml:space="preserve"> will be adjusted accordingly, as indicated in the table below. With each adjustment, the provider will also adjust the credits issued against historical activities.</w:t>
      </w:r>
    </w:p>
    <w:p w14:paraId="00000114" w14:textId="77777777" w:rsidR="003B3384" w:rsidRDefault="003B3384"/>
    <w:tbl>
      <w:tblPr>
        <w:tblStyle w:val="a1"/>
        <w:tblW w:w="9360" w:type="dxa"/>
        <w:tblInd w:w="30" w:type="dxa"/>
        <w:tblLayout w:type="fixed"/>
        <w:tblLook w:val="0000" w:firstRow="0" w:lastRow="0" w:firstColumn="0" w:lastColumn="0" w:noHBand="0" w:noVBand="0"/>
      </w:tblPr>
      <w:tblGrid>
        <w:gridCol w:w="1695"/>
        <w:gridCol w:w="6074"/>
        <w:gridCol w:w="1591"/>
      </w:tblGrid>
      <w:tr w:rsidR="003B3384" w14:paraId="15C66B84" w14:textId="77777777">
        <w:tc>
          <w:tcPr>
            <w:tcW w:w="1695" w:type="dxa"/>
            <w:tcBorders>
              <w:top w:val="single" w:sz="8" w:space="0" w:color="000000"/>
              <w:left w:val="single" w:sz="8" w:space="0" w:color="000000"/>
              <w:bottom w:val="single" w:sz="8" w:space="0" w:color="000000"/>
              <w:right w:val="single" w:sz="8" w:space="0" w:color="000000"/>
            </w:tcBorders>
          </w:tcPr>
          <w:p w14:paraId="00000115" w14:textId="77777777" w:rsidR="003B3384" w:rsidRDefault="00297AA7">
            <w:r>
              <w:t xml:space="preserve"> Maturity Level</w:t>
            </w:r>
          </w:p>
        </w:tc>
        <w:tc>
          <w:tcPr>
            <w:tcW w:w="6074" w:type="dxa"/>
            <w:tcBorders>
              <w:top w:val="single" w:sz="8" w:space="0" w:color="000000"/>
              <w:left w:val="single" w:sz="8" w:space="0" w:color="000000"/>
              <w:bottom w:val="single" w:sz="8" w:space="0" w:color="000000"/>
              <w:right w:val="single" w:sz="8" w:space="0" w:color="000000"/>
            </w:tcBorders>
          </w:tcPr>
          <w:p w14:paraId="00000116" w14:textId="77777777" w:rsidR="003B3384" w:rsidRDefault="00297AA7">
            <w:pPr>
              <w:pBdr>
                <w:top w:val="nil"/>
                <w:left w:val="nil"/>
                <w:bottom w:val="nil"/>
                <w:right w:val="nil"/>
                <w:between w:val="nil"/>
              </w:pBdr>
              <w:rPr>
                <w:color w:val="000000"/>
              </w:rPr>
            </w:pPr>
            <w:r>
              <w:rPr>
                <w:color w:val="000000"/>
              </w:rPr>
              <w:t xml:space="preserve"> Criteria</w:t>
            </w:r>
          </w:p>
        </w:tc>
        <w:tc>
          <w:tcPr>
            <w:tcW w:w="1591" w:type="dxa"/>
            <w:tcBorders>
              <w:top w:val="single" w:sz="8" w:space="0" w:color="000000"/>
              <w:left w:val="single" w:sz="8" w:space="0" w:color="000000"/>
              <w:bottom w:val="single" w:sz="8" w:space="0" w:color="000000"/>
              <w:right w:val="single" w:sz="8" w:space="0" w:color="000000"/>
            </w:tcBorders>
          </w:tcPr>
          <w:p w14:paraId="00000117" w14:textId="77777777" w:rsidR="003B3384" w:rsidRDefault="00297AA7">
            <w:pPr>
              <w:jc w:val="center"/>
            </w:pPr>
            <w:r>
              <w:t>Holdback Factor*</w:t>
            </w:r>
          </w:p>
        </w:tc>
      </w:tr>
      <w:tr w:rsidR="003B3384" w14:paraId="78175B1A" w14:textId="77777777">
        <w:tc>
          <w:tcPr>
            <w:tcW w:w="1695" w:type="dxa"/>
            <w:tcBorders>
              <w:top w:val="single" w:sz="8" w:space="0" w:color="000000"/>
              <w:left w:val="single" w:sz="8" w:space="0" w:color="000000"/>
              <w:bottom w:val="single" w:sz="8" w:space="0" w:color="000000"/>
              <w:right w:val="single" w:sz="8" w:space="0" w:color="000000"/>
            </w:tcBorders>
          </w:tcPr>
          <w:p w14:paraId="00000118" w14:textId="77777777" w:rsidR="003B3384" w:rsidRDefault="00297AA7">
            <w:r>
              <w:t xml:space="preserve"> Preliminary</w:t>
            </w:r>
          </w:p>
        </w:tc>
        <w:tc>
          <w:tcPr>
            <w:tcW w:w="6074" w:type="dxa"/>
            <w:tcBorders>
              <w:top w:val="single" w:sz="8" w:space="0" w:color="000000"/>
              <w:left w:val="single" w:sz="8" w:space="0" w:color="000000"/>
              <w:bottom w:val="single" w:sz="8" w:space="0" w:color="000000"/>
              <w:right w:val="single" w:sz="8" w:space="0" w:color="000000"/>
            </w:tcBorders>
          </w:tcPr>
          <w:p w14:paraId="00000119" w14:textId="77777777" w:rsidR="003B3384" w:rsidRDefault="00297AA7">
            <w:pPr>
              <w:numPr>
                <w:ilvl w:val="0"/>
                <w:numId w:val="3"/>
              </w:numPr>
              <w:ind w:hanging="255"/>
            </w:pPr>
            <w:r>
              <w:t>2D model completed</w:t>
            </w:r>
          </w:p>
          <w:p w14:paraId="0000011A" w14:textId="77777777" w:rsidR="003B3384" w:rsidRDefault="00297AA7">
            <w:pPr>
              <w:numPr>
                <w:ilvl w:val="0"/>
                <w:numId w:val="3"/>
              </w:numPr>
              <w:ind w:hanging="255"/>
            </w:pPr>
            <w:r>
              <w:t>Effluent pCO</w:t>
            </w:r>
            <w:r>
              <w:rPr>
                <w:vertAlign w:val="subscript"/>
              </w:rPr>
              <w:t>2</w:t>
            </w:r>
            <w:r>
              <w:t xml:space="preserve"> baseline completed </w:t>
            </w:r>
          </w:p>
          <w:p w14:paraId="0000011B" w14:textId="77777777" w:rsidR="003B3384" w:rsidRDefault="00297AA7">
            <w:pPr>
              <w:numPr>
                <w:ilvl w:val="0"/>
                <w:numId w:val="3"/>
              </w:numPr>
              <w:ind w:hanging="255"/>
            </w:pPr>
            <w:r>
              <w:t xml:space="preserve">MH particle size distribution determined </w:t>
            </w:r>
          </w:p>
        </w:tc>
        <w:tc>
          <w:tcPr>
            <w:tcW w:w="1591" w:type="dxa"/>
            <w:tcBorders>
              <w:top w:val="single" w:sz="8" w:space="0" w:color="000000"/>
              <w:left w:val="single" w:sz="8" w:space="0" w:color="000000"/>
              <w:bottom w:val="single" w:sz="8" w:space="0" w:color="000000"/>
              <w:right w:val="single" w:sz="8" w:space="0" w:color="000000"/>
            </w:tcBorders>
          </w:tcPr>
          <w:p w14:paraId="0000011C" w14:textId="77777777" w:rsidR="003B3384" w:rsidRDefault="00297AA7">
            <w:pPr>
              <w:jc w:val="center"/>
            </w:pPr>
            <w:r>
              <w:t>0.15</w:t>
            </w:r>
          </w:p>
        </w:tc>
      </w:tr>
      <w:tr w:rsidR="003B3384" w14:paraId="330EDE78" w14:textId="77777777">
        <w:tc>
          <w:tcPr>
            <w:tcW w:w="1695" w:type="dxa"/>
            <w:tcBorders>
              <w:top w:val="single" w:sz="8" w:space="0" w:color="000000"/>
              <w:left w:val="single" w:sz="8" w:space="0" w:color="000000"/>
              <w:bottom w:val="single" w:sz="8" w:space="0" w:color="000000"/>
              <w:right w:val="single" w:sz="8" w:space="0" w:color="000000"/>
            </w:tcBorders>
          </w:tcPr>
          <w:p w14:paraId="0000011D" w14:textId="77777777" w:rsidR="003B3384" w:rsidRDefault="00297AA7">
            <w:r>
              <w:t xml:space="preserve"> Operational</w:t>
            </w:r>
          </w:p>
        </w:tc>
        <w:tc>
          <w:tcPr>
            <w:tcW w:w="6074" w:type="dxa"/>
            <w:tcBorders>
              <w:top w:val="single" w:sz="8" w:space="0" w:color="000000"/>
              <w:left w:val="single" w:sz="8" w:space="0" w:color="000000"/>
              <w:bottom w:val="single" w:sz="8" w:space="0" w:color="000000"/>
              <w:right w:val="single" w:sz="8" w:space="0" w:color="000000"/>
            </w:tcBorders>
          </w:tcPr>
          <w:p w14:paraId="0000011E" w14:textId="77777777" w:rsidR="003B3384" w:rsidRDefault="00297AA7">
            <w:pPr>
              <w:numPr>
                <w:ilvl w:val="0"/>
                <w:numId w:val="4"/>
              </w:numPr>
              <w:pBdr>
                <w:top w:val="nil"/>
                <w:left w:val="nil"/>
                <w:bottom w:val="nil"/>
                <w:right w:val="nil"/>
                <w:between w:val="nil"/>
              </w:pBdr>
              <w:ind w:hanging="255"/>
            </w:pPr>
            <w:r>
              <w:rPr>
                <w:color w:val="000000"/>
              </w:rPr>
              <w:t>3D model completed incorporating site-specific mixed layer dynamics (</w:t>
            </w:r>
            <w:proofErr w:type="gramStart"/>
            <w:r>
              <w:rPr>
                <w:color w:val="000000"/>
              </w:rPr>
              <w:t>i.e.</w:t>
            </w:r>
            <w:proofErr w:type="gramEnd"/>
            <w:r>
              <w:rPr>
                <w:color w:val="000000"/>
              </w:rPr>
              <w:t xml:space="preserve"> alkalinized water subduction)</w:t>
            </w:r>
          </w:p>
          <w:p w14:paraId="0000011F" w14:textId="77777777" w:rsidR="003B3384" w:rsidRDefault="00297AA7">
            <w:pPr>
              <w:numPr>
                <w:ilvl w:val="0"/>
                <w:numId w:val="4"/>
              </w:numPr>
              <w:ind w:hanging="255"/>
            </w:pPr>
            <w:r>
              <w:t xml:space="preserve">Model includes relative buoyancy of effluent and vertical mixing rates </w:t>
            </w:r>
          </w:p>
          <w:p w14:paraId="00000120" w14:textId="77777777" w:rsidR="003B3384" w:rsidRDefault="00297AA7">
            <w:pPr>
              <w:numPr>
                <w:ilvl w:val="0"/>
                <w:numId w:val="4"/>
              </w:numPr>
              <w:ind w:hanging="255"/>
            </w:pPr>
            <w:r>
              <w:lastRenderedPageBreak/>
              <w:t xml:space="preserve">Model incorporating average wind speed, seasonal mixed layer depth changes, and sea surface roughness </w:t>
            </w:r>
          </w:p>
          <w:p w14:paraId="00000121" w14:textId="77777777" w:rsidR="003B3384" w:rsidRDefault="00297AA7">
            <w:pPr>
              <w:numPr>
                <w:ilvl w:val="0"/>
                <w:numId w:val="4"/>
              </w:numPr>
              <w:ind w:hanging="255"/>
            </w:pPr>
            <w:r>
              <w:t>Model validated based on at least 3 sensing events (</w:t>
            </w:r>
            <w:proofErr w:type="gramStart"/>
            <w:r>
              <w:t>1 week</w:t>
            </w:r>
            <w:proofErr w:type="gramEnd"/>
            <w:r>
              <w:t xml:space="preserve"> deployments of ocean sensors) - pH, temperature, salinity, pH, pCO</w:t>
            </w:r>
            <w:r>
              <w:rPr>
                <w:vertAlign w:val="subscript"/>
              </w:rPr>
              <w:t>2</w:t>
            </w:r>
            <w:r>
              <w:t xml:space="preserve"> change against pre-alkalinity addition baseline</w:t>
            </w:r>
          </w:p>
        </w:tc>
        <w:tc>
          <w:tcPr>
            <w:tcW w:w="1591" w:type="dxa"/>
            <w:tcBorders>
              <w:top w:val="single" w:sz="8" w:space="0" w:color="000000"/>
              <w:left w:val="single" w:sz="8" w:space="0" w:color="000000"/>
              <w:bottom w:val="single" w:sz="8" w:space="0" w:color="000000"/>
              <w:right w:val="single" w:sz="8" w:space="0" w:color="000000"/>
            </w:tcBorders>
          </w:tcPr>
          <w:p w14:paraId="00000122" w14:textId="77777777" w:rsidR="003B3384" w:rsidRDefault="00297AA7">
            <w:pPr>
              <w:jc w:val="center"/>
            </w:pPr>
            <w:r>
              <w:lastRenderedPageBreak/>
              <w:t>0.10</w:t>
            </w:r>
          </w:p>
        </w:tc>
      </w:tr>
      <w:tr w:rsidR="003B3384" w14:paraId="5C797C55" w14:textId="77777777">
        <w:tc>
          <w:tcPr>
            <w:tcW w:w="1695" w:type="dxa"/>
            <w:tcBorders>
              <w:top w:val="single" w:sz="8" w:space="0" w:color="000000"/>
              <w:left w:val="single" w:sz="8" w:space="0" w:color="000000"/>
              <w:right w:val="single" w:sz="8" w:space="0" w:color="000000"/>
            </w:tcBorders>
          </w:tcPr>
          <w:p w14:paraId="00000123" w14:textId="77777777" w:rsidR="003B3384" w:rsidRDefault="00297AA7">
            <w:r>
              <w:t xml:space="preserve"> Mature</w:t>
            </w:r>
          </w:p>
        </w:tc>
        <w:tc>
          <w:tcPr>
            <w:tcW w:w="6074" w:type="dxa"/>
            <w:tcBorders>
              <w:top w:val="single" w:sz="8" w:space="0" w:color="000000"/>
              <w:left w:val="single" w:sz="8" w:space="0" w:color="000000"/>
              <w:right w:val="single" w:sz="8" w:space="0" w:color="000000"/>
            </w:tcBorders>
          </w:tcPr>
          <w:p w14:paraId="00000124" w14:textId="77777777" w:rsidR="003B3384" w:rsidRDefault="00297AA7">
            <w:pPr>
              <w:numPr>
                <w:ilvl w:val="0"/>
                <w:numId w:val="2"/>
              </w:numPr>
              <w:ind w:hanging="255"/>
            </w:pPr>
            <w:r>
              <w:t xml:space="preserve">Model validated based on at least 10 sensing events </w:t>
            </w:r>
          </w:p>
        </w:tc>
        <w:tc>
          <w:tcPr>
            <w:tcW w:w="1591" w:type="dxa"/>
            <w:tcBorders>
              <w:top w:val="single" w:sz="8" w:space="0" w:color="000000"/>
              <w:left w:val="single" w:sz="8" w:space="0" w:color="000000"/>
              <w:right w:val="single" w:sz="8" w:space="0" w:color="000000"/>
            </w:tcBorders>
          </w:tcPr>
          <w:p w14:paraId="00000125" w14:textId="77777777" w:rsidR="003B3384" w:rsidRDefault="00297AA7">
            <w:pPr>
              <w:jc w:val="center"/>
            </w:pPr>
            <w:r>
              <w:t>0.02</w:t>
            </w:r>
          </w:p>
        </w:tc>
      </w:tr>
      <w:tr w:rsidR="003B3384" w14:paraId="3BA3A172" w14:textId="77777777">
        <w:trPr>
          <w:cantSplit/>
          <w:trHeight w:val="114"/>
        </w:trPr>
        <w:tc>
          <w:tcPr>
            <w:tcW w:w="1695" w:type="dxa"/>
            <w:tcBorders>
              <w:top w:val="single" w:sz="4" w:space="0" w:color="000000"/>
            </w:tcBorders>
          </w:tcPr>
          <w:p w14:paraId="00000126" w14:textId="77777777" w:rsidR="003B3384" w:rsidRDefault="003B3384"/>
        </w:tc>
        <w:tc>
          <w:tcPr>
            <w:tcW w:w="7665" w:type="dxa"/>
            <w:gridSpan w:val="2"/>
            <w:tcBorders>
              <w:top w:val="single" w:sz="4" w:space="0" w:color="000000"/>
            </w:tcBorders>
          </w:tcPr>
          <w:p w14:paraId="00000127" w14:textId="77777777" w:rsidR="003B3384" w:rsidRDefault="00297AA7">
            <w:pPr>
              <w:jc w:val="right"/>
            </w:pPr>
            <w:r>
              <w:t>*</w:t>
            </w:r>
            <w:proofErr w:type="gramStart"/>
            <w:r>
              <w:t>fraction</w:t>
            </w:r>
            <w:proofErr w:type="gramEnd"/>
            <w:r>
              <w:t xml:space="preserve"> of gross CDR reduction</w:t>
            </w:r>
          </w:p>
        </w:tc>
      </w:tr>
    </w:tbl>
    <w:p w14:paraId="00000129" w14:textId="77777777" w:rsidR="003B3384" w:rsidRDefault="003B3384"/>
    <w:p w14:paraId="0000012A" w14:textId="1F376310" w:rsidR="003B3384" w:rsidRDefault="00297AA7">
      <w:r>
        <w:t xml:space="preserve">Various efforts are underway to rapidly advance sites to higher levels of maturity. The first is a conceptual modeling tool under development by Dalhousie </w:t>
      </w:r>
      <w:r w:rsidR="00F656C5">
        <w:t xml:space="preserve">University </w:t>
      </w:r>
      <w:r>
        <w:t>that directly calculates CDR</w:t>
      </w:r>
      <w:r>
        <w:rPr>
          <w:vertAlign w:val="subscript"/>
        </w:rPr>
        <w:t>eff</w:t>
      </w:r>
      <w:r>
        <w:t xml:space="preserve"> using relatively few parameters that can be estimated, or in ideal circumstances, directly measured. This is possible because some key equations require relatively few inputs compared to the operational maturity level criteria listed in the table above; air-sea CO</w:t>
      </w:r>
      <w:r>
        <w:rPr>
          <w:vertAlign w:val="subscript"/>
        </w:rPr>
        <w:t>2</w:t>
      </w:r>
      <w:r>
        <w:t xml:space="preserve"> fluxes are predominantly dependent on wind speed, while the strength of advective and/or diffusive vertical mixing is strongly tied to rates of vertical turbulent diffusivity (with wind speed also playing a role). At this time, a foundational version of this model has been built and run using conditions at our pilot sites. Further versions of this model will incorporate ocean data from test sites to build confidence and minimize assumptions. The second utilizes more complex numerical simulations. These are 2D or 3D models that simulate the physical environment and carbonate chemistry. Building such models is part of Planetary’s fundamental OAE approach. To date, the models built at pilot sites have been focused on shaping our understanding of the physical environment (e.g., dilution near the discharge point), and understanding the magnitude and physical extent of the chemical signals induced by effluent before and after alkalinity addition. In the coming months, these models will be tested and refined using actual onsite physical and chemical measurements. </w:t>
      </w:r>
      <w:sdt>
        <w:sdtPr>
          <w:tag w:val="goog_rdk_14"/>
          <w:id w:val="518670871"/>
        </w:sdtPr>
        <w:sdtContent/>
      </w:sdt>
    </w:p>
    <w:p w14:paraId="0000012B" w14:textId="64F2FDE8" w:rsidR="003B3384" w:rsidRDefault="00297AA7">
      <w:r>
        <w:t xml:space="preserve">An alternative approach to quantifying this holdback factor could include an uncertainty propagation exercise that </w:t>
      </w:r>
      <w:proofErr w:type="gramStart"/>
      <w:r>
        <w:t>takes into account</w:t>
      </w:r>
      <w:proofErr w:type="gramEnd"/>
      <w:r>
        <w:t xml:space="preserve"> the uncertainties for all relevant terms listed in Section 3. Such an exercise would build upon the detailed Planetary-specific uncertainty analysis conducted within the same Verification Confidence Level (VCL) Framework recently published by CarbonPlan (</w:t>
      </w:r>
      <w:hyperlink r:id="rId23" w:history="1">
        <w:r>
          <w:t>https://carbonplan.org/research/cdr-verification/</w:t>
        </w:r>
      </w:hyperlink>
      <w:r>
        <w:t>). CarbonPlan’s current framework addresses broad categories of CDR rather than specific industry processes, thus Planetary’s results, which have been discussed with the CarbonPlan team, will be made available on the Planetary website. Arriving at a quantifiable uncertainty specifically for the holdback, however, will require data generated from early field trials and upcoming modelling exercises, and will be explored for future versions of this MRV framework.</w:t>
      </w:r>
    </w:p>
    <w:p w14:paraId="00000138" w14:textId="77777777" w:rsidR="003B3384" w:rsidRDefault="003B3384"/>
    <w:p w14:paraId="00000139" w14:textId="77777777" w:rsidR="003B3384" w:rsidRDefault="003B3384"/>
    <w:p w14:paraId="0000013A" w14:textId="77777777" w:rsidR="003B3384" w:rsidRDefault="003B3384"/>
    <w:p w14:paraId="0000013B" w14:textId="77777777" w:rsidR="003B3384" w:rsidRDefault="003B3384">
      <w:pPr>
        <w:rPr>
          <w:sz w:val="32"/>
          <w:szCs w:val="32"/>
        </w:rPr>
      </w:pPr>
    </w:p>
    <w:sectPr w:rsidR="003B3384">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2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0B887" w14:textId="77777777" w:rsidR="007B03A2" w:rsidRDefault="007B03A2">
      <w:pPr>
        <w:spacing w:after="0"/>
      </w:pPr>
      <w:r>
        <w:separator/>
      </w:r>
    </w:p>
  </w:endnote>
  <w:endnote w:type="continuationSeparator" w:id="0">
    <w:p w14:paraId="311D2B67" w14:textId="77777777" w:rsidR="007B03A2" w:rsidRDefault="007B03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font1516">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rdo">
    <w:altName w:val="Calibri"/>
    <w:panose1 w:val="020B0604020202020204"/>
    <w:charset w:val="00"/>
    <w:family w:val="auto"/>
    <w:pitch w:val="default"/>
  </w:font>
  <w:font w:name="Source Sans Pro">
    <w:panose1 w:val="020B0503030403020204"/>
    <w:charset w:val="00"/>
    <w:family w:val="swiss"/>
    <w:pitch w:val="variable"/>
    <w:sig w:usb0="600002F7" w:usb1="02000001" w:usb2="00000000" w:usb3="00000000" w:csb0="0000019F" w:csb1="00000000"/>
  </w:font>
  <w:font w:name="DengXian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3F" w14:textId="77777777" w:rsidR="003B3384" w:rsidRDefault="003B3384">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D0ED" w14:textId="77777777" w:rsidR="00B51070" w:rsidRDefault="00B51070" w:rsidP="00B51070">
    <w:pPr>
      <w:jc w:val="right"/>
    </w:pPr>
    <w:r w:rsidRPr="00DA5E85">
      <w:rPr>
        <w:noProof/>
        <w:sz w:val="8"/>
        <w:szCs w:val="8"/>
      </w:rPr>
      <w:drawing>
        <wp:anchor distT="0" distB="0" distL="114300" distR="114300" simplePos="0" relativeHeight="251660288" behindDoc="0" locked="0" layoutInCell="1" allowOverlap="1" wp14:anchorId="38682A74" wp14:editId="0F316C86">
          <wp:simplePos x="0" y="0"/>
          <wp:positionH relativeFrom="column">
            <wp:posOffset>40688</wp:posOffset>
          </wp:positionH>
          <wp:positionV relativeFrom="paragraph">
            <wp:posOffset>12004</wp:posOffset>
          </wp:positionV>
          <wp:extent cx="435610" cy="154305"/>
          <wp:effectExtent l="0" t="0" r="0" b="0"/>
          <wp:wrapThrough wrapText="bothSides">
            <wp:wrapPolygon edited="0">
              <wp:start x="0" y="0"/>
              <wp:lineTo x="0" y="19556"/>
              <wp:lineTo x="20781" y="19556"/>
              <wp:lineTo x="20781" y="0"/>
              <wp:lineTo x="0" y="0"/>
            </wp:wrapPolygon>
          </wp:wrapThrough>
          <wp:docPr id="4" name="Picture 4"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5610" cy="154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141" w14:textId="3224986E" w:rsidR="003B3384" w:rsidRDefault="00B51070" w:rsidP="00B51070">
    <w:pPr>
      <w:tabs>
        <w:tab w:val="right" w:pos="8460"/>
      </w:tabs>
    </w:pPr>
    <w:r w:rsidRPr="00DA5E85">
      <w:rPr>
        <w:rFonts w:ascii="Source Sans Pro" w:hAnsi="Source Sans Pro"/>
        <w:color w:val="464646"/>
        <w:sz w:val="11"/>
        <w:szCs w:val="11"/>
        <w:shd w:val="clear" w:color="auto" w:fill="FFFFFF"/>
      </w:rPr>
      <w:t>This work is licensed under a </w:t>
    </w:r>
    <w:hyperlink r:id="rId2" w:history="1">
      <w:r w:rsidRPr="00DA5E85">
        <w:rPr>
          <w:rStyle w:val="Hyperlink"/>
          <w:rFonts w:ascii="Source Sans Pro" w:hAnsi="Source Sans Pro"/>
          <w:color w:val="049CCF"/>
          <w:sz w:val="11"/>
          <w:szCs w:val="11"/>
          <w:shd w:val="clear" w:color="auto" w:fill="FFFFFF"/>
        </w:rPr>
        <w:t>Creative Commons Attribution-NonCommercial-ShareAlike 4.0 International License</w:t>
      </w:r>
    </w:hyperlink>
    <w:r w:rsidRPr="00DA5E85">
      <w:rPr>
        <w:rFonts w:ascii="Source Sans Pro" w:hAnsi="Source Sans Pro"/>
        <w:color w:val="464646"/>
        <w:sz w:val="11"/>
        <w:szCs w:val="11"/>
        <w:shd w:val="clear" w:color="auto" w:fill="FFFFFF"/>
      </w:rPr>
      <w:t>.</w:t>
    </w:r>
    <w:r w:rsidRPr="00DA5E85">
      <w:rPr>
        <w:sz w:val="8"/>
        <w:szCs w:val="8"/>
      </w:rPr>
      <w:fldChar w:fldCharType="begin"/>
    </w:r>
    <w:r w:rsidRPr="00DA5E85">
      <w:rPr>
        <w:sz w:val="8"/>
        <w:szCs w:val="8"/>
      </w:rPr>
      <w:instrText xml:space="preserve"> INCLUDEPICTURE "https://i.creativecommons.org/l/by-nc-sa/4.0/88x31.png" \* MERGEFORMATINET </w:instrText>
    </w:r>
    <w:r>
      <w:rPr>
        <w:sz w:val="8"/>
        <w:szCs w:val="8"/>
      </w:rPr>
      <w:fldChar w:fldCharType="separate"/>
    </w:r>
    <w:r w:rsidRPr="00DA5E85">
      <w:rPr>
        <w:sz w:val="8"/>
        <w:szCs w:val="8"/>
      </w:rPr>
      <w:fldChar w:fldCharType="end"/>
    </w:r>
    <w:r w:rsidRPr="00DA5E85">
      <w:rPr>
        <w:sz w:val="8"/>
        <w:szCs w:val="8"/>
      </w:rPr>
      <w:t xml:space="preserve">  </w:t>
    </w:r>
    <w:r>
      <w:rPr>
        <w:sz w:val="8"/>
        <w:szCs w:val="8"/>
      </w:rPr>
      <w:tab/>
    </w:r>
    <w:r w:rsidR="00297AA7">
      <w:fldChar w:fldCharType="begin"/>
    </w:r>
    <w:r w:rsidR="00297AA7">
      <w:instrText>PAGE</w:instrText>
    </w:r>
    <w:r w:rsidR="00297AA7">
      <w:fldChar w:fldCharType="separate"/>
    </w:r>
    <w:r w:rsidR="00205BB1">
      <w:rPr>
        <w:noProof/>
      </w:rPr>
      <w:t>1</w:t>
    </w:r>
    <w:r w:rsidR="00297AA7">
      <w:fldChar w:fldCharType="end"/>
    </w:r>
  </w:p>
  <w:p w14:paraId="00000142" w14:textId="77777777" w:rsidR="003B3384" w:rsidRDefault="003B3384">
    <w:pPr>
      <w:pBdr>
        <w:top w:val="nil"/>
        <w:left w:val="nil"/>
        <w:bottom w:val="nil"/>
        <w:right w:val="nil"/>
        <w:between w:val="nil"/>
      </w:pBdr>
      <w:spacing w:after="0" w:line="276"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0" w14:textId="77777777" w:rsidR="003B3384" w:rsidRDefault="003B3384">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465BF" w14:textId="77777777" w:rsidR="007B03A2" w:rsidRDefault="007B03A2">
      <w:pPr>
        <w:spacing w:after="0"/>
      </w:pPr>
      <w:r>
        <w:separator/>
      </w:r>
    </w:p>
  </w:footnote>
  <w:footnote w:type="continuationSeparator" w:id="0">
    <w:p w14:paraId="0550425E" w14:textId="77777777" w:rsidR="007B03A2" w:rsidRDefault="007B03A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3D" w14:textId="77777777" w:rsidR="003B3384" w:rsidRDefault="003B3384">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3C" w14:textId="77777777" w:rsidR="003B3384" w:rsidRDefault="003B3384">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3E" w14:textId="77777777" w:rsidR="003B3384" w:rsidRDefault="003B338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695D"/>
    <w:multiLevelType w:val="multilevel"/>
    <w:tmpl w:val="BF802394"/>
    <w:lvl w:ilvl="0">
      <w:start w:val="1"/>
      <w:numFmt w:val="bullet"/>
      <w:lvlText w:val="●"/>
      <w:lvlJc w:val="left"/>
      <w:pPr>
        <w:ind w:left="360" w:hanging="360"/>
      </w:pPr>
      <w:rPr>
        <w:rFonts w:ascii="Noto Sans Symbols" w:eastAsia="Noto Sans Symbols" w:hAnsi="Noto Sans Symbols" w:cs="Noto Sans Symbols"/>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BB256DB"/>
    <w:multiLevelType w:val="multilevel"/>
    <w:tmpl w:val="BE4A91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9E687C"/>
    <w:multiLevelType w:val="multilevel"/>
    <w:tmpl w:val="464A0E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3D0539"/>
    <w:multiLevelType w:val="hybridMultilevel"/>
    <w:tmpl w:val="1AC660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C760A9"/>
    <w:multiLevelType w:val="multilevel"/>
    <w:tmpl w:val="0D5864B0"/>
    <w:lvl w:ilvl="0">
      <w:start w:val="1"/>
      <w:numFmt w:val="bullet"/>
      <w:lvlText w:val="●"/>
      <w:lvlJc w:val="left"/>
      <w:pPr>
        <w:ind w:left="360" w:hanging="360"/>
      </w:pPr>
      <w:rPr>
        <w:rFonts w:ascii="Noto Sans Symbols" w:eastAsia="Noto Sans Symbols" w:hAnsi="Noto Sans Symbols" w:cs="Noto Sans Symbols"/>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8C121EB"/>
    <w:multiLevelType w:val="multilevel"/>
    <w:tmpl w:val="E2264C56"/>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7EF017E"/>
    <w:multiLevelType w:val="multilevel"/>
    <w:tmpl w:val="A7B0B1FE"/>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7" w15:restartNumberingAfterBreak="0">
    <w:nsid w:val="51405B92"/>
    <w:multiLevelType w:val="multilevel"/>
    <w:tmpl w:val="4DC049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2B8141C"/>
    <w:multiLevelType w:val="hybridMultilevel"/>
    <w:tmpl w:val="478AF35A"/>
    <w:lvl w:ilvl="0" w:tplc="53AAFF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A10611"/>
    <w:multiLevelType w:val="multilevel"/>
    <w:tmpl w:val="464A0E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66337A"/>
    <w:multiLevelType w:val="hybridMultilevel"/>
    <w:tmpl w:val="2132C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4862EC"/>
    <w:multiLevelType w:val="multilevel"/>
    <w:tmpl w:val="711238FC"/>
    <w:lvl w:ilvl="0">
      <w:start w:val="1"/>
      <w:numFmt w:val="bullet"/>
      <w:lvlText w:val="●"/>
      <w:lvlJc w:val="left"/>
      <w:pPr>
        <w:ind w:left="360" w:hanging="360"/>
      </w:pPr>
      <w:rPr>
        <w:rFonts w:ascii="Noto Sans Symbols" w:eastAsia="Noto Sans Symbols" w:hAnsi="Noto Sans Symbols" w:cs="Noto Sans Symbols"/>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68944BBA"/>
    <w:multiLevelType w:val="multilevel"/>
    <w:tmpl w:val="E7A64EF6"/>
    <w:styleLink w:val="CurrentList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B207D1B"/>
    <w:multiLevelType w:val="multilevel"/>
    <w:tmpl w:val="8400626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B5608F8"/>
    <w:multiLevelType w:val="hybridMultilevel"/>
    <w:tmpl w:val="83DAD44A"/>
    <w:lvl w:ilvl="0" w:tplc="5AFAB3D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433D9D"/>
    <w:multiLevelType w:val="multilevel"/>
    <w:tmpl w:val="E2264C56"/>
    <w:styleLink w:val="CurrentList1"/>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DDD5BA8"/>
    <w:multiLevelType w:val="hybridMultilevel"/>
    <w:tmpl w:val="19986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1101068">
    <w:abstractNumId w:val="2"/>
  </w:num>
  <w:num w:numId="2" w16cid:durableId="928778207">
    <w:abstractNumId w:val="4"/>
  </w:num>
  <w:num w:numId="3" w16cid:durableId="1156190400">
    <w:abstractNumId w:val="0"/>
  </w:num>
  <w:num w:numId="4" w16cid:durableId="1661812700">
    <w:abstractNumId w:val="11"/>
  </w:num>
  <w:num w:numId="5" w16cid:durableId="1082874735">
    <w:abstractNumId w:val="5"/>
  </w:num>
  <w:num w:numId="6" w16cid:durableId="458761827">
    <w:abstractNumId w:val="13"/>
  </w:num>
  <w:num w:numId="7" w16cid:durableId="536358901">
    <w:abstractNumId w:val="7"/>
  </w:num>
  <w:num w:numId="8" w16cid:durableId="1160971428">
    <w:abstractNumId w:val="1"/>
  </w:num>
  <w:num w:numId="9" w16cid:durableId="1379167831">
    <w:abstractNumId w:val="6"/>
  </w:num>
  <w:num w:numId="10" w16cid:durableId="1478498756">
    <w:abstractNumId w:val="8"/>
  </w:num>
  <w:num w:numId="11" w16cid:durableId="323364584">
    <w:abstractNumId w:val="9"/>
  </w:num>
  <w:num w:numId="12" w16cid:durableId="50857787">
    <w:abstractNumId w:val="15"/>
  </w:num>
  <w:num w:numId="13" w16cid:durableId="1384595548">
    <w:abstractNumId w:val="10"/>
  </w:num>
  <w:num w:numId="14" w16cid:durableId="875510674">
    <w:abstractNumId w:val="16"/>
  </w:num>
  <w:num w:numId="15" w16cid:durableId="1433745361">
    <w:abstractNumId w:val="3"/>
  </w:num>
  <w:num w:numId="16" w16cid:durableId="1846936590">
    <w:abstractNumId w:val="12"/>
  </w:num>
  <w:num w:numId="17" w16cid:durableId="3409311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displayBackgroundShape/>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384"/>
    <w:rsid w:val="00017D1C"/>
    <w:rsid w:val="0003659F"/>
    <w:rsid w:val="00062774"/>
    <w:rsid w:val="000A5990"/>
    <w:rsid w:val="000B738A"/>
    <w:rsid w:val="0015006C"/>
    <w:rsid w:val="00184928"/>
    <w:rsid w:val="001A6D69"/>
    <w:rsid w:val="001E45F7"/>
    <w:rsid w:val="00205BB1"/>
    <w:rsid w:val="00212CC4"/>
    <w:rsid w:val="00227DE3"/>
    <w:rsid w:val="00297AA7"/>
    <w:rsid w:val="002A709D"/>
    <w:rsid w:val="002C1E68"/>
    <w:rsid w:val="002D4771"/>
    <w:rsid w:val="00300C90"/>
    <w:rsid w:val="00332092"/>
    <w:rsid w:val="003A7E5A"/>
    <w:rsid w:val="003B3384"/>
    <w:rsid w:val="003E2F6D"/>
    <w:rsid w:val="003F0BF7"/>
    <w:rsid w:val="003F45DB"/>
    <w:rsid w:val="00452398"/>
    <w:rsid w:val="004540FC"/>
    <w:rsid w:val="004C259E"/>
    <w:rsid w:val="004C4129"/>
    <w:rsid w:val="0055251E"/>
    <w:rsid w:val="005A582E"/>
    <w:rsid w:val="005E3598"/>
    <w:rsid w:val="00605721"/>
    <w:rsid w:val="006162EA"/>
    <w:rsid w:val="0069759F"/>
    <w:rsid w:val="006A6A32"/>
    <w:rsid w:val="007B03A2"/>
    <w:rsid w:val="00811191"/>
    <w:rsid w:val="0093013E"/>
    <w:rsid w:val="009A2969"/>
    <w:rsid w:val="00A252A2"/>
    <w:rsid w:val="00A72A87"/>
    <w:rsid w:val="00AB79FD"/>
    <w:rsid w:val="00AE4389"/>
    <w:rsid w:val="00B02314"/>
    <w:rsid w:val="00B327C6"/>
    <w:rsid w:val="00B51070"/>
    <w:rsid w:val="00B652F5"/>
    <w:rsid w:val="00BA142C"/>
    <w:rsid w:val="00BD73C7"/>
    <w:rsid w:val="00CB0B0C"/>
    <w:rsid w:val="00CF6C3A"/>
    <w:rsid w:val="00D22257"/>
    <w:rsid w:val="00D55217"/>
    <w:rsid w:val="00DB473C"/>
    <w:rsid w:val="00E10D23"/>
    <w:rsid w:val="00EA1451"/>
    <w:rsid w:val="00F500B5"/>
    <w:rsid w:val="00F63934"/>
    <w:rsid w:val="00F656C5"/>
    <w:rsid w:val="00F8542A"/>
    <w:rsid w:val="00FB2B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D5CA0"/>
  <w15:docId w15:val="{773AD58B-0018-0045-8746-0C29846CC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CA" w:eastAsia="en-US" w:bidi="ar-SA"/>
      </w:rPr>
    </w:rPrDefault>
    <w:pPrDefault>
      <w:pPr>
        <w:widowControl w:val="0"/>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numPr>
        <w:numId w:val="9"/>
      </w:numPr>
      <w:spacing w:before="480"/>
      <w:outlineLvl w:val="0"/>
    </w:pPr>
    <w:rPr>
      <w:b/>
      <w:sz w:val="28"/>
      <w:u w:val="single"/>
    </w:rPr>
  </w:style>
  <w:style w:type="paragraph" w:styleId="Heading2">
    <w:name w:val="heading 2"/>
    <w:basedOn w:val="Normal"/>
    <w:next w:val="Normal"/>
    <w:uiPriority w:val="9"/>
    <w:unhideWhenUsed/>
    <w:qFormat/>
    <w:rsid w:val="00A252A2"/>
    <w:pPr>
      <w:keepNext/>
      <w:keepLines/>
      <w:numPr>
        <w:numId w:val="17"/>
      </w:numPr>
      <w:spacing w:before="360" w:after="80"/>
      <w:ind w:left="360"/>
      <w:outlineLvl w:val="1"/>
    </w:pPr>
    <w:rPr>
      <w:b/>
      <w:sz w:val="28"/>
    </w:rPr>
  </w:style>
  <w:style w:type="paragraph" w:styleId="Heading3">
    <w:name w:val="heading 3"/>
    <w:basedOn w:val="Normal"/>
    <w:next w:val="Normal"/>
    <w:uiPriority w:val="9"/>
    <w:unhideWhenUsed/>
    <w:qFormat/>
    <w:rsid w:val="00FB2BEC"/>
    <w:pPr>
      <w:keepNext/>
      <w:keepLines/>
      <w:spacing w:before="120" w:after="80"/>
      <w:outlineLvl w:val="2"/>
    </w:pPr>
    <w:rPr>
      <w:b/>
      <w:sz w:val="28"/>
    </w:rPr>
  </w:style>
  <w:style w:type="paragraph" w:styleId="Heading4">
    <w:name w:val="heading 4"/>
    <w:basedOn w:val="Normal"/>
    <w:next w:val="Normal"/>
    <w:uiPriority w:val="9"/>
    <w:unhideWhenUsed/>
    <w:qFormat/>
    <w:rsid w:val="00DB473C"/>
    <w:pPr>
      <w:keepNext/>
      <w:keepLines/>
      <w:spacing w:before="240" w:after="40"/>
      <w:outlineLvl w:val="3"/>
    </w:pPr>
    <w:rPr>
      <w:b/>
      <w:sz w:val="28"/>
    </w:rPr>
  </w:style>
  <w:style w:type="paragraph" w:styleId="Heading5">
    <w:name w:val="heading 5"/>
    <w:basedOn w:val="Normal"/>
    <w:next w:val="Normal"/>
    <w:uiPriority w:val="9"/>
    <w:semiHidden/>
    <w:unhideWhenUsed/>
    <w:qFormat/>
    <w:pPr>
      <w:keepNext/>
      <w:keepLines/>
      <w:numPr>
        <w:ilvl w:val="4"/>
        <w:numId w:val="9"/>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9"/>
      </w:numPr>
      <w:spacing w:before="200" w:after="40"/>
      <w:outlineLvl w:val="5"/>
    </w:pPr>
    <w:rPr>
      <w:b/>
      <w:sz w:val="20"/>
    </w:rPr>
  </w:style>
  <w:style w:type="paragraph" w:styleId="Heading7">
    <w:name w:val="heading 7"/>
    <w:basedOn w:val="Normal"/>
    <w:next w:val="Normal"/>
    <w:qFormat/>
    <w:pPr>
      <w:keepNext/>
      <w:numPr>
        <w:ilvl w:val="6"/>
        <w:numId w:val="9"/>
      </w:numPr>
      <w:outlineLvl w:val="6"/>
    </w:pPr>
    <w:rPr>
      <w:b/>
    </w:rPr>
  </w:style>
  <w:style w:type="paragraph" w:styleId="Heading8">
    <w:name w:val="heading 8"/>
    <w:basedOn w:val="Normal"/>
    <w:next w:val="Normal"/>
    <w:qFormat/>
    <w:pPr>
      <w:numPr>
        <w:ilvl w:val="7"/>
        <w:numId w:val="9"/>
      </w:numPr>
      <w:spacing w:before="240" w:after="60"/>
      <w:outlineLvl w:val="7"/>
    </w:pPr>
    <w:rPr>
      <w:rFonts w:ascii="Arial" w:hAnsi="Arial"/>
      <w:i/>
      <w:sz w:val="20"/>
    </w:rPr>
  </w:style>
  <w:style w:type="paragraph" w:styleId="Heading9">
    <w:name w:val="heading 9"/>
    <w:basedOn w:val="Normal"/>
    <w:next w:val="Normal"/>
    <w:qFormat/>
    <w:pPr>
      <w:numPr>
        <w:ilvl w:val="8"/>
        <w:numId w:val="9"/>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character" w:styleId="Hyperlink">
    <w:name w:val="Hyperlink"/>
    <w:uiPriority w:val="99"/>
    <w:rPr>
      <w:color w:val="0000FF"/>
      <w:u w:val="single"/>
    </w:rPr>
  </w:style>
  <w:style w:type="character" w:customStyle="1" w:styleId="CommentReference1">
    <w:name w:val="Comment Reference1"/>
    <w:rPr>
      <w:sz w:val="16"/>
      <w:szCs w:val="16"/>
    </w:rPr>
  </w:style>
  <w:style w:type="character" w:customStyle="1" w:styleId="CommentTextChar">
    <w:name w:val="Comment Text Char"/>
    <w:rPr>
      <w:sz w:val="20"/>
      <w:szCs w:val="20"/>
    </w:rPr>
  </w:style>
  <w:style w:type="character" w:customStyle="1" w:styleId="CommentSubjectChar">
    <w:name w:val="Comment Subject Char"/>
    <w:rPr>
      <w:b/>
      <w:bCs/>
      <w:sz w:val="20"/>
      <w:szCs w:val="20"/>
    </w:rPr>
  </w:style>
  <w:style w:type="character" w:styleId="UnresolvedMention">
    <w:name w:val="Unresolved Mention"/>
    <w:rPr>
      <w:color w:val="605E5C"/>
      <w:shd w:val="clear" w:color="auto" w:fill="E1DFDD"/>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9">
    <w:name w:val="ListLabel 19"/>
    <w:rPr>
      <w:u w:val="none"/>
    </w:rPr>
  </w:style>
  <w:style w:type="character" w:customStyle="1" w:styleId="ListLabel20">
    <w:name w:val="ListLabel 20"/>
    <w:rPr>
      <w:u w:val="none"/>
    </w:rPr>
  </w:style>
  <w:style w:type="character" w:customStyle="1" w:styleId="ListLabel21">
    <w:name w:val="ListLabel 21"/>
    <w:rPr>
      <w:u w:val="none"/>
    </w:rPr>
  </w:style>
  <w:style w:type="character" w:customStyle="1" w:styleId="ListLabel22">
    <w:name w:val="ListLabel 22"/>
    <w:rPr>
      <w:u w:val="none"/>
    </w:rPr>
  </w:style>
  <w:style w:type="character" w:customStyle="1" w:styleId="ListLabel23">
    <w:name w:val="ListLabel 23"/>
    <w:rPr>
      <w:u w:val="none"/>
    </w:rPr>
  </w:style>
  <w:style w:type="character" w:customStyle="1" w:styleId="ListLabel24">
    <w:name w:val="ListLabel 24"/>
    <w:rPr>
      <w:u w:val="none"/>
    </w:rPr>
  </w:style>
  <w:style w:type="character" w:customStyle="1" w:styleId="ListLabel25">
    <w:name w:val="ListLabel 25"/>
    <w:rPr>
      <w:u w:val="none"/>
    </w:rPr>
  </w:style>
  <w:style w:type="character" w:customStyle="1" w:styleId="ListLabel26">
    <w:name w:val="ListLabel 26"/>
    <w:rPr>
      <w:u w:val="none"/>
    </w:rPr>
  </w:style>
  <w:style w:type="character" w:customStyle="1" w:styleId="ListLabel27">
    <w:name w:val="ListLabel 27"/>
    <w:rPr>
      <w:u w:val="none"/>
    </w:rPr>
  </w:style>
  <w:style w:type="character" w:customStyle="1" w:styleId="ListLabel28">
    <w:name w:val="ListLabel 28"/>
    <w:rPr>
      <w:rFonts w:eastAsia="Noto Sans Symbols" w:cs="Courier New"/>
    </w:rPr>
  </w:style>
  <w:style w:type="character" w:customStyle="1" w:styleId="ListLabel29">
    <w:name w:val="ListLabel 29"/>
    <w:rPr>
      <w:rFonts w:eastAsia="Courier New" w:cs="Courier New"/>
    </w:rPr>
  </w:style>
  <w:style w:type="character" w:customStyle="1" w:styleId="ListLabel30">
    <w:name w:val="ListLabel 30"/>
    <w:rPr>
      <w:rFonts w:eastAsia="Noto Sans Symbols" w:cs="Courier New"/>
    </w:rPr>
  </w:style>
  <w:style w:type="character" w:customStyle="1" w:styleId="ListLabel31">
    <w:name w:val="ListLabel 31"/>
    <w:rPr>
      <w:rFonts w:eastAsia="Noto Sans Symbols" w:cs="Courier New"/>
    </w:rPr>
  </w:style>
  <w:style w:type="character" w:customStyle="1" w:styleId="ListLabel32">
    <w:name w:val="ListLabel 32"/>
    <w:rPr>
      <w:rFonts w:eastAsia="Courier New" w:cs="Courier New"/>
    </w:rPr>
  </w:style>
  <w:style w:type="character" w:customStyle="1" w:styleId="ListLabel33">
    <w:name w:val="ListLabel 33"/>
    <w:rPr>
      <w:rFonts w:eastAsia="Noto Sans Symbols" w:cs="Courier New"/>
    </w:rPr>
  </w:style>
  <w:style w:type="character" w:customStyle="1" w:styleId="ListLabel34">
    <w:name w:val="ListLabel 34"/>
    <w:rPr>
      <w:rFonts w:eastAsia="Noto Sans Symbols" w:cs="Courier New"/>
    </w:rPr>
  </w:style>
  <w:style w:type="character" w:customStyle="1" w:styleId="ListLabel35">
    <w:name w:val="ListLabel 35"/>
    <w:rPr>
      <w:rFonts w:eastAsia="Courier New" w:cs="Courier New"/>
    </w:rPr>
  </w:style>
  <w:style w:type="character" w:customStyle="1" w:styleId="ListLabel36">
    <w:name w:val="ListLabel 36"/>
    <w:rPr>
      <w:rFonts w:eastAsia="Noto Sans Symbols" w:cs="Courier New"/>
    </w:rPr>
  </w:style>
  <w:style w:type="character" w:customStyle="1" w:styleId="ListLabel37">
    <w:name w:val="ListLabel 37"/>
    <w:rPr>
      <w:rFonts w:eastAsia="Noto Sans Symbols" w:cs="Courier New"/>
    </w:rPr>
  </w:style>
  <w:style w:type="character" w:customStyle="1" w:styleId="ListLabel38">
    <w:name w:val="ListLabel 38"/>
    <w:rPr>
      <w:rFonts w:eastAsia="Courier New" w:cs="Courier New"/>
    </w:rPr>
  </w:style>
  <w:style w:type="character" w:customStyle="1" w:styleId="ListLabel39">
    <w:name w:val="ListLabel 39"/>
    <w:rPr>
      <w:rFonts w:eastAsia="Noto Sans Symbols" w:cs="Courier New"/>
    </w:rPr>
  </w:style>
  <w:style w:type="character" w:customStyle="1" w:styleId="ListLabel40">
    <w:name w:val="ListLabel 40"/>
    <w:rPr>
      <w:rFonts w:eastAsia="Noto Sans Symbols" w:cs="Courier New"/>
    </w:rPr>
  </w:style>
  <w:style w:type="character" w:customStyle="1" w:styleId="ListLabel41">
    <w:name w:val="ListLabel 41"/>
    <w:rPr>
      <w:rFonts w:eastAsia="Courier New" w:cs="Courier New"/>
    </w:rPr>
  </w:style>
  <w:style w:type="character" w:customStyle="1" w:styleId="ListLabel42">
    <w:name w:val="ListLabel 42"/>
    <w:rPr>
      <w:rFonts w:eastAsia="Noto Sans Symbols" w:cs="Courier New"/>
    </w:rPr>
  </w:style>
  <w:style w:type="character" w:customStyle="1" w:styleId="ListLabel43">
    <w:name w:val="ListLabel 43"/>
    <w:rPr>
      <w:rFonts w:eastAsia="Noto Sans Symbols" w:cs="Courier New"/>
    </w:rPr>
  </w:style>
  <w:style w:type="character" w:customStyle="1" w:styleId="ListLabel44">
    <w:name w:val="ListLabel 44"/>
    <w:rPr>
      <w:rFonts w:eastAsia="Courier New" w:cs="Courier New"/>
    </w:rPr>
  </w:style>
  <w:style w:type="character" w:customStyle="1" w:styleId="ListLabel45">
    <w:name w:val="ListLabel 45"/>
    <w:rPr>
      <w:rFonts w:eastAsia="Noto Sans Symbols" w:cs="Courier New"/>
    </w:rPr>
  </w:style>
  <w:style w:type="character" w:customStyle="1" w:styleId="ListLabel46">
    <w:name w:val="ListLabel 46"/>
    <w:rPr>
      <w:u w:val="none"/>
    </w:rPr>
  </w:style>
  <w:style w:type="character" w:customStyle="1" w:styleId="ListLabel47">
    <w:name w:val="ListLabel 47"/>
    <w:rPr>
      <w:u w:val="none"/>
    </w:rPr>
  </w:style>
  <w:style w:type="character" w:customStyle="1" w:styleId="ListLabel48">
    <w:name w:val="ListLabel 48"/>
    <w:rPr>
      <w:u w:val="none"/>
    </w:rPr>
  </w:style>
  <w:style w:type="character" w:customStyle="1" w:styleId="ListLabel49">
    <w:name w:val="ListLabel 49"/>
    <w:rPr>
      <w:u w:val="none"/>
    </w:rPr>
  </w:style>
  <w:style w:type="character" w:customStyle="1" w:styleId="ListLabel50">
    <w:name w:val="ListLabel 50"/>
    <w:rPr>
      <w:u w:val="none"/>
    </w:rPr>
  </w:style>
  <w:style w:type="character" w:customStyle="1" w:styleId="ListLabel51">
    <w:name w:val="ListLabel 51"/>
    <w:rPr>
      <w:u w:val="none"/>
    </w:rPr>
  </w:style>
  <w:style w:type="character" w:customStyle="1" w:styleId="ListLabel52">
    <w:name w:val="ListLabel 52"/>
    <w:rPr>
      <w:u w:val="none"/>
    </w:rPr>
  </w:style>
  <w:style w:type="character" w:customStyle="1" w:styleId="ListLabel53">
    <w:name w:val="ListLabel 53"/>
    <w:rPr>
      <w:u w:val="none"/>
    </w:rPr>
  </w:style>
  <w:style w:type="character" w:customStyle="1" w:styleId="ListLabel54">
    <w:name w:val="ListLabel 54"/>
    <w:rPr>
      <w:u w:val="none"/>
    </w:rPr>
  </w:style>
  <w:style w:type="character" w:customStyle="1" w:styleId="ListLabel55">
    <w:name w:val="ListLabel 55"/>
    <w:rPr>
      <w:u w:val="none"/>
    </w:rPr>
  </w:style>
  <w:style w:type="character" w:customStyle="1" w:styleId="ListLabel56">
    <w:name w:val="ListLabel 56"/>
    <w:rPr>
      <w:u w:val="none"/>
    </w:rPr>
  </w:style>
  <w:style w:type="character" w:customStyle="1" w:styleId="ListLabel57">
    <w:name w:val="ListLabel 57"/>
    <w:rPr>
      <w:u w:val="none"/>
    </w:rPr>
  </w:style>
  <w:style w:type="character" w:customStyle="1" w:styleId="ListLabel58">
    <w:name w:val="ListLabel 58"/>
    <w:rPr>
      <w:u w:val="none"/>
    </w:rPr>
  </w:style>
  <w:style w:type="character" w:customStyle="1" w:styleId="ListLabel59">
    <w:name w:val="ListLabel 59"/>
    <w:rPr>
      <w:u w:val="none"/>
    </w:rPr>
  </w:style>
  <w:style w:type="character" w:customStyle="1" w:styleId="ListLabel60">
    <w:name w:val="ListLabel 60"/>
    <w:rPr>
      <w:u w:val="none"/>
    </w:rPr>
  </w:style>
  <w:style w:type="character" w:customStyle="1" w:styleId="ListLabel61">
    <w:name w:val="ListLabel 61"/>
    <w:rPr>
      <w:u w:val="none"/>
    </w:rPr>
  </w:style>
  <w:style w:type="character" w:customStyle="1" w:styleId="ListLabel62">
    <w:name w:val="ListLabel 62"/>
    <w:rPr>
      <w:u w:val="none"/>
    </w:rPr>
  </w:style>
  <w:style w:type="character" w:customStyle="1" w:styleId="ListLabel63">
    <w:name w:val="ListLabel 63"/>
    <w:rPr>
      <w:u w:val="none"/>
    </w:rPr>
  </w:style>
  <w:style w:type="character" w:customStyle="1" w:styleId="ListLabel64">
    <w:name w:val="ListLabel 64"/>
    <w:rPr>
      <w:u w:val="none"/>
    </w:rPr>
  </w:style>
  <w:style w:type="character" w:customStyle="1" w:styleId="ListLabel65">
    <w:name w:val="ListLabel 65"/>
    <w:rPr>
      <w:u w:val="none"/>
    </w:rPr>
  </w:style>
  <w:style w:type="character" w:customStyle="1" w:styleId="ListLabel66">
    <w:name w:val="ListLabel 66"/>
    <w:rPr>
      <w:u w:val="none"/>
    </w:rPr>
  </w:style>
  <w:style w:type="character" w:customStyle="1" w:styleId="ListLabel67">
    <w:name w:val="ListLabel 67"/>
    <w:rPr>
      <w:u w:val="none"/>
    </w:rPr>
  </w:style>
  <w:style w:type="character" w:customStyle="1" w:styleId="ListLabel68">
    <w:name w:val="ListLabel 68"/>
    <w:rPr>
      <w:u w:val="none"/>
    </w:rPr>
  </w:style>
  <w:style w:type="character" w:customStyle="1" w:styleId="ListLabel69">
    <w:name w:val="ListLabel 69"/>
    <w:rPr>
      <w:u w:val="none"/>
    </w:rPr>
  </w:style>
  <w:style w:type="character" w:customStyle="1" w:styleId="ListLabel70">
    <w:name w:val="ListLabel 70"/>
    <w:rPr>
      <w:u w:val="none"/>
    </w:rPr>
  </w:style>
  <w:style w:type="character" w:customStyle="1" w:styleId="ListLabel71">
    <w:name w:val="ListLabel 71"/>
    <w:rPr>
      <w:u w:val="none"/>
    </w:rPr>
  </w:style>
  <w:style w:type="character" w:customStyle="1" w:styleId="ListLabel72">
    <w:name w:val="ListLabel 72"/>
    <w:rPr>
      <w:u w:val="none"/>
    </w:rPr>
  </w:style>
  <w:style w:type="character" w:customStyle="1" w:styleId="ListLabel73">
    <w:name w:val="ListLabel 73"/>
    <w:rPr>
      <w:u w:val="none"/>
    </w:rPr>
  </w:style>
  <w:style w:type="character" w:customStyle="1" w:styleId="ListLabel74">
    <w:name w:val="ListLabel 74"/>
    <w:rPr>
      <w:u w:val="none"/>
    </w:rPr>
  </w:style>
  <w:style w:type="character" w:customStyle="1" w:styleId="ListLabel75">
    <w:name w:val="ListLabel 75"/>
    <w:rPr>
      <w:u w:val="none"/>
    </w:rPr>
  </w:style>
  <w:style w:type="character" w:customStyle="1" w:styleId="ListLabel76">
    <w:name w:val="ListLabel 76"/>
    <w:rPr>
      <w:u w:val="none"/>
    </w:rPr>
  </w:style>
  <w:style w:type="character" w:customStyle="1" w:styleId="ListLabel77">
    <w:name w:val="ListLabel 77"/>
    <w:rPr>
      <w:u w:val="none"/>
    </w:rPr>
  </w:style>
  <w:style w:type="character" w:customStyle="1" w:styleId="ListLabel78">
    <w:name w:val="ListLabel 78"/>
    <w:rPr>
      <w:u w:val="none"/>
    </w:rPr>
  </w:style>
  <w:style w:type="character" w:customStyle="1" w:styleId="ListLabel79">
    <w:name w:val="ListLabel 79"/>
    <w:rPr>
      <w:u w:val="none"/>
    </w:rPr>
  </w:style>
  <w:style w:type="character" w:customStyle="1" w:styleId="ListLabel80">
    <w:name w:val="ListLabel 80"/>
    <w:rPr>
      <w:u w:val="none"/>
    </w:rPr>
  </w:style>
  <w:style w:type="character" w:customStyle="1" w:styleId="ListLabel81">
    <w:name w:val="ListLabel 81"/>
    <w:rPr>
      <w:u w:val="none"/>
    </w:rPr>
  </w:style>
  <w:style w:type="character" w:customStyle="1" w:styleId="ListLabel82">
    <w:name w:val="ListLabel 82"/>
    <w:rPr>
      <w:u w:val="none"/>
    </w:rPr>
  </w:style>
  <w:style w:type="character" w:customStyle="1" w:styleId="ListLabel83">
    <w:name w:val="ListLabel 83"/>
    <w:rPr>
      <w:u w:val="none"/>
    </w:rPr>
  </w:style>
  <w:style w:type="character" w:customStyle="1" w:styleId="ListLabel84">
    <w:name w:val="ListLabel 84"/>
    <w:rPr>
      <w:u w:val="none"/>
    </w:rPr>
  </w:style>
  <w:style w:type="character" w:customStyle="1" w:styleId="ListLabel85">
    <w:name w:val="ListLabel 85"/>
    <w:rPr>
      <w:u w:val="none"/>
    </w:rPr>
  </w:style>
  <w:style w:type="character" w:customStyle="1" w:styleId="ListLabel86">
    <w:name w:val="ListLabel 86"/>
    <w:rPr>
      <w:u w:val="none"/>
    </w:rPr>
  </w:style>
  <w:style w:type="character" w:customStyle="1" w:styleId="ListLabel87">
    <w:name w:val="ListLabel 87"/>
    <w:rPr>
      <w:u w:val="none"/>
    </w:rPr>
  </w:style>
  <w:style w:type="character" w:customStyle="1" w:styleId="ListLabel88">
    <w:name w:val="ListLabel 88"/>
    <w:rPr>
      <w:u w:val="none"/>
    </w:rPr>
  </w:style>
  <w:style w:type="character" w:customStyle="1" w:styleId="ListLabel89">
    <w:name w:val="ListLabel 89"/>
    <w:rPr>
      <w:u w:val="none"/>
    </w:rPr>
  </w:style>
  <w:style w:type="character" w:customStyle="1" w:styleId="ListLabel90">
    <w:name w:val="ListLabel 90"/>
    <w:rPr>
      <w:u w:val="none"/>
    </w:rPr>
  </w:style>
  <w:style w:type="character" w:customStyle="1" w:styleId="ListLabel91">
    <w:name w:val="ListLabel 91"/>
    <w:rPr>
      <w:u w:val="none"/>
    </w:rPr>
  </w:style>
  <w:style w:type="character" w:customStyle="1" w:styleId="ListLabel92">
    <w:name w:val="ListLabel 92"/>
    <w:rPr>
      <w:u w:val="none"/>
    </w:rPr>
  </w:style>
  <w:style w:type="character" w:customStyle="1" w:styleId="ListLabel93">
    <w:name w:val="ListLabel 93"/>
    <w:rPr>
      <w:u w:val="none"/>
    </w:rPr>
  </w:style>
  <w:style w:type="character" w:customStyle="1" w:styleId="ListLabel94">
    <w:name w:val="ListLabel 94"/>
    <w:rPr>
      <w:u w:val="none"/>
    </w:rPr>
  </w:style>
  <w:style w:type="character" w:customStyle="1" w:styleId="ListLabel95">
    <w:name w:val="ListLabel 95"/>
    <w:rPr>
      <w:u w:val="none"/>
    </w:rPr>
  </w:style>
  <w:style w:type="character" w:customStyle="1" w:styleId="ListLabel96">
    <w:name w:val="ListLabel 96"/>
    <w:rPr>
      <w:u w:val="none"/>
    </w:rPr>
  </w:style>
  <w:style w:type="character" w:customStyle="1" w:styleId="ListLabel97">
    <w:name w:val="ListLabel 97"/>
    <w:rPr>
      <w:u w:val="none"/>
    </w:rPr>
  </w:style>
  <w:style w:type="character" w:customStyle="1" w:styleId="ListLabel98">
    <w:name w:val="ListLabel 98"/>
    <w:rPr>
      <w:u w:val="none"/>
    </w:rPr>
  </w:style>
  <w:style w:type="character" w:customStyle="1" w:styleId="ListLabel99">
    <w:name w:val="ListLabel 99"/>
    <w:rPr>
      <w:u w:val="none"/>
    </w:rPr>
  </w:style>
  <w:style w:type="character" w:customStyle="1" w:styleId="ListLabel100">
    <w:name w:val="ListLabel 100"/>
    <w:rPr>
      <w:u w:val="none"/>
    </w:rPr>
  </w:style>
  <w:style w:type="character" w:customStyle="1" w:styleId="ListLabel101">
    <w:name w:val="ListLabel 101"/>
    <w:rPr>
      <w:u w:val="none"/>
    </w:rPr>
  </w:style>
  <w:style w:type="character" w:customStyle="1" w:styleId="ListLabel102">
    <w:name w:val="ListLabel 102"/>
    <w:rPr>
      <w:u w:val="none"/>
    </w:rPr>
  </w:style>
  <w:style w:type="character" w:customStyle="1" w:styleId="ListLabel103">
    <w:name w:val="ListLabel 103"/>
    <w:rPr>
      <w:u w:val="none"/>
    </w:rPr>
  </w:style>
  <w:style w:type="character" w:customStyle="1" w:styleId="ListLabel104">
    <w:name w:val="ListLabel 104"/>
    <w:rPr>
      <w:u w:val="none"/>
    </w:rPr>
  </w:style>
  <w:style w:type="character" w:customStyle="1" w:styleId="ListLabel105">
    <w:name w:val="ListLabel 105"/>
    <w:rPr>
      <w:u w:val="none"/>
    </w:rPr>
  </w:style>
  <w:style w:type="character" w:customStyle="1" w:styleId="ListLabel106">
    <w:name w:val="ListLabel 106"/>
    <w:rPr>
      <w:u w:val="none"/>
    </w:rPr>
  </w:style>
  <w:style w:type="character" w:customStyle="1" w:styleId="ListLabel107">
    <w:name w:val="ListLabel 107"/>
    <w:rPr>
      <w:u w:val="none"/>
    </w:rPr>
  </w:style>
  <w:style w:type="character" w:customStyle="1" w:styleId="ListLabel108">
    <w:name w:val="ListLabel 108"/>
    <w:rPr>
      <w:u w:val="none"/>
    </w:rPr>
  </w:style>
  <w:style w:type="character" w:customStyle="1" w:styleId="ListLabel109">
    <w:name w:val="ListLabel 109"/>
    <w:rPr>
      <w:u w:val="none"/>
    </w:rPr>
  </w:style>
  <w:style w:type="character" w:customStyle="1" w:styleId="ListLabel110">
    <w:name w:val="ListLabel 110"/>
    <w:rPr>
      <w:u w:val="none"/>
    </w:rPr>
  </w:style>
  <w:style w:type="character" w:customStyle="1" w:styleId="ListLabel111">
    <w:name w:val="ListLabel 111"/>
    <w:rPr>
      <w:u w:val="none"/>
    </w:rPr>
  </w:style>
  <w:style w:type="character" w:customStyle="1" w:styleId="ListLabel112">
    <w:name w:val="ListLabel 112"/>
    <w:rPr>
      <w:u w:val="none"/>
    </w:rPr>
  </w:style>
  <w:style w:type="character" w:customStyle="1" w:styleId="ListLabel113">
    <w:name w:val="ListLabel 113"/>
    <w:rPr>
      <w:u w:val="none"/>
    </w:rPr>
  </w:style>
  <w:style w:type="character" w:customStyle="1" w:styleId="ListLabel114">
    <w:name w:val="ListLabel 114"/>
    <w:rPr>
      <w:u w:val="none"/>
    </w:rPr>
  </w:style>
  <w:style w:type="character" w:customStyle="1" w:styleId="ListLabel115">
    <w:name w:val="ListLabel 115"/>
    <w:rPr>
      <w:u w:val="none"/>
    </w:rPr>
  </w:style>
  <w:style w:type="character" w:customStyle="1" w:styleId="ListLabel116">
    <w:name w:val="ListLabel 116"/>
    <w:rPr>
      <w:u w:val="none"/>
    </w:rPr>
  </w:style>
  <w:style w:type="character" w:customStyle="1" w:styleId="ListLabel117">
    <w:name w:val="ListLabel 117"/>
    <w:rPr>
      <w:u w:val="none"/>
    </w:rPr>
  </w:style>
  <w:style w:type="character" w:customStyle="1" w:styleId="ListLabel118">
    <w:name w:val="ListLabel 118"/>
    <w:rPr>
      <w:u w:val="none"/>
    </w:rPr>
  </w:style>
  <w:style w:type="character" w:customStyle="1" w:styleId="ListLabel119">
    <w:name w:val="ListLabel 119"/>
    <w:rPr>
      <w:u w:val="none"/>
    </w:rPr>
  </w:style>
  <w:style w:type="character" w:customStyle="1" w:styleId="ListLabel120">
    <w:name w:val="ListLabel 120"/>
    <w:rPr>
      <w:u w:val="none"/>
    </w:rPr>
  </w:style>
  <w:style w:type="character" w:customStyle="1" w:styleId="ListLabel121">
    <w:name w:val="ListLabel 121"/>
    <w:rPr>
      <w:u w:val="none"/>
    </w:rPr>
  </w:style>
  <w:style w:type="character" w:customStyle="1" w:styleId="ListLabel122">
    <w:name w:val="ListLabel 122"/>
    <w:rPr>
      <w:u w:val="none"/>
    </w:rPr>
  </w:style>
  <w:style w:type="character" w:customStyle="1" w:styleId="ListLabel123">
    <w:name w:val="ListLabel 123"/>
    <w:rPr>
      <w:u w:val="none"/>
    </w:rPr>
  </w:style>
  <w:style w:type="character" w:customStyle="1" w:styleId="ListLabel124">
    <w:name w:val="ListLabel 124"/>
    <w:rPr>
      <w:u w:val="none"/>
    </w:rPr>
  </w:style>
  <w:style w:type="character" w:customStyle="1" w:styleId="ListLabel125">
    <w:name w:val="ListLabel 125"/>
    <w:rPr>
      <w:u w:val="none"/>
    </w:rPr>
  </w:style>
  <w:style w:type="character" w:customStyle="1" w:styleId="ListLabel126">
    <w:name w:val="ListLabel 126"/>
    <w:rPr>
      <w:u w:val="none"/>
    </w:rPr>
  </w:style>
  <w:style w:type="character" w:customStyle="1" w:styleId="ListLabel127">
    <w:name w:val="ListLabel 127"/>
    <w:rPr>
      <w:u w:val="none"/>
    </w:rPr>
  </w:style>
  <w:style w:type="character" w:customStyle="1" w:styleId="ListLabel128">
    <w:name w:val="ListLabel 128"/>
    <w:rPr>
      <w:u w:val="none"/>
    </w:rPr>
  </w:style>
  <w:style w:type="character" w:customStyle="1" w:styleId="ListLabel129">
    <w:name w:val="ListLabel 129"/>
    <w:rPr>
      <w:u w:val="none"/>
    </w:rPr>
  </w:style>
  <w:style w:type="character" w:customStyle="1" w:styleId="ListLabel130">
    <w:name w:val="ListLabel 130"/>
    <w:rPr>
      <w:u w:val="none"/>
    </w:rPr>
  </w:style>
  <w:style w:type="character" w:customStyle="1" w:styleId="ListLabel131">
    <w:name w:val="ListLabel 131"/>
    <w:rPr>
      <w:u w:val="none"/>
    </w:rPr>
  </w:style>
  <w:style w:type="character" w:customStyle="1" w:styleId="ListLabel132">
    <w:name w:val="ListLabel 132"/>
    <w:rPr>
      <w:u w:val="none"/>
    </w:rPr>
  </w:style>
  <w:style w:type="character" w:customStyle="1" w:styleId="ListLabel133">
    <w:name w:val="ListLabel 133"/>
    <w:rPr>
      <w:u w:val="none"/>
    </w:rPr>
  </w:style>
  <w:style w:type="character" w:customStyle="1" w:styleId="ListLabel134">
    <w:name w:val="ListLabel 134"/>
    <w:rPr>
      <w:u w:val="none"/>
    </w:rPr>
  </w:style>
  <w:style w:type="character" w:customStyle="1" w:styleId="ListLabel135">
    <w:name w:val="ListLabel 135"/>
    <w:rPr>
      <w:u w:val="none"/>
    </w:rPr>
  </w:style>
  <w:style w:type="character" w:customStyle="1" w:styleId="ListLabel136">
    <w:name w:val="ListLabel 136"/>
    <w:rPr>
      <w:u w:val="none"/>
    </w:rPr>
  </w:style>
  <w:style w:type="character" w:customStyle="1" w:styleId="ListLabel137">
    <w:name w:val="ListLabel 137"/>
    <w:rPr>
      <w:u w:val="none"/>
    </w:rPr>
  </w:style>
  <w:style w:type="character" w:customStyle="1" w:styleId="ListLabel138">
    <w:name w:val="ListLabel 138"/>
    <w:rPr>
      <w:u w:val="none"/>
    </w:rPr>
  </w:style>
  <w:style w:type="character" w:customStyle="1" w:styleId="ListLabel139">
    <w:name w:val="ListLabel 139"/>
    <w:rPr>
      <w:u w:val="none"/>
    </w:rPr>
  </w:style>
  <w:style w:type="character" w:customStyle="1" w:styleId="ListLabel140">
    <w:name w:val="ListLabel 140"/>
    <w:rPr>
      <w:u w:val="none"/>
    </w:rPr>
  </w:style>
  <w:style w:type="character" w:customStyle="1" w:styleId="ListLabel141">
    <w:name w:val="ListLabel 141"/>
    <w:rPr>
      <w:u w:val="none"/>
    </w:rPr>
  </w:style>
  <w:style w:type="character" w:customStyle="1" w:styleId="ListLabel142">
    <w:name w:val="ListLabel 142"/>
    <w:rPr>
      <w:u w:val="none"/>
    </w:rPr>
  </w:style>
  <w:style w:type="character" w:customStyle="1" w:styleId="ListLabel143">
    <w:name w:val="ListLabel 143"/>
    <w:rPr>
      <w:u w:val="none"/>
    </w:rPr>
  </w:style>
  <w:style w:type="character" w:customStyle="1" w:styleId="ListLabel144">
    <w:name w:val="ListLabel 144"/>
    <w:rPr>
      <w:u w:val="none"/>
    </w:rPr>
  </w:style>
  <w:style w:type="character" w:customStyle="1" w:styleId="ListLabel145">
    <w:name w:val="ListLabel 145"/>
    <w:rPr>
      <w:u w:val="none"/>
    </w:rPr>
  </w:style>
  <w:style w:type="character" w:customStyle="1" w:styleId="ListLabel146">
    <w:name w:val="ListLabel 146"/>
    <w:rPr>
      <w:u w:val="none"/>
    </w:rPr>
  </w:style>
  <w:style w:type="character" w:customStyle="1" w:styleId="ListLabel147">
    <w:name w:val="ListLabel 147"/>
    <w:rPr>
      <w:u w:val="none"/>
    </w:rPr>
  </w:style>
  <w:style w:type="character" w:customStyle="1" w:styleId="ListLabel148">
    <w:name w:val="ListLabel 148"/>
    <w:rPr>
      <w:u w:val="none"/>
    </w:rPr>
  </w:style>
  <w:style w:type="character" w:customStyle="1" w:styleId="ListLabel149">
    <w:name w:val="ListLabel 149"/>
    <w:rPr>
      <w:u w:val="none"/>
    </w:rPr>
  </w:style>
  <w:style w:type="character" w:customStyle="1" w:styleId="ListLabel150">
    <w:name w:val="ListLabel 150"/>
    <w:rPr>
      <w:u w:val="none"/>
    </w:rPr>
  </w:style>
  <w:style w:type="character" w:customStyle="1" w:styleId="ListLabel151">
    <w:name w:val="ListLabel 151"/>
    <w:rPr>
      <w:u w:val="none"/>
    </w:rPr>
  </w:style>
  <w:style w:type="character" w:customStyle="1" w:styleId="ListLabel152">
    <w:name w:val="ListLabel 152"/>
    <w:rPr>
      <w:u w:val="none"/>
    </w:rPr>
  </w:style>
  <w:style w:type="character" w:customStyle="1" w:styleId="ListLabel153">
    <w:name w:val="ListLabel 153"/>
    <w:rPr>
      <w:u w:val="none"/>
    </w:rPr>
  </w:style>
  <w:style w:type="character" w:customStyle="1" w:styleId="ListLabel154">
    <w:name w:val="ListLabel 154"/>
    <w:rPr>
      <w:u w:val="none"/>
    </w:rPr>
  </w:style>
  <w:style w:type="character" w:customStyle="1" w:styleId="ListLabel155">
    <w:name w:val="ListLabel 155"/>
    <w:rPr>
      <w:u w:val="none"/>
    </w:rPr>
  </w:style>
  <w:style w:type="character" w:customStyle="1" w:styleId="ListLabel156">
    <w:name w:val="ListLabel 156"/>
    <w:rPr>
      <w:u w:val="none"/>
    </w:rPr>
  </w:style>
  <w:style w:type="character" w:customStyle="1" w:styleId="ListLabel157">
    <w:name w:val="ListLabel 157"/>
    <w:rPr>
      <w:u w:val="none"/>
    </w:rPr>
  </w:style>
  <w:style w:type="character" w:customStyle="1" w:styleId="ListLabel158">
    <w:name w:val="ListLabel 158"/>
    <w:rPr>
      <w:u w:val="none"/>
    </w:rPr>
  </w:style>
  <w:style w:type="character" w:customStyle="1" w:styleId="ListLabel159">
    <w:name w:val="ListLabel 159"/>
    <w:rPr>
      <w:u w:val="none"/>
    </w:rPr>
  </w:style>
  <w:style w:type="character" w:customStyle="1" w:styleId="ListLabel160">
    <w:name w:val="ListLabel 160"/>
    <w:rPr>
      <w:u w:val="none"/>
    </w:rPr>
  </w:style>
  <w:style w:type="character" w:customStyle="1" w:styleId="ListLabel161">
    <w:name w:val="ListLabel 161"/>
    <w:rPr>
      <w:u w:val="none"/>
    </w:rPr>
  </w:style>
  <w:style w:type="character" w:customStyle="1" w:styleId="ListLabel162">
    <w:name w:val="ListLabel 162"/>
    <w:rPr>
      <w:u w:val="none"/>
    </w:rPr>
  </w:style>
  <w:style w:type="character" w:customStyle="1" w:styleId="ListLabel163">
    <w:name w:val="ListLabel 163"/>
    <w:rPr>
      <w:u w:val="none"/>
    </w:rPr>
  </w:style>
  <w:style w:type="character" w:customStyle="1" w:styleId="ListLabel164">
    <w:name w:val="ListLabel 164"/>
    <w:rPr>
      <w:u w:val="none"/>
    </w:rPr>
  </w:style>
  <w:style w:type="character" w:customStyle="1" w:styleId="ListLabel165">
    <w:name w:val="ListLabel 165"/>
    <w:rPr>
      <w:u w:val="none"/>
    </w:rPr>
  </w:style>
  <w:style w:type="character" w:customStyle="1" w:styleId="ListLabel166">
    <w:name w:val="ListLabel 166"/>
    <w:rPr>
      <w:u w:val="none"/>
    </w:rPr>
  </w:style>
  <w:style w:type="character" w:customStyle="1" w:styleId="ListLabel167">
    <w:name w:val="ListLabel 167"/>
    <w:rPr>
      <w:u w:val="none"/>
    </w:rPr>
  </w:style>
  <w:style w:type="character" w:customStyle="1" w:styleId="ListLabel168">
    <w:name w:val="ListLabel 168"/>
    <w:rPr>
      <w:u w:val="none"/>
    </w:rPr>
  </w:style>
  <w:style w:type="character" w:customStyle="1" w:styleId="ListLabel169">
    <w:name w:val="ListLabel 169"/>
    <w:rPr>
      <w:u w:val="none"/>
    </w:rPr>
  </w:style>
  <w:style w:type="character" w:customStyle="1" w:styleId="ListLabel170">
    <w:name w:val="ListLabel 170"/>
    <w:rPr>
      <w:u w:val="none"/>
    </w:rPr>
  </w:style>
  <w:style w:type="character" w:customStyle="1" w:styleId="ListLabel171">
    <w:name w:val="ListLabel 171"/>
    <w:rPr>
      <w:u w:val="none"/>
    </w:rPr>
  </w:style>
  <w:style w:type="character" w:customStyle="1" w:styleId="ListLabel172">
    <w:name w:val="ListLabel 172"/>
    <w:rPr>
      <w:rFonts w:eastAsia="Calibri" w:cs="Microsoft YaHei"/>
    </w:rPr>
  </w:style>
  <w:style w:type="character" w:customStyle="1" w:styleId="ListLabel173">
    <w:name w:val="ListLabel 173"/>
    <w:rPr>
      <w:rFonts w:cs="Courier New"/>
    </w:rPr>
  </w:style>
  <w:style w:type="character" w:customStyle="1" w:styleId="ListLabel174">
    <w:name w:val="ListLabel 174"/>
    <w:rPr>
      <w:rFonts w:cs="Courier New"/>
    </w:rPr>
  </w:style>
  <w:style w:type="character" w:customStyle="1" w:styleId="ListLabel175">
    <w:name w:val="ListLabel 175"/>
    <w:rPr>
      <w:rFonts w:cs="Courier New"/>
    </w:rPr>
  </w:style>
  <w:style w:type="character" w:customStyle="1" w:styleId="ListLabel176">
    <w:name w:val="ListLabel 176"/>
    <w:rPr>
      <w:rFonts w:eastAsia="Calibri" w:cs="Microsoft YaHei"/>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eastAsia="Calibri" w:cs="Microsoft YaHei"/>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Courier New"/>
    </w:rPr>
  </w:style>
  <w:style w:type="paragraph" w:customStyle="1" w:styleId="Heading">
    <w:name w:val="Heading"/>
    <w:basedOn w:val="Normal"/>
    <w:next w:val="BodyText"/>
    <w:pPr>
      <w:keepNext/>
      <w:spacing w:before="240"/>
    </w:pPr>
    <w:rPr>
      <w:rFonts w:ascii="Liberation Sans" w:eastAsia="Microsoft YaHei" w:hAnsi="Liberation Sans" w:cs="Courier New"/>
      <w:sz w:val="28"/>
      <w:szCs w:val="28"/>
    </w:rPr>
  </w:style>
  <w:style w:type="paragraph" w:styleId="BodyText">
    <w:name w:val="Body Text"/>
    <w:basedOn w:val="Normal"/>
    <w:semiHidden/>
    <w:pPr>
      <w:spacing w:after="140" w:line="276" w:lineRule="auto"/>
    </w:pPr>
  </w:style>
  <w:style w:type="paragraph" w:styleId="List">
    <w:name w:val="List"/>
    <w:basedOn w:val="BodyText"/>
    <w:semiHidden/>
    <w:rPr>
      <w:rFonts w:cs="Courier New"/>
    </w:rPr>
  </w:style>
  <w:style w:type="paragraph" w:styleId="Caption">
    <w:name w:val="caption"/>
    <w:basedOn w:val="Normal"/>
    <w:qFormat/>
    <w:pPr>
      <w:suppressLineNumbers/>
      <w:spacing w:before="120"/>
    </w:pPr>
    <w:rPr>
      <w:rFonts w:cs="Courier New"/>
      <w:i/>
      <w:iCs/>
    </w:rPr>
  </w:style>
  <w:style w:type="paragraph" w:customStyle="1" w:styleId="Index">
    <w:name w:val="Index"/>
    <w:basedOn w:val="Normal"/>
    <w:pPr>
      <w:suppressLineNumbers/>
    </w:pPr>
    <w:rPr>
      <w:rFonts w:cs="Courier New"/>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qFormat/>
    <w:pPr>
      <w:spacing w:after="0" w:line="276" w:lineRule="auto"/>
    </w:pPr>
    <w:rPr>
      <w:rFonts w:ascii="Calibri" w:eastAsia="font1516" w:hAnsi="Calibri" w:cs="Courier New"/>
      <w:bCs/>
      <w:color w:val="365F91"/>
      <w:szCs w:val="28"/>
      <w:lang w:val="en-US"/>
    </w:rPr>
  </w:style>
  <w:style w:type="paragraph" w:styleId="TOC1">
    <w:name w:val="toc 1"/>
    <w:basedOn w:val="Normal"/>
    <w:next w:val="Normal"/>
    <w:autoRedefine/>
    <w:uiPriority w:val="39"/>
    <w:rsid w:val="00212CC4"/>
    <w:pPr>
      <w:spacing w:before="120"/>
    </w:pPr>
    <w:rPr>
      <w:rFonts w:cstheme="minorHAnsi"/>
      <w:b/>
      <w:bCs/>
      <w:caps/>
      <w:szCs w:val="20"/>
    </w:rPr>
  </w:style>
  <w:style w:type="paragraph" w:styleId="TOC2">
    <w:name w:val="toc 2"/>
    <w:basedOn w:val="Normal"/>
    <w:next w:val="Normal"/>
    <w:autoRedefine/>
    <w:uiPriority w:val="39"/>
    <w:pPr>
      <w:spacing w:after="0"/>
      <w:ind w:left="240"/>
    </w:pPr>
    <w:rPr>
      <w:rFonts w:asciiTheme="minorHAnsi" w:hAnsiTheme="minorHAnsi" w:cstheme="minorHAnsi"/>
      <w:smallCaps/>
      <w:sz w:val="20"/>
      <w:szCs w:val="20"/>
    </w:rPr>
  </w:style>
  <w:style w:type="paragraph" w:styleId="TOC3">
    <w:name w:val="toc 3"/>
    <w:basedOn w:val="Normal"/>
    <w:next w:val="Normal"/>
    <w:autoRedefine/>
    <w:uiPriority w:val="39"/>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rsid w:val="000A5990"/>
    <w:pPr>
      <w:tabs>
        <w:tab w:val="right" w:pos="9016"/>
      </w:tabs>
      <w:spacing w:after="0"/>
      <w:ind w:left="720"/>
    </w:pPr>
    <w:rPr>
      <w:rFonts w:asciiTheme="minorHAnsi" w:hAnsiTheme="minorHAnsi" w:cstheme="minorHAnsi"/>
      <w:sz w:val="18"/>
      <w:szCs w:val="18"/>
    </w:rPr>
  </w:style>
  <w:style w:type="paragraph" w:styleId="TOC5">
    <w:name w:val="toc 5"/>
    <w:basedOn w:val="Normal"/>
    <w:next w:val="Normal"/>
    <w:autoRedefine/>
    <w:semiHidden/>
    <w:pPr>
      <w:spacing w:after="0"/>
      <w:ind w:left="960"/>
    </w:pPr>
    <w:rPr>
      <w:rFonts w:asciiTheme="minorHAnsi" w:hAnsiTheme="minorHAnsi" w:cstheme="minorHAnsi"/>
      <w:sz w:val="18"/>
      <w:szCs w:val="18"/>
    </w:rPr>
  </w:style>
  <w:style w:type="paragraph" w:styleId="TOC6">
    <w:name w:val="toc 6"/>
    <w:basedOn w:val="Normal"/>
    <w:next w:val="Normal"/>
    <w:autoRedefine/>
    <w:semiHidden/>
    <w:pPr>
      <w:spacing w:after="0"/>
      <w:ind w:left="1200"/>
    </w:pPr>
    <w:rPr>
      <w:rFonts w:asciiTheme="minorHAnsi" w:hAnsiTheme="minorHAnsi" w:cstheme="minorHAnsi"/>
      <w:sz w:val="18"/>
      <w:szCs w:val="18"/>
    </w:rPr>
  </w:style>
  <w:style w:type="paragraph" w:styleId="TOC7">
    <w:name w:val="toc 7"/>
    <w:basedOn w:val="Normal"/>
    <w:next w:val="Normal"/>
    <w:autoRedefine/>
    <w:semiHidden/>
    <w:pPr>
      <w:spacing w:after="0"/>
      <w:ind w:left="1440"/>
    </w:pPr>
    <w:rPr>
      <w:rFonts w:asciiTheme="minorHAnsi" w:hAnsiTheme="minorHAnsi" w:cstheme="minorHAnsi"/>
      <w:sz w:val="18"/>
      <w:szCs w:val="18"/>
    </w:rPr>
  </w:style>
  <w:style w:type="paragraph" w:styleId="TOC8">
    <w:name w:val="toc 8"/>
    <w:basedOn w:val="Normal"/>
    <w:next w:val="Normal"/>
    <w:autoRedefine/>
    <w:semiHidden/>
    <w:pPr>
      <w:spacing w:after="0"/>
      <w:ind w:left="1680"/>
    </w:pPr>
    <w:rPr>
      <w:rFonts w:asciiTheme="minorHAnsi" w:hAnsiTheme="minorHAnsi" w:cstheme="minorHAnsi"/>
      <w:sz w:val="18"/>
      <w:szCs w:val="18"/>
    </w:rPr>
  </w:style>
  <w:style w:type="paragraph" w:styleId="TOC9">
    <w:name w:val="toc 9"/>
    <w:basedOn w:val="Normal"/>
    <w:next w:val="Normal"/>
    <w:autoRedefine/>
    <w:semiHidden/>
    <w:pPr>
      <w:spacing w:after="0"/>
      <w:ind w:left="1920"/>
    </w:pPr>
    <w:rPr>
      <w:rFonts w:asciiTheme="minorHAnsi" w:hAnsiTheme="minorHAnsi" w:cstheme="minorHAnsi"/>
      <w:sz w:val="18"/>
      <w:szCs w:val="18"/>
    </w:rPr>
  </w:style>
  <w:style w:type="paragraph" w:styleId="Revision">
    <w:name w:val="Revision"/>
    <w:pPr>
      <w:suppressAutoHyphens/>
    </w:pPr>
    <w:rPr>
      <w:rFonts w:ascii="Calibri" w:eastAsia="Calibri" w:hAnsi="Calibri" w:cs="Microsoft YaHei"/>
    </w:rPr>
  </w:style>
  <w:style w:type="paragraph" w:styleId="ListParagraph">
    <w:name w:val="List Paragraph"/>
    <w:basedOn w:val="Normal"/>
    <w:qFormat/>
    <w:pPr>
      <w:spacing w:after="0"/>
      <w:ind w:left="720"/>
      <w:contextualSpacing/>
    </w:pPr>
  </w:style>
  <w:style w:type="paragraph" w:customStyle="1" w:styleId="CommentText1">
    <w:name w:val="Comment Text1"/>
    <w:basedOn w:val="Normal"/>
    <w:rPr>
      <w:sz w:val="20"/>
    </w:rPr>
  </w:style>
  <w:style w:type="paragraph" w:customStyle="1" w:styleId="CommentSubject1">
    <w:name w:val="Comment Subject1"/>
    <w:basedOn w:val="CommentText1"/>
    <w:next w:val="CommentText1"/>
    <w:rPr>
      <w:b/>
      <w:bCs/>
    </w:rPr>
  </w:style>
  <w:style w:type="paragraph" w:customStyle="1" w:styleId="Caption1">
    <w:name w:val="Caption1"/>
    <w:basedOn w:val="Normal"/>
    <w:next w:val="Normal"/>
    <w:pPr>
      <w:spacing w:after="200"/>
    </w:pPr>
    <w:rPr>
      <w:i/>
      <w:iCs/>
      <w:color w:val="1F497D"/>
      <w:sz w:val="18"/>
      <w:szCs w:val="18"/>
    </w:rPr>
  </w:style>
  <w:style w:type="paragraph" w:styleId="NormalWeb">
    <w:name w:val="Normal (Web)"/>
    <w:basedOn w:val="Normal"/>
    <w:uiPriority w:val="99"/>
    <w:pPr>
      <w:spacing w:before="280" w:after="280"/>
    </w:pPr>
    <w:rPr>
      <w:rFonts w:cs="Tahoma"/>
      <w:lang w:val="en-US"/>
    </w:rPr>
  </w:style>
  <w:style w:type="paragraph" w:customStyle="1" w:styleId="HeaderandFooter">
    <w:name w:val="Header and Footer"/>
    <w:basedOn w:val="Normal"/>
  </w:style>
  <w:style w:type="paragraph" w:styleId="Footer">
    <w:name w:val="footer"/>
    <w:basedOn w:val="HeaderandFooter"/>
    <w:semiHidden/>
  </w:style>
  <w:style w:type="paragraph" w:styleId="Header">
    <w:name w:val="header"/>
    <w:basedOn w:val="Normal"/>
    <w:semiHidden/>
    <w:unhideWhenUsed/>
    <w:pPr>
      <w:tabs>
        <w:tab w:val="center" w:pos="4680"/>
        <w:tab w:val="right" w:pos="9360"/>
      </w:tabs>
    </w:pPr>
  </w:style>
  <w:style w:type="character" w:customStyle="1" w:styleId="HeaderChar">
    <w:name w:val="Header Char"/>
    <w:rPr>
      <w:sz w:val="24"/>
    </w:rPr>
  </w:style>
  <w:style w:type="paragraph" w:styleId="DocumentMap">
    <w:name w:val="Document Map"/>
    <w:basedOn w:val="Normal"/>
    <w:semiHidden/>
    <w:pPr>
      <w:shd w:val="clear" w:color="auto" w:fill="000080"/>
    </w:pPr>
    <w:rPr>
      <w:rFonts w:ascii="Tahoma" w:hAnsi="Tahoma"/>
    </w:rPr>
  </w:style>
  <w:style w:type="paragraph" w:styleId="CommentText">
    <w:name w:val="annotation text"/>
    <w:basedOn w:val="Normal"/>
    <w:link w:val="CommentTextChar2"/>
    <w:semiHidden/>
    <w:unhideWhenUsed/>
    <w:rPr>
      <w:sz w:val="20"/>
      <w:szCs w:val="20"/>
    </w:rPr>
  </w:style>
  <w:style w:type="character" w:customStyle="1" w:styleId="CommentTextChar1">
    <w:name w:val="Comment Text Char1"/>
    <w:semiHidden/>
    <w:rPr>
      <w:sz w:val="20"/>
      <w:szCs w:val="20"/>
    </w:rPr>
  </w:style>
  <w:style w:type="character" w:styleId="CommentReference">
    <w:name w:val="annotation reference"/>
    <w:semiHidden/>
    <w:unhideWhenUsed/>
    <w:rPr>
      <w:sz w:val="16"/>
      <w:szCs w:val="16"/>
    </w:rPr>
  </w:style>
  <w:style w:type="character" w:styleId="PlaceholderText">
    <w:name w:val="Placeholder Text"/>
    <w:semiHidden/>
    <w:rPr>
      <w:color w:val="808080"/>
    </w:rPr>
  </w:style>
  <w:style w:type="paragraph" w:styleId="CommentSubject">
    <w:name w:val="annotation subject"/>
    <w:basedOn w:val="CommentText"/>
    <w:next w:val="CommentText"/>
    <w:link w:val="CommentSubjectChar1"/>
    <w:uiPriority w:val="99"/>
    <w:semiHidden/>
    <w:unhideWhenUsed/>
    <w:rsid w:val="00E53D56"/>
    <w:rPr>
      <w:b/>
      <w:bCs/>
    </w:rPr>
  </w:style>
  <w:style w:type="character" w:customStyle="1" w:styleId="CommentTextChar2">
    <w:name w:val="Comment Text Char2"/>
    <w:basedOn w:val="DefaultParagraphFont"/>
    <w:link w:val="CommentText"/>
    <w:semiHidden/>
    <w:rsid w:val="00E53D56"/>
    <w:rPr>
      <w:lang w:val="en-CA"/>
    </w:rPr>
  </w:style>
  <w:style w:type="character" w:customStyle="1" w:styleId="CommentSubjectChar1">
    <w:name w:val="Comment Subject Char1"/>
    <w:basedOn w:val="CommentTextChar2"/>
    <w:link w:val="CommentSubject"/>
    <w:uiPriority w:val="99"/>
    <w:semiHidden/>
    <w:rsid w:val="00E53D56"/>
    <w:rPr>
      <w:b/>
      <w:bCs/>
      <w:lang w:val="en-CA"/>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styleId="TableGrid">
    <w:name w:val="Table Grid"/>
    <w:basedOn w:val="TableNormal"/>
    <w:uiPriority w:val="39"/>
    <w:rsid w:val="003F0BF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062774"/>
    <w:pPr>
      <w:numPr>
        <w:numId w:val="12"/>
      </w:numPr>
    </w:pPr>
  </w:style>
  <w:style w:type="paragraph" w:customStyle="1" w:styleId="Style1">
    <w:name w:val="Style1"/>
    <w:basedOn w:val="Heading2"/>
    <w:qFormat/>
    <w:rsid w:val="00A252A2"/>
    <w:pPr>
      <w:numPr>
        <w:numId w:val="0"/>
      </w:numPr>
    </w:pPr>
  </w:style>
  <w:style w:type="numbering" w:customStyle="1" w:styleId="CurrentList2">
    <w:name w:val="Current List2"/>
    <w:uiPriority w:val="99"/>
    <w:rsid w:val="00A252A2"/>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Planetary-Technologies/MRV/releases/tag/v1.0" TargetMode="External"/><Relationship Id="rId18" Type="http://schemas.openxmlformats.org/officeDocument/2006/relationships/hyperlink" Target="https://beta.lakeland.edu/AboutUs/MSDS/PDFs/3675/Magnesium-Hydroxide-Millipore-Sigma-1-15-2020.pdf"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www.planetarytech.com/projects/codeofconduct/"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www.planetarytech.com/projects/codeofconduct/" TargetMode="External"/><Relationship Id="rId20" Type="http://schemas.openxmlformats.org/officeDocument/2006/relationships/image" Target="media/image4.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Planetary-Technologies/MRV/releases/tag/v2.0"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carbonplan.org/research/cdr-verification/" TargetMode="External"/><Relationship Id="rId28" Type="http://schemas.openxmlformats.org/officeDocument/2006/relationships/header" Target="header3.xml"/><Relationship Id="rId10" Type="http://schemas.openxmlformats.org/officeDocument/2006/relationships/hyperlink" Target="https://github.com/Planetary-Technologies/MRV/releases/tag/v1.0" TargetMode="External"/><Relationship Id="rId19" Type="http://schemas.openxmlformats.org/officeDocument/2006/relationships/hyperlink" Target="https://www.epa.gov/greeningepa/greenhouse-gases-epa"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lanetary-Technologies/MRV/releases/latest"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footer" Target="foot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zj5PFxppITpcc0Me0DKsnPQ0taQ==">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</go:docsCustomData>
</go:gDocsCustomXmlDataStorage>
</file>

<file path=customXml/itemProps1.xml><?xml version="1.0" encoding="utf-8"?>
<ds:datastoreItem xmlns:ds="http://schemas.openxmlformats.org/officeDocument/2006/customXml" ds:itemID="{66B19258-E809-154C-B6AB-DD0E1882C8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6778</Words>
  <Characters>38640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Mike Kelland</cp:lastModifiedBy>
  <cp:revision>4</cp:revision>
  <cp:lastPrinted>2023-02-22T22:55:00Z</cp:lastPrinted>
  <dcterms:created xsi:type="dcterms:W3CDTF">2023-02-22T22:53:00Z</dcterms:created>
  <dcterms:modified xsi:type="dcterms:W3CDTF">2023-02-22T22:58:00Z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