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8.8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Planetary Technologies, Inc.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1943359375" w:line="240" w:lineRule="auto"/>
        <w:ind w:left="0" w:right="2103.359985351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Initial Outline of OAE CDR MRV: Concepts and Needs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3359375" w:line="241.9035243988037" w:lineRule="auto"/>
        <w:ind w:left="1284.5600891113281" w:right="1146.2396240234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 Rau, S. Rackley, W. Burt, S. Tahmasebi, O. Sadoon, B. Kielly, M. Kelland Planetary Technologies, Inc., Dartmouth, Nova Scotia, Canada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6357421875" w:line="240" w:lineRule="auto"/>
        <w:ind w:left="0" w:right="3057.3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Contact: greg@planetarytech.com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3359375" w:line="240" w:lineRule="auto"/>
        <w:ind w:left="0" w:right="4033.39904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March 8, 2022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0.1662826538086" w:lineRule="auto"/>
        <w:ind w:left="199.2999267578125" w:right="264.439697265625" w:firstLine="5.76004028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Contribute to a living, community document for developing methods of monitoring,  recording and verifying (MRV) of carbon dioxide removal (CDR) achieved by Ocean Alkalinity  Enhancement (OAE) that in its final form would be acceptable to stakeholders, governance  bodies and carbon credit markets. Specifically, develop methods that quantify the net  reduction of atmospheric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burden by OAE, the duration of this reduction and its  environmental safety with a given level of precision and accuracy.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82421875" w:line="240" w:lineRule="auto"/>
        <w:ind w:left="197.859954833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Outline: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0439453125" w:line="230.1710557937622" w:lineRule="auto"/>
        <w:ind w:left="194.01992797851562" w:right="725.159912109375" w:firstLine="14.8799133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OAE rationale - Ocean alkalinity and how it relates to atmospheric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management 2) Methods of OAE - Types of alkalinity, modes of application and effect on air CO</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OAE MRV Concepts and Issues - Biological and chemical measurements and limitations 4) Further MRV Specifics (Outline)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8017578125" w:line="240" w:lineRule="auto"/>
        <w:ind w:left="200.25985717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Illustration of Possible Seawater Chemistry Responses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654296875" w:line="240" w:lineRule="auto"/>
        <w:ind w:left="205.77987670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OAE Rationale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3359375" w:line="238.85005474090576" w:lineRule="auto"/>
        <w:ind w:left="192.33993530273438" w:right="14.079589843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effect, alkalinity is the ability of a solution to neutralize acid, that ability being imparted by  the presence of one or more chemical bases. In natural seawater these bases are present  primarily in the form of bicarbonate (82%), carbonate (15%) anions (with much smaller  quantities of borate, hydroxide and other anions) as balanced by cations other than H</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Alkaline seawater bicarbonate and carbonate ions comprise some 37.8x10</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12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 C or about 88% of  the Earth's surface carbon that is in communication with the atmosphere. Atmospheric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in  quasi-equilibrium with surface seawater bicarbonate and carbonate ions, and the roughly 50:1  partitioning of ocean/atmosphere C speaks to the importance of seawater alkalinity in  chemically ensuring that most C is in the ocean and not the atmosphere. If seawater alkalinity  was reduced by 10X, atmospheric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would be &gt;100X higher than at present. It therefore  follows that actions that increase the partitioning of C out of the atmosphere and into the  ocean via increasing ocean alkalinity would be beneficial to global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climate  management. It would also be helpful in countering ocean acidification because alkalinity  addition elevates seawater pH. OAE therefore seeks ways of cost effectively, safely and  verifiably reducing the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burden in the atmosphere while also helping neutralize ocean  acidity.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0477294921875" w:line="234.0064001083374" w:lineRule="auto"/>
        <w:ind w:left="190.17990112304688" w:right="85.024414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idea of purposely adding alkalinity to the ocean for the preceding purposes is inspired by  the fact that this is the primary way Mother Nature consumes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rebalances ocean  chemistry on geologic time scales (Archer et al 2009). Here, globally abundant alkaline rocks  react with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water to produce dissolved, alkaline bicarbonates and carbonates that  eventually are added to the ocean via river discharge. This explains why seawater is a naturally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9328613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Rau et al., OAE MRV Concepts/Methods, Mar. 8, 2022, pg. 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8.8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Planetary Technologies, Inc.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3.06950569152832" w:lineRule="auto"/>
        <w:ind w:left="192.33993530273438" w:right="0"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alkaline medium containing the majority of carbon on the Earth's surface. On 100,000 yr. time  scales this alkalinity eventually precipitates from seawater as calcium carbonate thus entering  the geologic C cycle (Figure 1). Can this ocean alkalization be safely and cost-effectively speeded  up so that CDR is effected on human-biologic rather than geologic time scales?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505859375" w:line="240" w:lineRule="auto"/>
        <w:ind w:left="208.65997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 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9.0000915527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778250" cy="2152015"/>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778250" cy="215201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819885253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Methods of OAE CDR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0439453125" w:line="225.5507755279541" w:lineRule="auto"/>
        <w:ind w:left="198.0999755859375" w:right="244.11987304687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2 types of alkalinity to consider for OAE. The first of these is the use of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-reactive bases, that is, bases that when added to the ocean directly react with dissolved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form  seawater bicarbonates and carbonates, Examples of either natural or synthetic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-reactive  bases include: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388671875" w:line="225.53107738494873" w:lineRule="auto"/>
        <w:ind w:left="196.89987182617188" w:right="1300.479736328125" w:firstLine="11.76010131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Hydroxides - Mg(OH)</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2aq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+ 2CO2 ----&gt; Mg</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+ 2HCO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Oxides - CaO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0---&gt; Ca(OH)</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2aq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Ca</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+ 2HCO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Silicates - Mg</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4s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+ 2H</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----&gt; 2Mg</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+ 4HCO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Carbonates- CaCO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3s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----&gt; Ca</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+ 2HCO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32666015625" w:line="233.98630142211914" w:lineRule="auto"/>
        <w:ind w:left="199.05990600585938" w:right="133.35937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due to equilibrium reactions some carbonate ion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also formed with the  above, aqueous end products. This reduces somewhat the 1:1 molar ratio of CO</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consumed:alkalinity added implied in the above reactions. Note also that adding one mole of a  base composed of a divalent metal (e.g., Mg</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above) results in the addition of 2 moles of  alkalinity or less if that base is added as a solid and fails to completely dissolve.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141357421875" w:line="244.1356658935547" w:lineRule="auto"/>
        <w:ind w:left="198.0999755859375" w:right="30.2783203125" w:firstLine="10.31997680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of mineral silicates and carbonates provide globally abundant and relatively inexpensive alkalinity sources, but exhibit very slow dissolution and reaction rates under natural conditions.  On the other hand, metal hydroxides and oxides are rare in nature, but are commonly  synthesized and offer much greater reactivity, though with added production cost unless waste  streams can be used. Source options and tradeoffs of alkalinity sources for OAE are reviewed in  Renforth and Henderson (2017) and NASEM (2021).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843994140625" w:line="222.98768520355225" w:lineRule="auto"/>
        <w:ind w:left="199.77996826171875" w:right="20.1586914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addition of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-reactive alkalinity to seawater consumes some fraction of resident  dissolved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converts it to alkaline bicarbonate and carbonate ionic forms. If the alkalinity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509948730468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Rau et al., OAE MRV Concepts/Methods, Mar. 8, 2022, pg. 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8.8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Planetary Technologies, Inc.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29.12579536437988" w:lineRule="auto"/>
        <w:ind w:left="190.17990112304688" w:right="19.47998046875" w:firstLine="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added to the ocean in solid rather than dissolved form, then at least some of the solid must  dissolve in order to effect OAE and CDR. The addition of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-reactive alkalinity can impact  atmospheric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one of 2 ways: 1) it either reduces the degassing of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the ocean  surface to air in regions of the surface ocean where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supersaturated relative to air (typical  of upwelling regions), or 2) it increases the ingassing of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air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ocean by  undersaturating surface ocean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relative to air. Either way, the atmospheric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burden is  lowered by reducing natural, ocean--&gt;air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emissions or by increasing air--&gt;sea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ingassing.  The effect on atmospheric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be most immediate when the alkalization occurs in surface  water in direct contact with air and will be delayed (by as much as 1000+ yrs) if the alkalization  only occurs in deeper waters or water subducted to the deep ocean (e.g., Fig. 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0087890625" w:line="240" w:lineRule="auto"/>
        <w:ind w:left="1471.999969482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898900" cy="326009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98900" cy="326009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5243988037" w:lineRule="auto"/>
        <w:ind w:left="190.17990112304688" w:right="103.7426757812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2. Mean age of seawater vs depth and latitude in the Atlantic, Pacific and Indian Oceans.  This is the time since the last exchange with the atmosphere.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57470703125" w:line="240" w:lineRule="auto"/>
        <w:ind w:left="206.49993896484375" w:right="0" w:firstLine="0"/>
        <w:jc w:val="left"/>
        <w:rPr>
          <w:rFonts w:ascii="Calibri" w:cs="Calibri" w:eastAsia="Calibri" w:hAnsi="Calibri"/>
          <w:b w:val="0"/>
          <w:i w:val="0"/>
          <w:smallCaps w:val="0"/>
          <w:strike w:val="0"/>
          <w:color w:val="0563c1"/>
          <w:sz w:val="24"/>
          <w:szCs w:val="24"/>
          <w:u w:val="none"/>
          <w:shd w:fill="auto" w:val="clear"/>
          <w:vertAlign w:val="baseline"/>
        </w:rPr>
      </w:pP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https://journals.ametsoc.org/view/journals/phoc/42/2/jpo-d-11-043.1.xml</w:t>
      </w:r>
      <w:r w:rsidDel="00000000" w:rsidR="00000000" w:rsidRPr="00000000">
        <w:rPr>
          <w:rFonts w:ascii="Calibri" w:cs="Calibri" w:eastAsia="Calibri" w:hAnsi="Calibri"/>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35.02593994140625" w:lineRule="auto"/>
        <w:ind w:left="192.5799560546875" w:right="480.75927734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crediting purposes, evidence of near-term benefit to air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concentration will be most  directly found either in an increase in surface seawater DIC or the maintenance of DIC that would otherwise be lowered due to loss of excess seawater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air. How these can be  measured/modeled/estimated and their precision and accuracy form the crux of OAE CDR  verification and are discussed in subsequent sections.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31396484375" w:line="225.0494384765625" w:lineRule="auto"/>
        <w:ind w:left="198.0999755859375" w:right="104.55810546875" w:hanging="0.9599304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Non-CO</w:t>
      </w:r>
      <w:r w:rsidDel="00000000" w:rsidR="00000000" w:rsidRPr="00000000">
        <w:rPr>
          <w:rFonts w:ascii="Calibri" w:cs="Calibri" w:eastAsia="Calibri" w:hAnsi="Calibri"/>
          <w:b w:val="0"/>
          <w:i w:val="1"/>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-reactive alkalinity addition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second form of alkalinity to consider for ocean addition  is that which has already reacted with air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thus has formed alkaline bicarbonate and  carbonate in solution. In this case the addition of this alkalinity does not result in further CO</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capture or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emissions reduction by the ocean, but does provide carbon storage. This mode  of OAE is analogous to natural ocean alkalization where rock/CO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reactions on land/in soils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815551757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Rau et al., OAE MRV Concepts/Methods, Mar. 8, 2022, pg. 3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8.8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Planetary Technologies, Inc.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38.7616777420044" w:lineRule="auto"/>
        <w:ind w:left="192.81997680664062" w:right="99.91943359375" w:firstLine="13.6799621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carbonated alkalinity that then enters the ocean and is stored (Fig. 1). In the case of  artificial OAE, the dissolved bicarbonate and carbonate ions added to the ocean can be derived  from atmospheric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from fossil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emissions where the appropriate carbon crediting can  be evaluated/awarded upstream from ocean alkalinity addition. Nevertheless, verification of C  storage longevity/security once in the ocean is required.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4912109375" w:line="238.19732666015625" w:lineRule="auto"/>
        <w:ind w:left="192.5799560546875" w:right="22.63916015625" w:hanging="2.15988159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conceivable variant of the preceding would be to add solid bicarbonate/carbonate to the  ocean that has been derived from upstream air or waste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this case, while C sequestration  would be effected, ocean alkalization will only occur if some or all of the material subsequently  dissolves. For example, given that the surface ocean is supersaturated in CaCO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any solid  CaCO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added here will not dissolve unless under special, local circumstances and, hence, will  not enhance ocean alkalinity. However, if this material sinks to ocean depths that are naturally  undersaturated (typically &gt;3,000m but can be as shallow as 200m, e.g., N. Pacific Ocean), then  dissolution and alkalinity addition will occur there. In general, the deeper the release of  alkalinity the longer it will take for that alkalinity to be advected to the ocean surface where it  can contact the atmosphere and effect CDR. However, if present, ocean acidification will be  immediately decreased in any depth where the added alkalinity is present.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659912109375" w:line="240" w:lineRule="auto"/>
        <w:ind w:left="198.579864501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OAE MRV Concepts and Issues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982421875" w:line="244.0213966369629" w:lineRule="auto"/>
        <w:ind w:left="192.33993530273438" w:right="48.55957031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all forms of OAE, the subsequent environmental safety of a specific alkalinity  addition/enhancement needs to be verified. Such effects include chemical and biological  responses to pH, alkalinity, particles (if added) and any elements/compounds that accompany  the alkalinity addition. In contrast to the extensive, experimental research on the effects of  lowered pH on marine organisms (ocean acidification, citations), much less work has been done  on the effects of elevated pH. Generally, the effects have been observed to be neutral to  positive (e.g. restoration of marine calcification - Albright et al. 2016), but more research is  needed.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990478515625" w:line="241.05411529541016" w:lineRule="auto"/>
        <w:ind w:left="192.33993530273438" w:right="118.9611816406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Permitting of ocean discharge typically requires a pH &lt; 9 (&lt;8.5 in the UK). [Add background on  the development of such standards.] Keeping seawater pH below 9 is recommended on  chemical grounds considering that dissolved calcium carbonate, a common constituent of  seawater, spontaneously precipitates near this pH level. Such precipitation would decrease  seawater C storage and increase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levels while generating cloudiness and opacity in  seawater. For these reasons protocols are need to insure that OAE CDR applications avoid such  precipitation and chemical modification of seawater.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946533203125" w:line="229.3984079360962" w:lineRule="auto"/>
        <w:ind w:left="199.77996826171875" w:right="199.47998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Certainly, any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removal, emissions reduction and/or C storage effected by OAE will be only  part of the carbon crediting story. Any fossil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emissions associated with OAE processes (alkalinity extraction, production, refining, distribution, etc.) must be subtracted from the  preceding in order to obtain a net atmospheric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benefit and hence C crediting. [[Further discussion needed....]]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79296875" w:line="241.57001495361328" w:lineRule="auto"/>
        <w:ind w:left="206.49993896484375" w:right="456.878662109375" w:hanging="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Pre-carbonated alkalinity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easiest C crediting for OAE will be when the alkalinity is fully  pre-carbonated with either air or waste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 to discharge into the ocean. The direct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8499450683594"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Rau et al., OAE MRV Concepts/Methods, Mar. 8, 2022, pg. 4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8.8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Planetary Technologies, Inc.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38.3232831954956" w:lineRule="auto"/>
        <w:ind w:left="199.05990600585938" w:right="77.119140625" w:firstLine="7.4400329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measurement of dissolved inorganic carbon concentration (DIC =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2aq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[H</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[HCO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concentration added to the discharge stream (post-carbonated and air equilibrated DIC  minus pre-carbonated DIC) times the discharge flow rate integrated over time allows a  quantification of C captured and added to the ocean. In addition to analytical precision and  accuracy, the frequency of sampling and analysis relative to the temporal variations in  discharge DIC and flow rate then dictate the precision and accuracy of quantifying the carbon  captured and added to the ocean. Verification then turns to the confirmation of the  permanence of the ocean C storage (discussed below).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82958984375" w:line="243.92083168029785" w:lineRule="auto"/>
        <w:ind w:left="192.33993530273438" w:right="16.159667968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Ideally, the plume of alkaline, C-rich water added to the ocean would be continuously and  perpetually monitored using high-spatial and temporal resolution measurements of DIC.  However, as the plume is mixed and diluted with ambient seawater the ability to discern the  added C from ambient C will become increasingly difficult. To put this into perspective typical  analytical precision of seawater DIC is +/- 0.1% (Dickson et al. 2007). Thus, it would take more  than 38 Gt C addition to a well-mixed global ocean before it could be reliably detected in an  average sample of seawater. So, verification of ocean C must concentrate in the immediate  location where C addition occurs and is detectable, and where the fate of the added C beyond  the limit of detection can likely only be estimated via modeling/extrapolation or possibly via the  use of proxies or tracers.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9892578125" w:line="244.34666633605957" w:lineRule="auto"/>
        <w:ind w:left="192.33993530273438" w:right="280.860595703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Even within the area of detection conventional seawater sampling resolution for DIC analysis  will be limited by the platforms available for such sampling/measurement (e.g. ships, boats),  which can be extremely expensive to operate. For this reason, it will be important to explore  the use of less expensive, autonomous underwater vehicles (AUVs) or buoys to either sample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7060546875" w:line="233.90614986419678" w:lineRule="auto"/>
        <w:ind w:left="206.49993896484375" w:right="9.18212890625" w:hanging="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seawater for later DIC analysis or preferably be equipped with sensors allowing real-time  measurements (pH, pCO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alkalinity) to indirectly determine total DIC and then determine the  newly added DIC portion by subtracting the total DIC from background/baseline measurements.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98388671875" w:line="244.43913459777832" w:lineRule="auto"/>
        <w:ind w:left="192.33993530273438" w:right="135.63964843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 of added DIC concentration beyond that caused by mixing and dilution with ambient  seawater can be determined by the use of a passive, easily detected dye or tracer such as  fluorescein or Rhodamine added to the discharge stream. Here, any concentration change that  does not parallel the dilution of the tracer in the ocean will indicate a loss (or gain) of a  chemical constituent by means other than dilution. Obviously, this method will be  complicated/imprecise in settings where the background chemical concentrations are  temporally or spatially highly variable and where sample/measurement resolution may not be  adequate to fully characterize such features. Accurately determining background/baseline C  chemistry variability could prove to be a significant determinant of OAE carbon tracking and  verification accuracy/uncertainty.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8095703125" w:line="234.0064001083374" w:lineRule="auto"/>
        <w:ind w:left="192.5799560546875" w:right="224.07958984375" w:firstLine="9.35989379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w:t>
      </w:r>
      <w:r w:rsidDel="00000000" w:rsidR="00000000" w:rsidRPr="00000000">
        <w:rPr>
          <w:rFonts w:ascii="Calibri" w:cs="Calibri" w:eastAsia="Calibri" w:hAnsi="Calibri"/>
          <w:b w:val="0"/>
          <w:i w:val="1"/>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-reactive alkalinity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Unlike verifying the CDR achieved via the addition of pre-carbonated  alkalinity, uncarbonated OAE poses the additional challenge of having to quantify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uptake  in the ocean that occurs after alkalinity addition, as well as the challenge of tracking and  verifying the resulting ocean C storage. Furthermore, this alkalinity could be added in solid,  undissolved form in which case particle sinking rate relative to particle dissolution rate will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9328613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Rau et al., OAE MRV Concepts/Methods, Mar. 8, 2022, pg. 5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8.8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Planetary Technologies, Inc.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36.50006771087646" w:lineRule="auto"/>
        <w:ind w:left="194.73983764648438" w:right="79.0234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affect when, where or if dissolved alkalinity is available for carbonation in the water column. As  previously discussed, the depth at which dissolved alkalinity is made available for carbonation  will dictate how soon atmospheric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affected, with alkalinity added to surface mixed-layer  waters having the most immediate atmospheric impact.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03564453125" w:line="234.02648448944092" w:lineRule="auto"/>
        <w:ind w:left="192.5799560546875" w:right="152.6000976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Assuming a release of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-reactive alkalinity into a given body of surface water, the general  verification and monitoring plan would be to measure seawater pH, DIC concentration,  alkalinity concentration, pCO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any 2 of these parameters to calculate the remainder)  downstream from the release to monitor the following sequence of events: 1) Elevation of seawater alkalinity concentration and pH to maximum levels above background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1435546875" w:line="243.65301132202148" w:lineRule="auto"/>
        <w:ind w:left="469.0599060058594" w:right="132.78076171875" w:firstLine="5.03997802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immediate vicinity of alkalinity addition. In the case of solid alkalinity addition, effects  on surface ocean chemistry will be delayed/attenuated as determined by the rate of solid  dissolution relative to dilution and sinking.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37.90460109710693" w:lineRule="auto"/>
        <w:ind w:left="469.0599060058594" w:right="328.919677734375" w:hanging="26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Expansion in the volume OAE-effected seawater coupled with declines from alkalinity  concentration and pH maxima (1) due to mixing and dilution. This is accompanied by an  elevation of DIC (relative to background) caused either by the retention of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would  have otherwise degassed to air or the ingassing of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the atmosphere.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1900787353516" w:lineRule="auto"/>
        <w:ind w:left="469.0599060058594" w:right="11.199951171875" w:hanging="268.56002807617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Continued expansion of affected water volume and OAE-effected CDR, with corresponding  chemical concentrations declining to background levels as alkalinity is mixed and diluted with  ambient seawater.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107421875" w:line="239.82253074645996" w:lineRule="auto"/>
        <w:ind w:left="190.17990112304688" w:right="3.598632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net effect will be for the added,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-reactive alkalinity and resulting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undersaturation to  spread, affecting an expanding ocean area as mixing and dilution occurs, but where CDR will  become increasingly difficult to directly detect as mixing and dilution causes the chemical  signals of OAE to decline into background levels and thus become undetectable. Illustrations of  these concepts are shown in Figures 3-7.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657470703125" w:line="237.38245010375977" w:lineRule="auto"/>
        <w:ind w:left="192.33993530273438" w:right="19.158935546875" w:firstLine="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Longevity of alkaline C storage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bicarbonate and carbonate ions are added to seawater  via either the addition of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-reactive or pre-carbonated alkalinity to the ocean, what then is  the expected lifetime of that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sequestration? On empirical grounds, assuming that i) riverine  input is the only source of seawater alkalinity, ii) CaCO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precipitation and burial in sediments  represents the only seawater alkalinity sink, and iii) this system is in steady state (inputs =  outputs), then the 0.3 Gt C/yr entering the ocean as riverine alkalinity relative to the 37,800 Gt  of alkaline C residing in the ocean, then implies a mean residence time of carbonaceous  seawater alkalinity of about 100,000 yrs (Middelburg et al. 2020). An even longer mean  residence time of 1 Myrs can be inferred from the longevity of Ca</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seawater, whose  seawater life cycle should closely parallel that of alkalinity.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9688720703125" w:line="240.41622161865234" w:lineRule="auto"/>
        <w:ind w:left="190.17990112304688" w:right="126.060791015625" w:hanging="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preceding provides some assurance that once added to seawater, carbonaceous alkalinity  will indeed be very long lived. Nevertheless, additional direct evidence of this may be  desired/required by credit markets, especially under oceanographic conditions where there  may be an increased risk of alkalinity loss due to biotic or abiotic calcification via reversal of  rctn. 4: Ca</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+ 2HCO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CaCO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3s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Yet such marine calcification and carbonate  burial globally only amounts to about 1 Gt C/yr (Middelberg et al. 2020), or less than 0.003% of  resident seawater alkaline C. The calcification reaction converts half of the C originally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468688964844"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Rau et al., OAE MRV Concepts/Methods, Mar. 8, 2022, pg. 6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8.8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Planetary Technologies, Inc.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30.28990268707275" w:lineRule="auto"/>
        <w:ind w:left="194.73983764648438" w:right="21.6796875" w:firstLine="4.3200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contained in seawater bicarbonate ions into very long lived CaCO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3s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liberates the other half  as unsequestered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longevity of C sequestration is greatly increased by the formation of  CaCO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3s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However, the penalty here is that an immediate atmospheric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source in created  with half of the previously stored seawater bicarbonate being converted to dissolved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would at least temporarily acidify the seawater before ultimately being released to the  atmosphere. A special caveat here is that if the seawater bicarbonate originated from the  dissolution of CaCO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3s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(rctn. 4 above), then subsequent precipitation of CaCO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would negate any  C sequestration, via the reversal of rctn. 4.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228515625" w:line="240" w:lineRule="auto"/>
        <w:ind w:left="192.81997680664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Further MRV Specifics (Outline)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8212890625" w:line="245.7360076904297" w:lineRule="auto"/>
        <w:ind w:left="199.05990600585938" w:right="1466.94213867187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Discussion of MRV strategies in light of the preceding and how to tailor to specific oceanographic site/conditions, types of alkalinity and discharge methods.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83740234375" w:line="243.65246772766113" w:lineRule="auto"/>
        <w:ind w:left="204.09988403320312" w:right="274.239501953125" w:hanging="5.99990844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Modeling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Discuss the need for modeling to extrapolate beyond direct measurements and to  predict ultimate fate and effects of OAE. Use of lab and field experiments at specific sites to  inform, refine and verify models.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677001953125" w:line="225.06370067596436" w:lineRule="auto"/>
        <w:ind w:left="199.05990600585938" w:right="67.19970703125" w:hanging="0.9599304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Net CDR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previously stated, any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removal, emissions reduction and /or C storage  occurring in the ocean via OAE will require a full LCA of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emissions associated with a specific  OAE application in order to determine the net CDR achieved. Details of LCA methods...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6123046875" w:line="243.12509536743164" w:lineRule="auto"/>
        <w:ind w:left="198.0999755859375" w:right="68.9990234375" w:hanging="0.9599304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Monitoring and assurance of environmental safety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Laboratory and field testing and evaluation  of chemical and biological responses to a given OAE - how and where. Predictive modeling of  chemical and biological responses to OAE, and verification of responses via field testing and  monitoring (Modeling above). Details....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950439453125" w:line="233.90614986419678" w:lineRule="auto"/>
        <w:ind w:left="199.2999267578125" w:right="414.840087890625" w:hanging="16.800079345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Analytical methods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Details of analytical methods for pH, DIC, alkalinity, pCO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etc. (citing  Dickson et al. 2007 and others) including discussion of sampling, measurement and sensors,  and associated precision, accuracy, and implications for CDR measurement limitations…...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9755859375" w:line="243.65246772766113" w:lineRule="auto"/>
        <w:ind w:left="206.49993896484375" w:right="126.519775390625" w:hanging="17.519989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Seawater chemistry baseline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Discussion of the importance of background/baseline seawater  measurements, spatial/temporal variations, and implications for discerning an OAE signal from  background/baseline chemistry "noise"......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6737060546875" w:line="244.34666633605957" w:lineRule="auto"/>
        <w:ind w:left="192.81997680664062" w:right="66.59912109375" w:firstLine="14.8799133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Tracers/proxies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Discussion of the use of passive tracers to separate dilution effects from other  factors affecting alkalized water chemistry/biology……. Could the measurement of  other/additional seawater chemistry parameters (</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perscript"/>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metal ion isotopes, etc.) allow for  OAE CDR MRV beyond that possible using conventional pH, DIC, alkalinity and pCO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735107421875" w:line="245.77669143676758" w:lineRule="auto"/>
        <w:ind w:left="204.09988403320312" w:right="50.279541015625" w:hanging="21.60003662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Additional Topics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Including and incorporating social and legal dimensions in developing MRV,  mechanisms for refining MRV as R&amp;D and new information become available, changes required  in MRV as OAE scales to larger capacities and/or involves multinational participation, etc.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6432495117188"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Rau et al., OAE MRV Concepts/Methods, Mar. 8, 2022, pg. 7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8.8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Planetary Technologies, Inc.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199.7799682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Illustration of Possible Seawater Chemistry Responses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43359375" w:line="237.85088539123535" w:lineRule="auto"/>
        <w:ind w:left="199.2999267578125" w:right="223.19824218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figures are conceptual models of seawater chemistry response to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-reactive  alkalinity addition to the ocean as a function of time or distance from discharge. All responses  here are assumed to initially rise significantly above detection limits as dictated by analytical  precision and by variability of background seawater chemistry.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5625" w:line="240" w:lineRule="auto"/>
        <w:ind w:left="0" w:right="781.7590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3. Seawater alkalinity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170053</wp:posOffset>
            </wp:positionV>
            <wp:extent cx="3674745" cy="2100580"/>
            <wp:effectExtent b="0" l="0" r="0" t="0"/>
            <wp:wrapSquare wrapText="right" distB="19050" distT="19050" distL="19050" distR="1905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74745" cy="2100580"/>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3359375" w:line="240" w:lineRule="auto"/>
        <w:ind w:left="0" w:right="361.7590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concentration initially peaks and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8798828125" w:line="240" w:lineRule="auto"/>
        <w:ind w:left="0" w:right="672.0788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declines as a function of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654296875" w:line="240" w:lineRule="auto"/>
        <w:ind w:left="0" w:right="167.8393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time/distance from discharge, due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8212890625" w:line="240" w:lineRule="auto"/>
        <w:ind w:left="0" w:right="4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mixing and dilution with ambient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43359375" w:line="240" w:lineRule="auto"/>
        <w:ind w:left="0" w:right="195.200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seawater. Alkalinity maximum will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654296875" w:line="240" w:lineRule="auto"/>
        <w:ind w:left="0" w:right="711.439208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 delayed/attenuated if the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923828125" w:line="240" w:lineRule="auto"/>
        <w:ind w:left="0" w:right="74.95971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alkalinity is initially added as a solid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8798828125" w:line="240" w:lineRule="auto"/>
        <w:ind w:left="0" w:right="36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dissolves at some finite rate.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0439453125" w:line="240" w:lineRule="auto"/>
        <w:ind w:left="0" w:right="550.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alkalinity signal eventually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0439453125" w:line="240" w:lineRule="auto"/>
        <w:ind w:left="0" w:right="138.9587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drops below level of detection due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0439453125" w:line="240" w:lineRule="auto"/>
        <w:ind w:left="0" w:right="1734.79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dilution (Fig. 6)..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1982421875" w:line="240" w:lineRule="auto"/>
        <w:ind w:left="0" w:right="281.63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4. Conceptual sequence of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-534034</wp:posOffset>
            </wp:positionV>
            <wp:extent cx="3712845" cy="2104390"/>
            <wp:effectExtent b="0" l="0" r="0" t="0"/>
            <wp:wrapSquare wrapText="right" distB="19050" distT="19050" distL="19050" distR="1905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12845" cy="2104390"/>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0439453125" w:line="240" w:lineRule="auto"/>
        <w:ind w:left="0" w:right="142.75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OAE-affected pH, also showing the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06298828125" w:line="240" w:lineRule="auto"/>
        <w:ind w:left="0" w:right="452.99926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effect of the carbonation of the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0439453125" w:line="240" w:lineRule="auto"/>
        <w:ind w:left="0" w:right="358.91967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alkalinity with seawater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3.679809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invasion of air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 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712890625" w:line="240" w:lineRule="auto"/>
        <w:ind w:left="0" w:right="3967.371826171875" w:firstLine="0"/>
        <w:jc w:val="right"/>
        <w:rPr>
          <w:rFonts w:ascii="Calibri" w:cs="Calibri" w:eastAsia="Calibri" w:hAnsi="Calibri"/>
          <w:b w:val="0"/>
          <w:i w:val="0"/>
          <w:smallCaps w:val="0"/>
          <w:strike w:val="0"/>
          <w:color w:val="000000"/>
          <w:sz w:val="10.97827434539795"/>
          <w:szCs w:val="10.97827434539795"/>
          <w:u w:val="none"/>
          <w:shd w:fill="auto" w:val="clear"/>
          <w:vertAlign w:val="baseline"/>
        </w:rPr>
        <w:sectPr>
          <w:pgSz w:h="15840" w:w="12240" w:orient="portrait"/>
          <w:pgMar w:bottom="780" w:top="710.599365234375" w:left="1251.9999694824219" w:right="1382.80029296875" w:header="0" w:footer="720"/>
          <w:pgNumType w:start="1"/>
        </w:sectPr>
      </w:pPr>
      <w:r w:rsidDel="00000000" w:rsidR="00000000" w:rsidRPr="00000000">
        <w:rPr>
          <w:rFonts w:ascii="Calibri" w:cs="Calibri" w:eastAsia="Calibri" w:hAnsi="Calibri"/>
          <w:b w:val="0"/>
          <w:i w:val="0"/>
          <w:smallCaps w:val="0"/>
          <w:strike w:val="0"/>
          <w:color w:val="000000"/>
          <w:sz w:val="10.97827434539795"/>
          <w:szCs w:val="10.97827434539795"/>
          <w:u w:val="none"/>
          <w:shd w:fill="auto" w:val="clear"/>
          <w:vertAlign w:val="baseline"/>
          <w:rtl w:val="0"/>
        </w:rPr>
        <w:t xml:space="preserve">G. Rau 30jul21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5652465820312" w:line="290.0822353363037"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 I</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9898681640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126953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359619140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848388671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00439453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15576171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00439453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69433593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6041259765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97827434539795"/>
          <w:szCs w:val="10.97827434539795"/>
          <w:u w:val="none"/>
          <w:shd w:fill="auto" w:val="clear"/>
          <w:vertAlign w:val="baseline"/>
        </w:rPr>
      </w:pPr>
      <w:r w:rsidDel="00000000" w:rsidR="00000000" w:rsidRPr="00000000">
        <w:rPr>
          <w:rFonts w:ascii="Calibri" w:cs="Calibri" w:eastAsia="Calibri" w:hAnsi="Calibri"/>
          <w:b w:val="0"/>
          <w:i w:val="0"/>
          <w:smallCaps w:val="0"/>
          <w:strike w:val="0"/>
          <w:color w:val="000000"/>
          <w:sz w:val="10.97827434539795"/>
          <w:szCs w:val="10.97827434539795"/>
          <w:u w:val="none"/>
          <w:shd w:fill="auto" w:val="clear"/>
          <w:vertAlign w:val="baseline"/>
          <w:rtl w:val="0"/>
        </w:rPr>
        <w:t xml:space="preserve">Zone of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97827434539795"/>
          <w:szCs w:val="10.97827434539795"/>
          <w:u w:val="none"/>
          <w:shd w:fill="auto" w:val="clear"/>
          <w:vertAlign w:val="baseline"/>
        </w:rPr>
      </w:pPr>
      <w:r w:rsidDel="00000000" w:rsidR="00000000" w:rsidRPr="00000000">
        <w:rPr>
          <w:rFonts w:ascii="Calibri" w:cs="Calibri" w:eastAsia="Calibri" w:hAnsi="Calibri"/>
          <w:b w:val="0"/>
          <w:i w:val="0"/>
          <w:smallCaps w:val="0"/>
          <w:strike w:val="0"/>
          <w:color w:val="000000"/>
          <w:sz w:val="10.97827434539795"/>
          <w:szCs w:val="10.97827434539795"/>
          <w:u w:val="none"/>
          <w:shd w:fill="auto" w:val="clear"/>
          <w:vertAlign w:val="baseline"/>
          <w:rtl w:val="0"/>
        </w:rPr>
        <w:t xml:space="preserve">dissolution (if needed)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97827434539795"/>
          <w:szCs w:val="10.97827434539795"/>
          <w:u w:val="none"/>
          <w:shd w:fill="auto" w:val="clear"/>
          <w:vertAlign w:val="baseline"/>
        </w:rPr>
      </w:pPr>
      <w:r w:rsidDel="00000000" w:rsidR="00000000" w:rsidRPr="00000000">
        <w:rPr>
          <w:rFonts w:ascii="Calibri" w:cs="Calibri" w:eastAsia="Calibri" w:hAnsi="Calibri"/>
          <w:b w:val="0"/>
          <w:i w:val="0"/>
          <w:smallCaps w:val="0"/>
          <w:strike w:val="0"/>
          <w:color w:val="000000"/>
          <w:sz w:val="10.97827434539795"/>
          <w:szCs w:val="10.97827434539795"/>
          <w:u w:val="none"/>
          <w:shd w:fill="auto" w:val="clear"/>
          <w:vertAlign w:val="baseline"/>
          <w:rtl w:val="0"/>
        </w:rPr>
        <w:t xml:space="preserve">Zone of dilution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228759765625" w:line="240" w:lineRule="auto"/>
        <w:ind w:left="0" w:right="0" w:firstLine="0"/>
        <w:jc w:val="left"/>
        <w:rPr>
          <w:rFonts w:ascii="Calibri" w:cs="Calibri" w:eastAsia="Calibri" w:hAnsi="Calibri"/>
          <w:b w:val="0"/>
          <w:i w:val="0"/>
          <w:smallCaps w:val="0"/>
          <w:strike w:val="0"/>
          <w:color w:val="000000"/>
          <w:sz w:val="10.97827434539795"/>
          <w:szCs w:val="10.97827434539795"/>
          <w:u w:val="none"/>
          <w:shd w:fill="auto" w:val="clear"/>
          <w:vertAlign w:val="baseline"/>
        </w:rPr>
      </w:pPr>
      <w:r w:rsidDel="00000000" w:rsidR="00000000" w:rsidRPr="00000000">
        <w:rPr>
          <w:rFonts w:ascii="Calibri" w:cs="Calibri" w:eastAsia="Calibri" w:hAnsi="Calibri"/>
          <w:b w:val="0"/>
          <w:i w:val="0"/>
          <w:smallCaps w:val="0"/>
          <w:strike w:val="0"/>
          <w:color w:val="000000"/>
          <w:sz w:val="10.97827434539795"/>
          <w:szCs w:val="10.97827434539795"/>
          <w:u w:val="none"/>
          <w:shd w:fill="auto" w:val="clear"/>
          <w:vertAlign w:val="baseline"/>
          <w:rtl w:val="0"/>
        </w:rPr>
        <w:t xml:space="preserve">Zone of carbonation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946533203125" w:line="240" w:lineRule="auto"/>
        <w:ind w:left="0" w:right="0" w:firstLine="0"/>
        <w:jc w:val="left"/>
        <w:rPr>
          <w:rFonts w:ascii="Calibri" w:cs="Calibri" w:eastAsia="Calibri" w:hAnsi="Calibri"/>
          <w:b w:val="0"/>
          <w:i w:val="0"/>
          <w:smallCaps w:val="0"/>
          <w:strike w:val="0"/>
          <w:color w:val="000000"/>
          <w:sz w:val="10.97827434539795"/>
          <w:szCs w:val="10.97827434539795"/>
          <w:u w:val="none"/>
          <w:shd w:fill="auto" w:val="clear"/>
          <w:vertAlign w:val="baseline"/>
        </w:rPr>
      </w:pPr>
      <w:r w:rsidDel="00000000" w:rsidR="00000000" w:rsidRPr="00000000">
        <w:rPr>
          <w:rFonts w:ascii="Calibri" w:cs="Calibri" w:eastAsia="Calibri" w:hAnsi="Calibri"/>
          <w:b w:val="0"/>
          <w:i w:val="0"/>
          <w:smallCaps w:val="0"/>
          <w:strike w:val="0"/>
          <w:color w:val="000000"/>
          <w:sz w:val="10.97827434539795"/>
          <w:szCs w:val="10.97827434539795"/>
          <w:u w:val="none"/>
          <w:shd w:fill="auto" w:val="clear"/>
          <w:vertAlign w:val="baseline"/>
          <w:rtl w:val="0"/>
        </w:rPr>
        <w:t xml:space="preserve">Zone of ingasing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2713623046875" w:line="240" w:lineRule="auto"/>
        <w:ind w:left="0" w:right="0" w:firstLine="0"/>
        <w:jc w:val="left"/>
        <w:rPr>
          <w:rFonts w:ascii="Calibri" w:cs="Calibri" w:eastAsia="Calibri" w:hAnsi="Calibri"/>
          <w:b w:val="0"/>
          <w:i w:val="0"/>
          <w:smallCaps w:val="0"/>
          <w:strike w:val="0"/>
          <w:color w:val="000000"/>
          <w:sz w:val="10.200244903564453"/>
          <w:szCs w:val="10.200244903564453"/>
          <w:u w:val="none"/>
          <w:shd w:fill="auto" w:val="clear"/>
          <w:vertAlign w:val="baseline"/>
        </w:rPr>
      </w:pPr>
      <w:r w:rsidDel="00000000" w:rsidR="00000000" w:rsidRPr="00000000">
        <w:rPr>
          <w:rFonts w:ascii="Calibri" w:cs="Calibri" w:eastAsia="Calibri" w:hAnsi="Calibri"/>
          <w:b w:val="0"/>
          <w:i w:val="0"/>
          <w:smallCaps w:val="0"/>
          <w:strike w:val="0"/>
          <w:color w:val="000000"/>
          <w:sz w:val="17.000408172607422"/>
          <w:szCs w:val="17.000408172607422"/>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10.200244903564453"/>
          <w:szCs w:val="10.200244903564453"/>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7.000408172607422"/>
          <w:szCs w:val="17.000408172607422"/>
          <w:u w:val="none"/>
          <w:shd w:fill="auto" w:val="clear"/>
          <w:vertAlign w:val="subscript"/>
          <w:rtl w:val="0"/>
        </w:rPr>
        <w:t xml:space="preserve">ngas</w:t>
      </w:r>
      <w:r w:rsidDel="00000000" w:rsidR="00000000" w:rsidRPr="00000000">
        <w:rPr>
          <w:rFonts w:ascii="Calibri" w:cs="Calibri" w:eastAsia="Calibri" w:hAnsi="Calibri"/>
          <w:b w:val="0"/>
          <w:i w:val="0"/>
          <w:smallCaps w:val="0"/>
          <w:strike w:val="0"/>
          <w:color w:val="000000"/>
          <w:sz w:val="10.200244903564453"/>
          <w:szCs w:val="10.200244903564453"/>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7.000408172607422"/>
          <w:szCs w:val="17.000408172607422"/>
          <w:u w:val="none"/>
          <w:shd w:fill="auto" w:val="clear"/>
          <w:vertAlign w:val="subscript"/>
          <w:rtl w:val="0"/>
        </w:rPr>
        <w:t xml:space="preserve">n</w:t>
      </w:r>
      <w:r w:rsidDel="00000000" w:rsidR="00000000" w:rsidRPr="00000000">
        <w:rPr>
          <w:rFonts w:ascii="Calibri" w:cs="Calibri" w:eastAsia="Calibri" w:hAnsi="Calibri"/>
          <w:b w:val="0"/>
          <w:i w:val="0"/>
          <w:smallCaps w:val="0"/>
          <w:strike w:val="0"/>
          <w:color w:val="000000"/>
          <w:sz w:val="10.200244903564453"/>
          <w:szCs w:val="10.200244903564453"/>
          <w:u w:val="none"/>
          <w:shd w:fill="auto" w:val="clear"/>
          <w:vertAlign w:val="baseline"/>
          <w:rtl w:val="0"/>
        </w:rPr>
        <w:t xml:space="preserve">g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075311660766602"/>
          <w:szCs w:val="10.075311660766602"/>
          <w:u w:val="none"/>
          <w:shd w:fill="auto" w:val="clear"/>
          <w:vertAlign w:val="baseline"/>
        </w:rPr>
      </w:pPr>
      <w:r w:rsidDel="00000000" w:rsidR="00000000" w:rsidRPr="00000000">
        <w:rPr>
          <w:rFonts w:ascii="Calibri" w:cs="Calibri" w:eastAsia="Calibri" w:hAnsi="Calibri"/>
          <w:b w:val="0"/>
          <w:i w:val="0"/>
          <w:smallCaps w:val="0"/>
          <w:strike w:val="0"/>
          <w:color w:val="000000"/>
          <w:sz w:val="17.000408172607422"/>
          <w:szCs w:val="17.000408172607422"/>
          <w:u w:val="none"/>
          <w:shd w:fill="auto" w:val="clear"/>
          <w:vertAlign w:val="subscript"/>
          <w:rtl w:val="0"/>
        </w:rPr>
        <w:t xml:space="preserve">C</w:t>
      </w:r>
      <w:r w:rsidDel="00000000" w:rsidR="00000000" w:rsidRPr="00000000">
        <w:rPr>
          <w:rFonts w:ascii="Calibri" w:cs="Calibri" w:eastAsia="Calibri" w:hAnsi="Calibri"/>
          <w:b w:val="0"/>
          <w:i w:val="0"/>
          <w:smallCaps w:val="0"/>
          <w:strike w:val="0"/>
          <w:color w:val="000000"/>
          <w:sz w:val="10.200244903564453"/>
          <w:szCs w:val="10.200244903564453"/>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16.79218610127767"/>
          <w:szCs w:val="16.79218610127767"/>
          <w:u w:val="none"/>
          <w:shd w:fill="auto" w:val="clear"/>
          <w:vertAlign w:val="superscript"/>
          <w:rtl w:val="0"/>
        </w:rPr>
        <w:t xml:space="preserve">d</w:t>
      </w:r>
      <w:r w:rsidDel="00000000" w:rsidR="00000000" w:rsidRPr="00000000">
        <w:rPr>
          <w:rFonts w:ascii="Calibri" w:cs="Calibri" w:eastAsia="Calibri" w:hAnsi="Calibri"/>
          <w:b w:val="0"/>
          <w:i w:val="0"/>
          <w:smallCaps w:val="0"/>
          <w:strike w:val="0"/>
          <w:color w:val="000000"/>
          <w:sz w:val="10.075311660766602"/>
          <w:szCs w:val="10.075311660766602"/>
          <w:u w:val="none"/>
          <w:shd w:fill="auto" w:val="clear"/>
          <w:vertAlign w:val="baseline"/>
          <w:rtl w:val="0"/>
        </w:rPr>
        <w:t xml:space="preserve">il</w:t>
      </w:r>
      <w:r w:rsidDel="00000000" w:rsidR="00000000" w:rsidRPr="00000000">
        <w:rPr>
          <w:rFonts w:ascii="Calibri" w:cs="Calibri" w:eastAsia="Calibri" w:hAnsi="Calibri"/>
          <w:b w:val="0"/>
          <w:i w:val="0"/>
          <w:smallCaps w:val="0"/>
          <w:strike w:val="0"/>
          <w:color w:val="000000"/>
          <w:sz w:val="16.79218610127767"/>
          <w:szCs w:val="16.79218610127767"/>
          <w:u w:val="none"/>
          <w:shd w:fill="auto" w:val="clear"/>
          <w:vertAlign w:val="superscript"/>
          <w:rtl w:val="0"/>
        </w:rPr>
        <w:t xml:space="preserve">ut</w:t>
      </w:r>
      <w:r w:rsidDel="00000000" w:rsidR="00000000" w:rsidRPr="00000000">
        <w:rPr>
          <w:rFonts w:ascii="Calibri" w:cs="Calibri" w:eastAsia="Calibri" w:hAnsi="Calibri"/>
          <w:b w:val="0"/>
          <w:i w:val="0"/>
          <w:smallCaps w:val="0"/>
          <w:strike w:val="0"/>
          <w:color w:val="000000"/>
          <w:sz w:val="10.075311660766602"/>
          <w:szCs w:val="10.07531166076660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6.79218610127767"/>
          <w:szCs w:val="16.79218610127767"/>
          <w:u w:val="none"/>
          <w:shd w:fill="auto" w:val="clear"/>
          <w:vertAlign w:val="superscript"/>
          <w:rtl w:val="0"/>
        </w:rPr>
        <w:t xml:space="preserve">o</w:t>
      </w:r>
      <w:r w:rsidDel="00000000" w:rsidR="00000000" w:rsidRPr="00000000">
        <w:rPr>
          <w:rFonts w:ascii="Calibri" w:cs="Calibri" w:eastAsia="Calibri" w:hAnsi="Calibri"/>
          <w:b w:val="0"/>
          <w:i w:val="0"/>
          <w:smallCaps w:val="0"/>
          <w:strike w:val="0"/>
          <w:color w:val="000000"/>
          <w:sz w:val="10.075311660766602"/>
          <w:szCs w:val="10.075311660766602"/>
          <w:u w:val="none"/>
          <w:shd w:fill="auto" w:val="clear"/>
          <w:vertAlign w:val="baseline"/>
          <w:rtl w:val="0"/>
        </w:rPr>
        <w:t xml:space="preserve">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260498046875" w:line="735.5936622619629" w:lineRule="auto"/>
        <w:ind w:left="0" w:right="0" w:firstLine="0"/>
        <w:jc w:val="left"/>
        <w:rPr>
          <w:rFonts w:ascii="Calibri" w:cs="Calibri" w:eastAsia="Calibri" w:hAnsi="Calibri"/>
          <w:b w:val="0"/>
          <w:i w:val="1"/>
          <w:smallCaps w:val="0"/>
          <w:strike w:val="0"/>
          <w:color w:val="000000"/>
          <w:sz w:val="10.97827434539795"/>
          <w:szCs w:val="10.97827434539795"/>
          <w:u w:val="none"/>
          <w:shd w:fill="auto" w:val="clear"/>
          <w:vertAlign w:val="baseline"/>
        </w:rPr>
      </w:pPr>
      <w:r w:rsidDel="00000000" w:rsidR="00000000" w:rsidRPr="00000000">
        <w:rPr>
          <w:rFonts w:ascii="Calibri" w:cs="Calibri" w:eastAsia="Calibri" w:hAnsi="Calibri"/>
          <w:b w:val="0"/>
          <w:i w:val="1"/>
          <w:smallCaps w:val="0"/>
          <w:strike w:val="0"/>
          <w:color w:val="000000"/>
          <w:sz w:val="10.97827434539795"/>
          <w:szCs w:val="10.97827434539795"/>
          <w:u w:val="none"/>
          <w:shd w:fill="auto" w:val="clear"/>
          <w:vertAlign w:val="baseline"/>
          <w:rtl w:val="0"/>
        </w:rPr>
        <w:t xml:space="preserve">limit of detection due to analytical, sampling and baseline variability/imprecisionmean baseline seawater DIC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816097259521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780" w:top="710.599365234375" w:left="2026.7547607421875" w:right="1480.799560546875" w:header="0" w:footer="720"/>
          <w:cols w:equalWidth="0" w:num="3">
            <w:col w:space="0" w:w="2920"/>
            <w:col w:space="0" w:w="2920"/>
            <w:col w:space="0" w:w="292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5. Increase in DIC relative to  background resulting from the  ingassing of atmospheric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Integration of this measurement  over time and space allows for a  calculation of total CDR effected  (Fig. 7).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851623535156" w:line="240" w:lineRule="auto"/>
        <w:ind w:left="0" w:right="0" w:firstLine="0"/>
        <w:jc w:val="left"/>
        <w:rPr>
          <w:rFonts w:ascii="Calibri" w:cs="Calibri" w:eastAsia="Calibri" w:hAnsi="Calibri"/>
          <w:b w:val="0"/>
          <w:i w:val="0"/>
          <w:smallCaps w:val="0"/>
          <w:strike w:val="0"/>
          <w:color w:val="000000"/>
          <w:sz w:val="10.97827434539795"/>
          <w:szCs w:val="10.97827434539795"/>
          <w:u w:val="none"/>
          <w:shd w:fill="auto" w:val="clear"/>
          <w:vertAlign w:val="baseline"/>
        </w:rPr>
      </w:pPr>
      <w:r w:rsidDel="00000000" w:rsidR="00000000" w:rsidRPr="00000000">
        <w:rPr>
          <w:rFonts w:ascii="Calibri" w:cs="Calibri" w:eastAsia="Calibri" w:hAnsi="Calibri"/>
          <w:b w:val="0"/>
          <w:i w:val="0"/>
          <w:smallCaps w:val="0"/>
          <w:strike w:val="0"/>
          <w:color w:val="000000"/>
          <w:sz w:val="10.97827434539795"/>
          <w:szCs w:val="10.97827434539795"/>
          <w:u w:val="none"/>
          <w:shd w:fill="auto" w:val="clear"/>
          <w:vertAlign w:val="baseline"/>
          <w:rtl w:val="0"/>
        </w:rPr>
        <w:t xml:space="preserve">Point of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97827434539795"/>
          <w:szCs w:val="10.97827434539795"/>
          <w:u w:val="none"/>
          <w:shd w:fill="auto" w:val="clear"/>
          <w:vertAlign w:val="baseline"/>
        </w:rPr>
      </w:pPr>
      <w:r w:rsidDel="00000000" w:rsidR="00000000" w:rsidRPr="00000000">
        <w:rPr>
          <w:rFonts w:ascii="Calibri" w:cs="Calibri" w:eastAsia="Calibri" w:hAnsi="Calibri"/>
          <w:b w:val="0"/>
          <w:i w:val="0"/>
          <w:smallCaps w:val="0"/>
          <w:strike w:val="0"/>
          <w:color w:val="000000"/>
          <w:sz w:val="10.97827434539795"/>
          <w:szCs w:val="10.97827434539795"/>
          <w:u w:val="none"/>
          <w:shd w:fill="auto" w:val="clear"/>
          <w:vertAlign w:val="baseline"/>
          <w:rtl w:val="0"/>
        </w:rPr>
        <w:t xml:space="preserve">alkalinity addition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989501953125" w:line="240" w:lineRule="auto"/>
        <w:ind w:left="0" w:right="0" w:firstLine="0"/>
        <w:jc w:val="left"/>
        <w:rPr>
          <w:rFonts w:ascii="Noto Sans Symbols" w:cs="Noto Sans Symbols" w:eastAsia="Noto Sans Symbols" w:hAnsi="Noto Sans Symbols"/>
          <w:b w:val="0"/>
          <w:i w:val="0"/>
          <w:smallCaps w:val="0"/>
          <w:strike w:val="0"/>
          <w:color w:val="000000"/>
          <w:sz w:val="10.97827434539795"/>
          <w:szCs w:val="10.97827434539795"/>
          <w:u w:val="none"/>
          <w:shd w:fill="auto" w:val="clear"/>
          <w:vertAlign w:val="baseline"/>
        </w:rPr>
        <w:sectPr>
          <w:type w:val="continuous"/>
          <w:pgSz w:h="15840" w:w="12240" w:orient="portrait"/>
          <w:pgMar w:bottom="780" w:top="710.599365234375" w:left="2236.0707092285156" w:right="6636.79931640625" w:header="0" w:footer="720"/>
          <w:cols w:equalWidth="0" w:num="2">
            <w:col w:space="0" w:w="1700"/>
            <w:col w:space="0" w:w="1700"/>
          </w:cols>
        </w:sectPr>
      </w:pPr>
      <w:r w:rsidDel="00000000" w:rsidR="00000000" w:rsidRPr="00000000">
        <w:rPr>
          <w:rFonts w:ascii="Calibri" w:cs="Calibri" w:eastAsia="Calibri" w:hAnsi="Calibri"/>
          <w:b w:val="0"/>
          <w:i w:val="0"/>
          <w:smallCaps w:val="0"/>
          <w:strike w:val="0"/>
          <w:color w:val="000000"/>
          <w:sz w:val="10.97827434539795"/>
          <w:szCs w:val="10.97827434539795"/>
          <w:u w:val="none"/>
          <w:shd w:fill="auto" w:val="clear"/>
          <w:vertAlign w:val="baseline"/>
          <w:rtl w:val="0"/>
        </w:rPr>
        <w:t xml:space="preserve">Increasing time or distance </w:t>
      </w:r>
      <w:r w:rsidDel="00000000" w:rsidR="00000000" w:rsidRPr="00000000">
        <w:rPr>
          <w:rFonts w:ascii="Noto Sans Symbols" w:cs="Noto Sans Symbols" w:eastAsia="Noto Sans Symbols" w:hAnsi="Noto Sans Symbols"/>
          <w:b w:val="0"/>
          <w:i w:val="0"/>
          <w:smallCaps w:val="0"/>
          <w:strike w:val="0"/>
          <w:color w:val="000000"/>
          <w:sz w:val="10.97827434539795"/>
          <w:szCs w:val="10.9782743453979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1851501464844"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Rau et al., OAE MRV Concepts/Methods, Mar. 8, 2022, pg. 8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8.8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Planetary Technologies, Inc.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31982421875" w:line="240" w:lineRule="auto"/>
        <w:ind w:left="0" w:right="30.95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6. Possible volume of surface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-488313</wp:posOffset>
            </wp:positionV>
            <wp:extent cx="3615690" cy="1762760"/>
            <wp:effectExtent b="0" l="0" r="0" t="0"/>
            <wp:wrapSquare wrapText="right" distB="19050" distT="19050" distL="19050" distR="1905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15690" cy="1762760"/>
                    </a:xfrm>
                    <a:prstGeom prst="rect"/>
                    <a:ln/>
                  </pic:spPr>
                </pic:pic>
              </a:graphicData>
            </a:graphic>
          </wp:anchor>
        </w:draw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3359375" w:line="240" w:lineRule="auto"/>
        <w:ind w:left="0" w:right="4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seawater affected by OAE vs time or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3359375" w:line="240" w:lineRule="auto"/>
        <w:ind w:left="0" w:right="2763.3197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distance.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518798828125" w:line="240" w:lineRule="auto"/>
        <w:ind w:left="0" w:right="347.63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7. Cumulative DIC increase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-232281</wp:posOffset>
            </wp:positionV>
            <wp:extent cx="3615690" cy="1909445"/>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15690" cy="1909445"/>
                    </a:xfrm>
                    <a:prstGeom prst="rect"/>
                    <a:ln/>
                  </pic:spPr>
                </pic:pic>
              </a:graphicData>
            </a:graphic>
          </wp:anchor>
        </w:drawing>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654296875" w:line="240" w:lineRule="auto"/>
        <w:ind w:left="0" w:right="386.4001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 unit seawater volume (Fig. 5)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923828125" w:line="240" w:lineRule="auto"/>
        <w:ind w:left="0" w:right="741.71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combined with the volume of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8798828125" w:line="240" w:lineRule="auto"/>
        <w:ind w:left="0" w:right="183.479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seawater affected (Fig. 6) to yield 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0439453125" w:line="240" w:lineRule="auto"/>
        <w:ind w:left="0" w:right="397.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measure of total CDR by the OAE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0439453125" w:line="240" w:lineRule="auto"/>
        <w:ind w:left="0" w:right="502.71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(+/-uncertainty) as a function of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0439453125" w:line="240" w:lineRule="auto"/>
        <w:ind w:left="0" w:right="2195.39978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distance/time.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1982421875" w:line="240" w:lineRule="auto"/>
        <w:ind w:left="205.0599670410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0439453125" w:line="246.23528480529785" w:lineRule="auto"/>
        <w:ind w:left="559.8001098632812" w:right="129.078369140625" w:hanging="367.22015380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Albright, R., Caldeira, C., Hosfelt, J., Kwiatkowski, L., Mclaren, J.K. et al. 2016. Reversal of ocean  acidification enhances net coral reef calcification.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Nature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531:362–365.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6923828125" w:line="245.7344913482666" w:lineRule="auto"/>
        <w:ind w:left="549.4801330566406" w:right="126.119384765625" w:hanging="356.900177001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Archer D, et al. 2009. Atmospheric lifetime of fossil fuel carbon dioxide.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Ann. Rev. Earth Planet.  Sci.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37:117–134.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4013671875" w:line="241.57001495361328" w:lineRule="auto"/>
        <w:ind w:left="560.2801513671875" w:right="293.3984375" w:hanging="351.6201782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Dickson, A.G., Sabine, C.L. and Christian, J.R., editors. 2007. Guide to Best Practices for Ocean  CO</w:t>
      </w:r>
      <w:r w:rsidDel="00000000" w:rsidR="00000000" w:rsidRPr="00000000">
        <w:rPr>
          <w:rFonts w:ascii="Calibri" w:cs="Calibri" w:eastAsia="Calibri" w:hAnsi="Calibri"/>
          <w:b w:val="0"/>
          <w:i w:val="0"/>
          <w:smallCaps w:val="0"/>
          <w:strike w:val="0"/>
          <w:color w:val="000000"/>
          <w:sz w:val="26.666666666666668"/>
          <w:szCs w:val="26.66666666666666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Measurements. PICES Special Publication 3, 191 pp.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357521057129" w:lineRule="auto"/>
        <w:ind w:left="208.65997314453125" w:right="134.7998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Middelburg, J. J., Soetaert, K., and Hagens, M. 2020. Ocean alkalinity, buffering and  biogeochemical processes.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Rev. Geophys.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58:e2019RG000681. doi: 10.1029/2019RG000681 National Academies of Sciences, Engineering, and Medicine. 2021.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 Research Strategy for  Ocean-based Carbon Dioxide Removal and Sequestration.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Washington, DC: The National Academies Press. https://doi.org/10.17226/26278.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38720703125" w:line="242.0697784423828" w:lineRule="auto"/>
        <w:ind w:left="561.9601440429688" w:right="172.960205078125" w:hanging="353.3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Renforth, P. and Henderson, G. 2017. Assessing ocean alkalinity for carbon sequestration.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Rev.  Geophys.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55:636–674.</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8504028320312"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Rau et al., OAE MRV Concepts/Methods, Mar. 8, 2022, pg. 9 </w:t>
      </w:r>
    </w:p>
    <w:sectPr>
      <w:type w:val="continuous"/>
      <w:pgSz w:h="15840" w:w="12240" w:orient="portrait"/>
      <w:pgMar w:bottom="780" w:top="710.599365234375" w:left="1251.9999694824219" w:right="1382.80029296875" w:header="0" w:footer="720"/>
      <w:cols w:equalWidth="0" w:num="1">
        <w:col w:space="0" w:w="9605.19973754882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