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f4e79"/>
          <w:sz w:val="32"/>
          <w:szCs w:val="32"/>
          <w:u w:color="1f4e79"/>
          <w:rtl w:val="0"/>
          <w:lang w:val="en-US"/>
          <w14:textFill>
            <w14:solidFill>
              <w14:srgbClr w14:val="1F4E79"/>
            </w14:solidFill>
          </w14:textFill>
        </w:rPr>
        <w:t>CESM Solar Geometry and the sun_shade Input File: Handling of Earth</w:t>
      </w:r>
      <w:r>
        <w:rPr>
          <w:rFonts w:ascii="Arial" w:hAnsi="Arial" w:hint="default"/>
          <w:b w:val="1"/>
          <w:bCs w:val="1"/>
          <w:outline w:val="0"/>
          <w:color w:val="1f4e79"/>
          <w:sz w:val="32"/>
          <w:szCs w:val="32"/>
          <w:u w:color="1f4e79"/>
          <w:rtl w:val="1"/>
          <w14:textFill>
            <w14:solidFill>
              <w14:srgbClr w14:val="1F4E79"/>
            </w14:solidFill>
          </w14:textFill>
        </w:rPr>
        <w:t>’</w:t>
      </w:r>
      <w:r>
        <w:rPr>
          <w:rFonts w:ascii="Arial" w:hAnsi="Arial"/>
          <w:b w:val="1"/>
          <w:bCs w:val="1"/>
          <w:outline w:val="0"/>
          <w:color w:val="1f4e79"/>
          <w:sz w:val="32"/>
          <w:szCs w:val="32"/>
          <w:u w:color="1f4e79"/>
          <w:rtl w:val="0"/>
          <w:lang w:val="en-US"/>
          <w14:textFill>
            <w14:solidFill>
              <w14:srgbClr w14:val="1F4E79"/>
            </w14:solidFill>
          </w14:textFill>
        </w:rPr>
        <w:t>s Axial Tilt</w:t>
      </w:r>
    </w:p>
    <w:p>
      <w:pPr>
        <w:pStyle w:val="Body"/>
        <w:bidi w:val="0"/>
      </w:pPr>
      <w:r>
        <w:rPr>
          <w:rFonts w:ascii="Arial" w:hAnsi="Arial"/>
          <w:outline w:val="0"/>
          <w:color w:val="888888"/>
          <w:sz w:val="20"/>
          <w:szCs w:val="20"/>
          <w:u w:color="888888"/>
          <w:rtl w:val="0"/>
          <w:lang w:val="en-US"/>
          <w14:textFill>
            <w14:solidFill>
              <w14:srgbClr w14:val="888888"/>
            </w14:solidFill>
          </w14:textFill>
        </w:rPr>
        <w:t xml:space="preserve">Planetary Sunshade Institute  </w:t>
      </w:r>
      <w:r>
        <w:rPr>
          <w:rFonts w:ascii="Arial" w:hAnsi="Arial" w:hint="default"/>
          <w:outline w:val="0"/>
          <w:color w:val="888888"/>
          <w:sz w:val="20"/>
          <w:szCs w:val="20"/>
          <w:u w:color="888888"/>
          <w:rtl w:val="0"/>
          <w:lang w:val="en-US"/>
          <w14:textFill>
            <w14:solidFill>
              <w14:srgbClr w14:val="888888"/>
            </w14:solidFill>
          </w14:textFill>
        </w:rPr>
        <w:t xml:space="preserve">—  </w:t>
      </w:r>
      <w:r>
        <w:rPr>
          <w:rFonts w:ascii="Arial" w:hAnsi="Arial"/>
          <w:i w:val="1"/>
          <w:iCs w:val="1"/>
          <w:outline w:val="0"/>
          <w:color w:val="888888"/>
          <w:sz w:val="20"/>
          <w:szCs w:val="20"/>
          <w:u w:color="888888"/>
          <w:rtl w:val="0"/>
          <w:lang w:val="en-US"/>
          <w14:textFill>
            <w14:solidFill>
              <w14:srgbClr w14:val="888888"/>
            </w14:solidFill>
          </w14:textFill>
        </w:rPr>
        <w:t>Science Team Reference Document</w:t>
      </w:r>
    </w:p>
    <w:p>
      <w:pPr>
        <w:pStyle w:val="Body"/>
        <w:bidi w:val="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Summary</w:t>
      </w:r>
    </w:p>
    <w:p>
      <w:pPr>
        <w:pStyle w:val="Heading"/>
        <w:pBdr>
          <w:top w:val="nil"/>
          <w:left w:val="nil"/>
          <w:bottom w:val="single" w:color="2e75b6" w:sz="6" w:space="0" w:shadow="0" w:frame="0"/>
          <w:right w:val="nil"/>
        </w:pBdr>
      </w:pPr>
      <w:r>
        <w:rPr>
          <w:outline w:val="0"/>
          <w:color w:val="404040"/>
          <w:sz w:val="22"/>
          <w:szCs w:val="22"/>
          <w:u w:color="404040"/>
          <w:rtl w:val="0"/>
          <w:lang w:val="en-US"/>
          <w14:textFill>
            <w14:solidFill>
              <w14:srgbClr w14:val="404040"/>
            </w14:solidFill>
          </w14:textFill>
        </w:rPr>
        <w:t>This note addresses a specific question raised during input file preparation: whether the seasonal migration of the sub-stellar point (driven by Earth</w:t>
      </w:r>
      <w:r>
        <w:rPr>
          <w:outline w:val="0"/>
          <w:color w:val="404040"/>
          <w:sz w:val="22"/>
          <w:szCs w:val="22"/>
          <w:u w:color="404040"/>
          <w:rtl w:val="1"/>
          <w14:textFill>
            <w14:solidFill>
              <w14:srgbClr w14:val="404040"/>
            </w14:solidFill>
          </w14:textFill>
        </w:rPr>
        <w:t>’</w:t>
      </w:r>
      <w:r>
        <w:rPr>
          <w:outline w:val="0"/>
          <w:color w:val="404040"/>
          <w:sz w:val="22"/>
          <w:szCs w:val="22"/>
          <w:u w:color="404040"/>
          <w:rtl w:val="0"/>
          <w:lang w:val="pt-PT"/>
          <w14:textFill>
            <w14:solidFill>
              <w14:srgbClr w14:val="404040"/>
            </w14:solidFill>
          </w14:textFill>
        </w:rPr>
        <w:t>s 23.44</w:t>
      </w:r>
      <w:r>
        <w:rPr>
          <w:outline w:val="0"/>
          <w:color w:val="404040"/>
          <w:sz w:val="22"/>
          <w:szCs w:val="22"/>
          <w:u w:color="404040"/>
          <w:rtl w:val="0"/>
          <w:lang w:val="it-IT"/>
          <w14:textFill>
            <w14:solidFill>
              <w14:srgbClr w14:val="404040"/>
            </w14:solidFill>
          </w14:textFill>
        </w:rPr>
        <w:t xml:space="preserve">° </w:t>
      </w:r>
      <w:r>
        <w:rPr>
          <w:outline w:val="0"/>
          <w:color w:val="404040"/>
          <w:sz w:val="22"/>
          <w:szCs w:val="22"/>
          <w:u w:color="404040"/>
          <w:rtl w:val="0"/>
          <w:lang w:val="en-US"/>
          <w14:textFill>
            <w14:solidFill>
              <w14:srgbClr w14:val="404040"/>
            </w14:solidFill>
          </w14:textFill>
        </w:rPr>
        <w:t xml:space="preserve">axial tilt) must be encoded in the </w:t>
      </w:r>
      <w:r>
        <w:rPr>
          <w:rFonts w:ascii="Courier New" w:hAnsi="Courier New"/>
          <w:outline w:val="0"/>
          <w:color w:val="c7254e"/>
          <w:sz w:val="22"/>
          <w:szCs w:val="22"/>
          <w:u w:color="c7254e"/>
          <w:rtl w:val="0"/>
          <w:lang w:val="en-US"/>
          <w14:textFill>
            <w14:solidFill>
              <w14:srgbClr w14:val="C7254E"/>
            </w14:solidFill>
          </w14:textFill>
        </w:rPr>
        <w:t>sun_shade</w:t>
      </w:r>
      <w:r>
        <w:rPr>
          <w:outline w:val="0"/>
          <w:color w:val="404040"/>
          <w:sz w:val="22"/>
          <w:szCs w:val="22"/>
          <w:u w:color="404040"/>
          <w:rtl w:val="0"/>
          <w:lang w:val="en-US"/>
          <w14:textFill>
            <w14:solidFill>
              <w14:srgbClr w14:val="404040"/>
            </w14:solidFill>
          </w14:textFill>
        </w:rPr>
        <w:t xml:space="preserve"> input files, or whether CESM handles this automatically.</w:t>
      </w:r>
    </w:p>
    <w:p>
      <w:pPr>
        <w:pStyle w:val="Heading"/>
        <w:pBdr>
          <w:top w:val="nil"/>
          <w:left w:val="nil"/>
          <w:bottom w:val="single" w:color="2e75b6"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48" w:hRule="atLeast"/>
        </w:trPr>
        <w:tc>
          <w:tcPr>
            <w:tcW w:type="dxa" w:w="9360"/>
            <w:tcBorders>
              <w:top w:val="single" w:color="bdd7ee" w:sz="1" w:space="0" w:shadow="0" w:frame="0"/>
              <w:left w:val="single" w:color="2e75b6" w:sz="18" w:space="0" w:shadow="0" w:frame="0"/>
              <w:bottom w:val="single" w:color="bdd7ee" w:sz="1" w:space="0" w:shadow="0" w:frame="0"/>
              <w:right w:val="single" w:color="bdd7ee"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Key Finding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shd w:val="nil" w:color="auto" w:fill="auto"/>
                <w:rtl w:val="0"/>
                <w:lang w:val="en-US"/>
                <w14:textFill>
                  <w14:solidFill>
                    <w14:srgbClr w14:val="404040"/>
                  </w14:solidFill>
                </w14:textFill>
              </w:rPr>
              <w:t>CESM fully accounts for Earth</w:t>
            </w:r>
            <w:r>
              <w:rPr>
                <w:rFonts w:ascii="Arial" w:hAnsi="Arial" w:hint="default"/>
                <w:outline w:val="0"/>
                <w:color w:val="404040"/>
                <w:sz w:val="20"/>
                <w:szCs w:val="20"/>
                <w:u w:color="404040"/>
                <w:shd w:val="nil" w:color="auto" w:fill="auto"/>
                <w:rtl w:val="1"/>
                <w14:textFill>
                  <w14:solidFill>
                    <w14:srgbClr w14:val="404040"/>
                  </w14:solidFill>
                </w14:textFill>
              </w:rPr>
              <w:t>’</w:t>
            </w:r>
            <w:r>
              <w:rPr>
                <w:rFonts w:ascii="Arial" w:hAnsi="Arial"/>
                <w:outline w:val="0"/>
                <w:color w:val="404040"/>
                <w:sz w:val="20"/>
                <w:szCs w:val="20"/>
                <w:u w:color="404040"/>
                <w:shd w:val="nil" w:color="auto" w:fill="auto"/>
                <w:rtl w:val="0"/>
                <w:lang w:val="en-US"/>
                <w14:textFill>
                  <w14:solidFill>
                    <w14:srgbClr w14:val="404040"/>
                  </w14:solidFill>
                </w14:textFill>
              </w:rPr>
              <w:t xml:space="preserve">s axial tilt through its internal orbital geometry library. The </w:t>
            </w:r>
            <w:r>
              <w:rPr>
                <w:rFonts w:ascii="Courier New" w:hAnsi="Courier New"/>
                <w:outline w:val="0"/>
                <w:color w:val="404040"/>
                <w:sz w:val="20"/>
                <w:szCs w:val="20"/>
                <w:u w:color="404040"/>
                <w:shd w:val="nil" w:color="auto" w:fill="auto"/>
                <w:rtl w:val="0"/>
                <w:lang w:val="en-US"/>
                <w14:textFill>
                  <w14:solidFill>
                    <w14:srgbClr w14:val="404040"/>
                  </w14:solidFill>
                </w14:textFill>
              </w:rPr>
              <w:t>sun_shade</w:t>
            </w:r>
            <w:r>
              <w:rPr>
                <w:rFonts w:ascii="Arial" w:hAnsi="Arial"/>
                <w:outline w:val="0"/>
                <w:color w:val="404040"/>
                <w:sz w:val="20"/>
                <w:szCs w:val="20"/>
                <w:u w:color="404040"/>
                <w:shd w:val="nil" w:color="auto" w:fill="auto"/>
                <w:rtl w:val="0"/>
                <w:lang w:val="en-US"/>
                <w14:textFill>
                  <w14:solidFill>
                    <w14:srgbClr w14:val="404040"/>
                  </w14:solidFill>
                </w14:textFill>
              </w:rPr>
              <w:t xml:space="preserve"> input files do not need to encode the seasonal movement of the sub-stellar point. The seasonal variation in where solar energy is deposited on Earth</w:t>
            </w:r>
            <w:r>
              <w:rPr>
                <w:rFonts w:ascii="Arial" w:hAnsi="Arial" w:hint="default"/>
                <w:outline w:val="0"/>
                <w:color w:val="404040"/>
                <w:sz w:val="20"/>
                <w:szCs w:val="20"/>
                <w:u w:color="404040"/>
                <w:shd w:val="nil" w:color="auto" w:fill="auto"/>
                <w:rtl w:val="1"/>
                <w14:textFill>
                  <w14:solidFill>
                    <w14:srgbClr w14:val="404040"/>
                  </w14:solidFill>
                </w14:textFill>
              </w:rPr>
              <w:t>’</w:t>
            </w:r>
            <w:r>
              <w:rPr>
                <w:rFonts w:ascii="Arial" w:hAnsi="Arial"/>
                <w:outline w:val="0"/>
                <w:color w:val="404040"/>
                <w:sz w:val="20"/>
                <w:szCs w:val="20"/>
                <w:u w:color="404040"/>
                <w:shd w:val="nil" w:color="auto" w:fill="auto"/>
                <w:rtl w:val="0"/>
                <w:lang w:val="en-US"/>
                <w14:textFill>
                  <w14:solidFill>
                    <w14:srgbClr w14:val="404040"/>
                  </w14:solidFill>
                </w14:textFill>
              </w:rPr>
              <w:t>s surface is handled downstream of the shading factor, within the model</w:t>
            </w:r>
            <w:r>
              <w:rPr>
                <w:rFonts w:ascii="Arial" w:hAnsi="Arial" w:hint="default"/>
                <w:outline w:val="0"/>
                <w:color w:val="404040"/>
                <w:sz w:val="20"/>
                <w:szCs w:val="20"/>
                <w:u w:color="404040"/>
                <w:shd w:val="nil" w:color="auto" w:fill="auto"/>
                <w:rtl w:val="1"/>
                <w14:textFill>
                  <w14:solidFill>
                    <w14:srgbClr w14:val="404040"/>
                  </w14:solidFill>
                </w14:textFill>
              </w:rPr>
              <w:t>’</w:t>
            </w:r>
            <w:r>
              <w:rPr>
                <w:rFonts w:ascii="Arial" w:hAnsi="Arial"/>
                <w:outline w:val="0"/>
                <w:color w:val="404040"/>
                <w:sz w:val="20"/>
                <w:szCs w:val="20"/>
                <w:u w:color="404040"/>
                <w:shd w:val="nil" w:color="auto" w:fill="auto"/>
                <w:rtl w:val="0"/>
                <w:lang w:val="en-US"/>
                <w14:textFill>
                  <w14:solidFill>
                    <w14:srgbClr w14:val="404040"/>
                  </w14:solidFill>
                </w14:textFill>
              </w:rPr>
              <w:t>s existing radiation pipeline.</w:t>
            </w:r>
          </w:p>
        </w:tc>
      </w:tr>
    </w:tbl>
    <w:p>
      <w:pPr>
        <w:pStyle w:val="Heading"/>
        <w:widowControl w:val="0"/>
      </w:pPr>
    </w:p>
    <w:p>
      <w:pPr>
        <w:pStyle w:val="Heading"/>
        <w:widowControl w:val="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Background: CESM Solar Geometry</w:t>
      </w:r>
    </w:p>
    <w:p>
      <w:pPr>
        <w:pStyle w:val="Heading 2"/>
      </w:pPr>
      <w:r>
        <w:rPr>
          <w:outline w:val="0"/>
          <w:color w:val="2e75b6"/>
          <w:u w:color="2e75b6"/>
          <w:rtl w:val="0"/>
          <w:lang w:val="en-US"/>
          <w14:textFill>
            <w14:solidFill>
              <w14:srgbClr w14:val="2E75B6"/>
            </w14:solidFill>
          </w14:textFill>
        </w:rPr>
        <w:t>The shr_orb_cosz Function</w:t>
      </w:r>
    </w:p>
    <w:p>
      <w:pPr>
        <w:pStyle w:val="Heading 2"/>
      </w:pPr>
      <w:r>
        <w:rPr>
          <w:outline w:val="0"/>
          <w:color w:val="404040"/>
          <w:sz w:val="22"/>
          <w:szCs w:val="22"/>
          <w:u w:color="404040"/>
          <w:rtl w:val="0"/>
          <w:lang w:val="en-US"/>
          <w14:textFill>
            <w14:solidFill>
              <w14:srgbClr w14:val="404040"/>
            </w14:solidFill>
          </w14:textFill>
        </w:rPr>
        <w:t>CESM computes the cosine of the solar zenith angle for every atmospheric column at every timestep using a shared orbital library function, . The core formula, taken directly from the CESM shared source, is:</w:t>
      </w:r>
    </w:p>
    <w:p>
      <w:pPr>
        <w:pStyle w:val="Heading 2"/>
      </w:pP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en-US"/>
          <w14:textFill>
            <w14:solidFill>
              <w14:srgbClr w14:val="9CDCFE"/>
            </w14:solidFill>
          </w14:textFill>
        </w:rPr>
        <w:t>shr_orb_cosz = sin(lat)*sin(declin)</w:t>
      </w:r>
    </w:p>
    <w:p>
      <w:pPr>
        <w:pStyle w:val="Heading 2"/>
      </w:pPr>
      <w:r>
        <w:rPr>
          <w:rFonts w:ascii="Courier New" w:hAnsi="Courier New"/>
          <w:outline w:val="0"/>
          <w:color w:val="9cdcfe"/>
          <w:sz w:val="18"/>
          <w:szCs w:val="18"/>
          <w:u w:color="9cdcfe"/>
          <w:rtl w:val="0"/>
          <w14:textFill>
            <w14:solidFill>
              <w14:srgbClr w14:val="9CDCFE"/>
            </w14:solidFill>
          </w14:textFill>
        </w:rPr>
        <w:t xml:space="preserve">             - cos(lat)*cos(declin)*cos(jday*2</w:t>
      </w:r>
      <w:r>
        <w:rPr>
          <w:rFonts w:ascii="Courier New" w:hAnsi="Courier New" w:hint="default"/>
          <w:outline w:val="0"/>
          <w:color w:val="9cdcfe"/>
          <w:sz w:val="18"/>
          <w:szCs w:val="18"/>
          <w:u w:color="9cdcfe"/>
          <w:rtl w:val="0"/>
          <w14:textFill>
            <w14:solidFill>
              <w14:srgbClr w14:val="9CDCFE"/>
            </w14:solidFill>
          </w14:textFill>
        </w:rPr>
        <w:t xml:space="preserve">π </w:t>
      </w:r>
      <w:r>
        <w:rPr>
          <w:rFonts w:ascii="Courier New" w:hAnsi="Courier New"/>
          <w:outline w:val="0"/>
          <w:color w:val="9cdcfe"/>
          <w:sz w:val="18"/>
          <w:szCs w:val="18"/>
          <w:u w:color="9cdcfe"/>
          <w:rtl w:val="0"/>
          <w14:textFill>
            <w14:solidFill>
              <w14:srgbClr w14:val="9CDCFE"/>
            </w14:solidFill>
          </w14:textFill>
        </w:rPr>
        <w:t>+ lon)</w:t>
      </w:r>
    </w:p>
    <w:p>
      <w:pPr>
        <w:pStyle w:val="Heading 2"/>
      </w:pPr>
    </w:p>
    <w:p>
      <w:pPr>
        <w:pStyle w:val="Heading 2"/>
      </w:pPr>
      <w:r>
        <w:rPr>
          <w:outline w:val="0"/>
          <w:color w:val="404040"/>
          <w:sz w:val="22"/>
          <w:szCs w:val="22"/>
          <w:u w:color="404040"/>
          <w:rtl w:val="0"/>
          <w:lang w:val="en-US"/>
          <w14:textFill>
            <w14:solidFill>
              <w14:srgbClr w14:val="404040"/>
            </w14:solidFill>
          </w14:textFill>
        </w:rPr>
        <w:t xml:space="preserve">This is the standard spherical trigonometry expression for solar zenith angle. The variable  is the solar declination angle </w:t>
      </w:r>
      <w:r>
        <w:rPr>
          <w:outline w:val="0"/>
          <w:color w:val="404040"/>
          <w:sz w:val="22"/>
          <w:szCs w:val="22"/>
          <w:u w:color="404040"/>
          <w:rtl w:val="0"/>
          <w:lang w:val="en-US"/>
          <w14:textFill>
            <w14:solidFill>
              <w14:srgbClr w14:val="404040"/>
            </w14:solidFill>
          </w14:textFill>
        </w:rPr>
        <w:t xml:space="preserve">— </w:t>
      </w:r>
      <w:r>
        <w:rPr>
          <w:outline w:val="0"/>
          <w:color w:val="404040"/>
          <w:sz w:val="22"/>
          <w:szCs w:val="22"/>
          <w:u w:color="404040"/>
          <w:rtl w:val="0"/>
          <w:lang w:val="en-US"/>
          <w14:textFill>
            <w14:solidFill>
              <w14:srgbClr w14:val="404040"/>
            </w14:solidFill>
          </w14:textFill>
        </w:rPr>
        <w:t xml:space="preserve">the latitude of the sub-stellar point </w:t>
      </w:r>
      <w:r>
        <w:rPr>
          <w:outline w:val="0"/>
          <w:color w:val="404040"/>
          <w:sz w:val="22"/>
          <w:szCs w:val="22"/>
          <w:u w:color="404040"/>
          <w:rtl w:val="0"/>
          <w:lang w:val="en-US"/>
          <w14:textFill>
            <w14:solidFill>
              <w14:srgbClr w14:val="404040"/>
            </w14:solidFill>
          </w14:textFill>
        </w:rPr>
        <w:t xml:space="preserve">— </w:t>
      </w:r>
      <w:r>
        <w:rPr>
          <w:outline w:val="0"/>
          <w:color w:val="404040"/>
          <w:sz w:val="22"/>
          <w:szCs w:val="22"/>
          <w:u w:color="404040"/>
          <w:rtl w:val="0"/>
          <w:lang w:val="en-US"/>
          <w14:textFill>
            <w14:solidFill>
              <w14:srgbClr w14:val="404040"/>
            </w14:solidFill>
          </w14:textFill>
        </w:rPr>
        <w:t>computed separately by  as a function of day-of-year and the full set of orbital parameters, including obliquity (Earth</w:t>
      </w:r>
      <w:r>
        <w:rPr>
          <w:outline w:val="0"/>
          <w:color w:val="404040"/>
          <w:sz w:val="22"/>
          <w:szCs w:val="22"/>
          <w:u w:color="404040"/>
          <w:rtl w:val="1"/>
          <w14:textFill>
            <w14:solidFill>
              <w14:srgbClr w14:val="404040"/>
            </w14:solidFill>
          </w14:textFill>
        </w:rPr>
        <w:t>’</w:t>
      </w:r>
      <w:r>
        <w:rPr>
          <w:outline w:val="0"/>
          <w:color w:val="404040"/>
          <w:sz w:val="22"/>
          <w:szCs w:val="22"/>
          <w:u w:color="404040"/>
          <w:rtl w:val="0"/>
          <w:lang w:val="en-US"/>
          <w14:textFill>
            <w14:solidFill>
              <w14:srgbClr w14:val="404040"/>
            </w14:solidFill>
          </w14:textFill>
        </w:rPr>
        <w:t>s axial tilt, presently ~23.44</w:t>
      </w:r>
      <w:r>
        <w:rPr>
          <w:outline w:val="0"/>
          <w:color w:val="404040"/>
          <w:sz w:val="22"/>
          <w:szCs w:val="22"/>
          <w:u w:color="404040"/>
          <w:rtl w:val="0"/>
          <w:lang w:val="it-IT"/>
          <w14:textFill>
            <w14:solidFill>
              <w14:srgbClr w14:val="404040"/>
            </w14:solidFill>
          </w14:textFill>
        </w:rPr>
        <w:t>°</w:t>
      </w:r>
      <w:r>
        <w:rPr>
          <w:outline w:val="0"/>
          <w:color w:val="404040"/>
          <w:sz w:val="22"/>
          <w:szCs w:val="22"/>
          <w:u w:color="404040"/>
          <w:rtl w:val="0"/>
          <w:lang w:val="en-US"/>
          <w14:textFill>
            <w14:solidFill>
              <w14:srgbClr w14:val="404040"/>
            </w14:solidFill>
          </w14:textFill>
        </w:rPr>
        <w:t>), eccentricity, and the longitude of the moving vernal equinox.</w:t>
      </w:r>
    </w:p>
    <w:p>
      <w:pPr>
        <w:pStyle w:val="Heading 2"/>
      </w:pPr>
      <w:r>
        <w:rPr>
          <w:outline w:val="0"/>
          <w:color w:val="404040"/>
          <w:sz w:val="22"/>
          <w:szCs w:val="22"/>
          <w:u w:color="404040"/>
          <w:rtl w:val="0"/>
          <w:lang w:val="en-US"/>
          <w14:textFill>
            <w14:solidFill>
              <w14:srgbClr w14:val="404040"/>
            </w14:solidFill>
          </w14:textFill>
        </w:rPr>
        <w:t>As a result, for every grid column, CESM has at every timestep:</w:t>
      </w:r>
    </w:p>
    <w:p>
      <w:pPr>
        <w:pStyle w:val="List Paragraph"/>
        <w:numPr>
          <w:ilvl w:val="0"/>
          <w:numId w:val="2"/>
        </w:numPr>
        <w:spacing w:before="60" w:after="40"/>
        <w:rPr>
          <w:sz w:val="22"/>
          <w:szCs w:val="22"/>
          <w:lang w:val="en-US"/>
        </w:rPr>
      </w:pPr>
      <w:r>
        <w:rPr>
          <w:rFonts w:ascii="Arial" w:hAnsi="Arial"/>
          <w:outline w:val="0"/>
          <w:color w:val="404040"/>
          <w:sz w:val="22"/>
          <w:szCs w:val="22"/>
          <w:u w:color="404040"/>
          <w:rtl w:val="0"/>
          <w:lang w:val="en-US"/>
          <w14:textFill>
            <w14:solidFill>
              <w14:srgbClr w14:val="404040"/>
            </w14:solidFill>
          </w14:textFill>
        </w:rPr>
        <w:t>The current solar declination (i.e., the latitudinal position of the sub-stellar point), and</w:t>
      </w:r>
    </w:p>
    <w:p>
      <w:pPr>
        <w:pStyle w:val="List Paragraph"/>
        <w:numPr>
          <w:ilvl w:val="0"/>
          <w:numId w:val="2"/>
        </w:numPr>
        <w:spacing w:before="40" w:after="120"/>
        <w:rPr>
          <w:sz w:val="22"/>
          <w:szCs w:val="22"/>
          <w:lang w:val="en-US"/>
        </w:rPr>
      </w:pPr>
      <w:r>
        <w:rPr>
          <w:rFonts w:ascii="Arial" w:hAnsi="Arial"/>
          <w:outline w:val="0"/>
          <w:color w:val="404040"/>
          <w:sz w:val="22"/>
          <w:szCs w:val="22"/>
          <w:u w:color="404040"/>
          <w:rtl w:val="0"/>
          <w:lang w:val="en-US"/>
          <w14:textFill>
            <w14:solidFill>
              <w14:srgbClr w14:val="404040"/>
            </w14:solidFill>
          </w14:textFill>
        </w:rPr>
        <w:t>The solar zenith angle for that column</w:t>
      </w:r>
      <w:r>
        <w:rPr>
          <w:rFonts w:ascii="Arial" w:hAnsi="Arial" w:hint="default"/>
          <w:outline w:val="0"/>
          <w:color w:val="404040"/>
          <w:sz w:val="22"/>
          <w:szCs w:val="22"/>
          <w:u w:color="404040"/>
          <w:rtl w:val="1"/>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s specific latitude and longitude.</w:t>
      </w:r>
    </w:p>
    <w:p>
      <w:pPr>
        <w:pStyle w:val="List Paragraph"/>
        <w:spacing w:before="40" w:after="120"/>
      </w:pPr>
    </w:p>
    <w:p>
      <w:pPr>
        <w:pStyle w:val="Heading 2"/>
      </w:pPr>
      <w:r>
        <w:rPr>
          <w:outline w:val="0"/>
          <w:color w:val="2e75b6"/>
          <w:u w:color="2e75b6"/>
          <w:rtl w:val="0"/>
          <w:lang w:val="en-US"/>
          <w14:textFill>
            <w14:solidFill>
              <w14:srgbClr w14:val="2E75B6"/>
            </w14:solidFill>
          </w14:textFill>
        </w:rPr>
        <w:t>How Zenith Angle Enters the Radiation Calculation</w:t>
      </w:r>
    </w:p>
    <w:p>
      <w:pPr>
        <w:pStyle w:val="Heading 2"/>
      </w:pPr>
      <w:r>
        <w:rPr>
          <w:outline w:val="0"/>
          <w:color w:val="404040"/>
          <w:sz w:val="22"/>
          <w:szCs w:val="22"/>
          <w:u w:color="404040"/>
          <w:rtl w:val="0"/>
          <w:lang w:val="en-US"/>
          <w14:textFill>
            <w14:solidFill>
              <w14:srgbClr w14:val="404040"/>
            </w14:solidFill>
          </w14:textFill>
        </w:rPr>
        <w:t>The zenith angle feeds directly into the shortwave radiation scheme. In  (the RRTMG shortwave interface), the top-of-atmosphere insolation for each column is computed as:</w:t>
      </w:r>
    </w:p>
    <w:p>
      <w:pPr>
        <w:pStyle w:val="Heading 2"/>
      </w:pPr>
    </w:p>
    <w:p>
      <w:pPr>
        <w:pStyle w:val="Heading 2"/>
      </w:pPr>
      <w:r>
        <w:rPr>
          <w:rFonts w:ascii="Courier New" w:hAnsi="Courier New"/>
          <w:outline w:val="0"/>
          <w:color w:val="9cdcfe"/>
          <w:sz w:val="18"/>
          <w:szCs w:val="18"/>
          <w:u w:color="9cdcfe"/>
          <w:rtl w:val="0"/>
          <w:lang w:val="it-IT"/>
          <w14:textFill>
            <w14:solidFill>
              <w14:srgbClr w14:val="9CDCFE"/>
            </w14:solidFill>
          </w14:textFill>
        </w:rPr>
        <w:t>solin(i) = sum(sfac(:)*solar_band_irrad(:)) * eccf * coszrs(i)</w:t>
      </w:r>
    </w:p>
    <w:p>
      <w:pPr>
        <w:pStyle w:val="Heading 2"/>
      </w:pPr>
    </w:p>
    <w:p>
      <w:pPr>
        <w:pStyle w:val="Heading 2"/>
      </w:pPr>
      <w:r>
        <w:rPr>
          <w:outline w:val="0"/>
          <w:color w:val="404040"/>
          <w:sz w:val="22"/>
          <w:szCs w:val="22"/>
          <w:u w:color="404040"/>
          <w:rtl w:val="0"/>
          <w:lang w:val="en-US"/>
          <w14:textFill>
            <w14:solidFill>
              <w14:srgbClr w14:val="404040"/>
            </w14:solidFill>
          </w14:textFill>
        </w:rPr>
        <w:t>where  is the cosine of the solar zenith angle for column , already incorporating the current solar declination and therefore the full effect of Earth</w:t>
      </w:r>
      <w:r>
        <w:rPr>
          <w:outline w:val="0"/>
          <w:color w:val="404040"/>
          <w:sz w:val="22"/>
          <w:szCs w:val="22"/>
          <w:u w:color="404040"/>
          <w:rtl w:val="1"/>
          <w14:textFill>
            <w14:solidFill>
              <w14:srgbClr w14:val="404040"/>
            </w14:solidFill>
          </w14:textFill>
        </w:rPr>
        <w:t>’</w:t>
      </w:r>
      <w:r>
        <w:rPr>
          <w:outline w:val="0"/>
          <w:color w:val="404040"/>
          <w:sz w:val="22"/>
          <w:szCs w:val="22"/>
          <w:u w:color="404040"/>
          <w:rtl w:val="0"/>
          <w14:textFill>
            <w14:solidFill>
              <w14:srgbClr w14:val="404040"/>
            </w14:solidFill>
          </w14:textFill>
        </w:rPr>
        <w:t>s axial tilt.</w:t>
      </w:r>
    </w:p>
    <w:p>
      <w:pPr>
        <w:pStyle w:val="Heading 2"/>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How sun_shade Interacts with Solar Geometry</w:t>
      </w:r>
    </w:p>
    <w:p>
      <w:pPr>
        <w:pStyle w:val="Heading 2"/>
      </w:pPr>
      <w:r>
        <w:rPr>
          <w:outline w:val="0"/>
          <w:color w:val="2e75b6"/>
          <w:u w:color="2e75b6"/>
          <w:rtl w:val="0"/>
          <w:lang w:val="en-US"/>
          <w14:textFill>
            <w14:solidFill>
              <w14:srgbClr w14:val="2E75B6"/>
            </w14:solidFill>
          </w14:textFill>
        </w:rPr>
        <w:t>Where in the Pipeline sun_shade Is Applied</w:t>
      </w:r>
    </w:p>
    <w:p>
      <w:pPr>
        <w:pStyle w:val="Heading 2"/>
      </w:pPr>
      <w:r>
        <w:rPr>
          <w:outline w:val="0"/>
          <w:color w:val="404040"/>
          <w:sz w:val="22"/>
          <w:szCs w:val="22"/>
          <w:u w:color="404040"/>
          <w:rtl w:val="0"/>
          <w:lang w:val="en-US"/>
          <w14:textFill>
            <w14:solidFill>
              <w14:srgbClr w14:val="404040"/>
            </w14:solidFill>
          </w14:textFill>
        </w:rPr>
        <w:t>The  factor introduced in PR #1443 () is applied to the extraterrestrial spectral flux () before it is rebinned per column. The key loop in  at each timestep is:</w:t>
      </w:r>
    </w:p>
    <w:p>
      <w:pPr>
        <w:pStyle w:val="Heading 2"/>
      </w:pP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de-DE"/>
          <w14:textFill>
            <w14:solidFill>
              <w14:srgbClr w14:val="9CDCFE"/>
            </w14:solidFill>
          </w14:textFill>
        </w:rPr>
        <w:t>do c = begchunk, endchunk</w:t>
      </w: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en-US"/>
          <w14:textFill>
            <w14:solidFill>
              <w14:srgbClr w14:val="9CDCFE"/>
            </w14:solidFill>
          </w14:textFill>
        </w:rPr>
        <w:t xml:space="preserve">  ncols = get_ncols_p(c)</w:t>
      </w: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pt-PT"/>
          <w14:textFill>
            <w14:solidFill>
              <w14:srgbClr w14:val="9CDCFE"/>
            </w14:solidFill>
          </w14:textFill>
        </w:rPr>
        <w:t xml:space="preserve">  do i = 1, ncols</w:t>
      </w: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en-US"/>
          <w14:textFill>
            <w14:solidFill>
              <w14:srgbClr w14:val="9CDCFE"/>
            </w14:solidFill>
          </w14:textFill>
        </w:rPr>
        <w:t xml:space="preserve">    ! apply sun shade factor to input ETF</w:t>
      </w: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en-US"/>
          <w14:textFill>
            <w14:solidFill>
              <w14:srgbClr w14:val="9CDCFE"/>
            </w14:solidFill>
          </w14:textFill>
        </w:rPr>
        <w:t xml:space="preserve">    call rebin( data_nw, nw, data_we, we,</w:t>
      </w: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en-US"/>
          <w14:textFill>
            <w14:solidFill>
              <w14:srgbClr w14:val="9CDCFE"/>
            </w14:solidFill>
          </w14:textFill>
        </w:rPr>
        <w:t xml:space="preserve">                data_etf(:)*sun_shade(:,i,c), etfphot(:,i,c) )</w:t>
      </w:r>
    </w:p>
    <w:p>
      <w:pPr>
        <w:pStyle w:val="Heading 2"/>
        <w:rPr>
          <w:rFonts w:ascii="Courier New" w:cs="Courier New" w:hAnsi="Courier New" w:eastAsia="Courier New"/>
          <w:outline w:val="0"/>
          <w:color w:val="9cdcfe"/>
          <w:sz w:val="18"/>
          <w:szCs w:val="18"/>
          <w:u w:color="9cdcfe"/>
          <w14:textFill>
            <w14:solidFill>
              <w14:srgbClr w14:val="9CDCFE"/>
            </w14:solidFill>
          </w14:textFill>
        </w:rPr>
      </w:pPr>
      <w:r>
        <w:rPr>
          <w:rFonts w:ascii="Courier New" w:hAnsi="Courier New"/>
          <w:outline w:val="0"/>
          <w:color w:val="9cdcfe"/>
          <w:sz w:val="18"/>
          <w:szCs w:val="18"/>
          <w:u w:color="9cdcfe"/>
          <w:rtl w:val="0"/>
          <w:lang w:val="de-DE"/>
          <w14:textFill>
            <w14:solidFill>
              <w14:srgbClr w14:val="9CDCFE"/>
            </w14:solidFill>
          </w14:textFill>
        </w:rPr>
        <w:t xml:space="preserve">  end do</w:t>
      </w:r>
    </w:p>
    <w:p>
      <w:pPr>
        <w:pStyle w:val="Heading 2"/>
      </w:pPr>
      <w:r>
        <w:rPr>
          <w:rFonts w:ascii="Courier New" w:hAnsi="Courier New"/>
          <w:outline w:val="0"/>
          <w:color w:val="9cdcfe"/>
          <w:sz w:val="18"/>
          <w:szCs w:val="18"/>
          <w:u w:color="9cdcfe"/>
          <w:rtl w:val="0"/>
          <w:lang w:val="de-DE"/>
          <w14:textFill>
            <w14:solidFill>
              <w14:srgbClr w14:val="9CDCFE"/>
            </w14:solidFill>
          </w14:textFill>
        </w:rPr>
        <w:t>end do</w:t>
      </w:r>
    </w:p>
    <w:p>
      <w:pPr>
        <w:pStyle w:val="Heading 2"/>
      </w:pPr>
    </w:p>
    <w:p>
      <w:pPr>
        <w:pStyle w:val="Heading 2"/>
      </w:pPr>
      <w:r>
        <w:rPr>
          <w:outline w:val="0"/>
          <w:color w:val="404040"/>
          <w:sz w:val="22"/>
          <w:szCs w:val="22"/>
          <w:u w:color="404040"/>
          <w:rtl w:val="0"/>
          <w:lang w:val="en-US"/>
          <w14:textFill>
            <w14:solidFill>
              <w14:srgbClr w14:val="404040"/>
            </w14:solidFill>
          </w14:textFill>
        </w:rPr>
        <w:t>This modifies the incoming spectral irradiance at the top of atmosphere for each column. CESM then separately multiplies by  to project that flux onto the column</w:t>
      </w:r>
      <w:r>
        <w:rPr>
          <w:outline w:val="0"/>
          <w:color w:val="404040"/>
          <w:sz w:val="22"/>
          <w:szCs w:val="22"/>
          <w:u w:color="404040"/>
          <w:rtl w:val="1"/>
          <w14:textFill>
            <w14:solidFill>
              <w14:srgbClr w14:val="404040"/>
            </w14:solidFill>
          </w14:textFill>
        </w:rPr>
        <w:t>’</w:t>
      </w:r>
      <w:r>
        <w:rPr>
          <w:outline w:val="0"/>
          <w:color w:val="404040"/>
          <w:sz w:val="22"/>
          <w:szCs w:val="22"/>
          <w:u w:color="404040"/>
          <w:rtl w:val="0"/>
          <w:lang w:val="en-US"/>
          <w14:textFill>
            <w14:solidFill>
              <w14:srgbClr w14:val="404040"/>
            </w14:solidFill>
          </w14:textFill>
        </w:rPr>
        <w:t>s surface geometry, accounting for the zenith angle which already encodes the solar declination.</w:t>
      </w:r>
    </w:p>
    <w:p>
      <w:pPr>
        <w:pStyle w:val="Heading 2"/>
      </w:pPr>
      <w:r>
        <w:rPr>
          <w:outline w:val="0"/>
          <w:color w:val="404040"/>
          <w:sz w:val="22"/>
          <w:szCs w:val="22"/>
          <w:u w:color="404040"/>
          <w:rtl w:val="0"/>
          <w:lang w:val="en-US"/>
          <w14:textFill>
            <w14:solidFill>
              <w14:srgbClr w14:val="404040"/>
            </w14:solidFill>
          </w14:textFill>
        </w:rPr>
        <w:t>In other words, the pipeline is: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400"/>
        <w:gridCol w:w="2700"/>
        <w:gridCol w:w="400"/>
        <w:gridCol w:w="3160"/>
      </w:tblGrid>
      <w:tr>
        <w:tblPrEx>
          <w:shd w:val="clear" w:color="auto" w:fill="ced7e7"/>
        </w:tblPrEx>
        <w:trPr>
          <w:trHeight w:val="654" w:hRule="atLeast"/>
        </w:trPr>
        <w:tc>
          <w:tcPr>
            <w:tcW w:type="dxa" w:w="2700"/>
            <w:tcBorders>
              <w:top w:val="single" w:color="bdd7ee" w:sz="1" w:space="0" w:shadow="0" w:frame="0"/>
              <w:left w:val="single" w:color="bdd7ee" w:sz="1" w:space="0" w:shadow="0" w:frame="0"/>
              <w:bottom w:val="single" w:color="000000" w:sz="4" w:space="0" w:shadow="0" w:frame="0"/>
              <w:right w:val="single" w:color="000000" w:sz="4" w:space="0" w:shadow="0" w:frame="0"/>
            </w:tcBorders>
            <w:shd w:val="clear" w:color="auto" w:fill="d6e4f0"/>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ourier New" w:hAnsi="Courier New"/>
                <w:outline w:val="0"/>
                <w:color w:val="404040"/>
                <w:sz w:val="20"/>
                <w:szCs w:val="20"/>
                <w:u w:color="404040"/>
                <w:shd w:val="nil" w:color="auto" w:fill="auto"/>
                <w:rtl w:val="0"/>
                <w:lang w:val="de-DE"/>
                <w14:textFill>
                  <w14:solidFill>
                    <w14:srgbClr w14:val="404040"/>
                  </w14:solidFill>
                </w14:textFill>
              </w:rPr>
              <w:t xml:space="preserve">ETF </w:t>
            </w:r>
            <w:r>
              <w:rPr>
                <w:rFonts w:ascii="Courier New" w:hAnsi="Courier New" w:hint="default"/>
                <w:outline w:val="0"/>
                <w:color w:val="404040"/>
                <w:sz w:val="20"/>
                <w:szCs w:val="20"/>
                <w:u w:color="404040"/>
                <w:shd w:val="nil" w:color="auto" w:fill="auto"/>
                <w:rtl w:val="0"/>
                <w14:textFill>
                  <w14:solidFill>
                    <w14:srgbClr w14:val="404040"/>
                  </w14:solidFill>
                </w14:textFill>
              </w:rPr>
              <w:t xml:space="preserve">× </w:t>
            </w:r>
            <w:r>
              <w:rPr>
                <w:rFonts w:ascii="Courier New" w:hAnsi="Courier New"/>
                <w:outline w:val="0"/>
                <w:color w:val="404040"/>
                <w:sz w:val="20"/>
                <w:szCs w:val="20"/>
                <w:u w:color="404040"/>
                <w:shd w:val="nil" w:color="auto" w:fill="auto"/>
                <w:rtl w:val="0"/>
                <w:lang w:val="en-US"/>
                <w14:textFill>
                  <w14:solidFill>
                    <w14:srgbClr w14:val="404040"/>
                  </w14:solidFill>
                </w14:textFill>
              </w:rPr>
              <w:t>sun_shade</w:t>
            </w:r>
          </w:p>
        </w:tc>
        <w:tc>
          <w:tcPr>
            <w:tcW w:type="dxa" w:w="400"/>
            <w:tcBorders>
              <w:top w:val="single" w:color="000000" w:sz="4" w:space="0" w:shadow="0" w:frame="0"/>
              <w:left w:val="single" w:color="000000" w:sz="4" w:space="0" w:shadow="0" w:frame="0"/>
              <w:bottom w:val="single" w:color="000000" w:sz="4" w:space="0" w:shadow="0" w:frame="0"/>
              <w:right w:val="single" w:color="bdd7ee"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hint="default"/>
                <w:b w:val="1"/>
                <w:bCs w:val="1"/>
                <w:outline w:val="0"/>
                <w:color w:val="2e75b6"/>
                <w:sz w:val="22"/>
                <w:szCs w:val="22"/>
                <w:u w:color="2e75b6"/>
                <w:shd w:val="nil" w:color="auto" w:fill="auto"/>
                <w:rtl w:val="0"/>
                <w14:textFill>
                  <w14:solidFill>
                    <w14:srgbClr w14:val="2E75B6"/>
                  </w14:solidFill>
                </w14:textFill>
              </w:rPr>
              <w:t>→</w:t>
            </w:r>
          </w:p>
        </w:tc>
        <w:tc>
          <w:tcPr>
            <w:tcW w:type="dxa" w:w="2700"/>
            <w:tcBorders>
              <w:top w:val="single" w:color="bdd7ee" w:sz="1" w:space="0" w:shadow="0" w:frame="0"/>
              <w:left w:val="single" w:color="bdd7ee" w:sz="1" w:space="0" w:shadow="0" w:frame="0"/>
              <w:bottom w:val="single" w:color="000000" w:sz="4" w:space="0" w:shadow="0" w:frame="0"/>
              <w:right w:val="single" w:color="000000" w:sz="4"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hint="default"/>
                <w:outline w:val="0"/>
                <w:color w:val="404040"/>
                <w:sz w:val="20"/>
                <w:szCs w:val="20"/>
                <w:u w:color="404040"/>
                <w:shd w:val="nil" w:color="auto" w:fill="auto"/>
                <w:rtl w:val="0"/>
                <w14:textFill>
                  <w14:solidFill>
                    <w14:srgbClr w14:val="404040"/>
                  </w14:solidFill>
                </w14:textFill>
              </w:rPr>
              <w:t xml:space="preserve">× </w:t>
            </w:r>
            <w:r>
              <w:rPr>
                <w:rFonts w:ascii="Courier New" w:hAnsi="Courier New"/>
                <w:outline w:val="0"/>
                <w:color w:val="404040"/>
                <w:sz w:val="20"/>
                <w:szCs w:val="20"/>
                <w:u w:color="404040"/>
                <w:shd w:val="nil" w:color="auto" w:fill="auto"/>
                <w:rtl w:val="0"/>
                <w:lang w:val="it-IT"/>
                <w14:textFill>
                  <w14:solidFill>
                    <w14:srgbClr w14:val="404040"/>
                  </w14:solidFill>
                </w14:textFill>
              </w:rPr>
              <w:t xml:space="preserve">eccf </w:t>
            </w:r>
            <w:r>
              <w:rPr>
                <w:rFonts w:ascii="Courier New" w:hAnsi="Courier New" w:hint="default"/>
                <w:outline w:val="0"/>
                <w:color w:val="404040"/>
                <w:sz w:val="20"/>
                <w:szCs w:val="20"/>
                <w:u w:color="404040"/>
                <w:shd w:val="nil" w:color="auto" w:fill="auto"/>
                <w:rtl w:val="0"/>
                <w14:textFill>
                  <w14:solidFill>
                    <w14:srgbClr w14:val="404040"/>
                  </w14:solidFill>
                </w14:textFill>
              </w:rPr>
              <w:t xml:space="preserve">× </w:t>
            </w:r>
            <w:r>
              <w:rPr>
                <w:rFonts w:ascii="Courier New" w:hAnsi="Courier New"/>
                <w:outline w:val="0"/>
                <w:color w:val="404040"/>
                <w:sz w:val="20"/>
                <w:szCs w:val="20"/>
                <w:u w:color="404040"/>
                <w:shd w:val="nil" w:color="auto" w:fill="auto"/>
                <w:rtl w:val="0"/>
                <w14:textFill>
                  <w14:solidFill>
                    <w14:srgbClr w14:val="404040"/>
                  </w14:solidFill>
                </w14:textFill>
              </w:rPr>
              <w:t>coszrs(i)</w:t>
            </w:r>
          </w:p>
        </w:tc>
        <w:tc>
          <w:tcPr>
            <w:tcW w:type="dxa" w:w="400"/>
            <w:tcBorders>
              <w:top w:val="single" w:color="000000" w:sz="4" w:space="0" w:shadow="0" w:frame="0"/>
              <w:left w:val="single" w:color="000000" w:sz="4" w:space="0" w:shadow="0" w:frame="0"/>
              <w:bottom w:val="single" w:color="000000" w:sz="4" w:space="0" w:shadow="0" w:frame="0"/>
              <w:right w:val="single" w:color="bdd7ee"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hint="default"/>
                <w:b w:val="1"/>
                <w:bCs w:val="1"/>
                <w:outline w:val="0"/>
                <w:color w:val="2e75b6"/>
                <w:sz w:val="22"/>
                <w:szCs w:val="22"/>
                <w:u w:color="2e75b6"/>
                <w:shd w:val="nil" w:color="auto" w:fill="auto"/>
                <w:rtl w:val="0"/>
                <w14:textFill>
                  <w14:solidFill>
                    <w14:srgbClr w14:val="2E75B6"/>
                  </w14:solidFill>
                </w14:textFill>
              </w:rPr>
              <w:t>→</w:t>
            </w:r>
          </w:p>
        </w:tc>
        <w:tc>
          <w:tcPr>
            <w:tcW w:type="dxa" w:w="3160"/>
            <w:tcBorders>
              <w:top w:val="single" w:color="bdd7ee" w:sz="1" w:space="0" w:shadow="0" w:frame="0"/>
              <w:left w:val="single" w:color="bdd7ee" w:sz="1" w:space="0" w:shadow="0" w:frame="0"/>
              <w:bottom w:val="single" w:color="000000" w:sz="4" w:space="0" w:shadow="0" w:frame="0"/>
              <w:right w:val="single" w:color="bdd7ee"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Courier New" w:cs="Courier New" w:hAnsi="Courier New" w:eastAsia="Courier New"/>
                <w:outline w:val="0"/>
                <w:color w:val="404040"/>
                <w:sz w:val="20"/>
                <w:szCs w:val="20"/>
                <w:u w:color="404040"/>
                <w:shd w:val="nil" w:color="auto" w:fill="auto"/>
                <w:rtl w:val="0"/>
                <w14:textFill>
                  <w14:solidFill>
                    <w14:srgbClr w14:val="404040"/>
                  </w14:solidFill>
                </w14:textFill>
              </w:rPr>
            </w:pPr>
            <w:r>
              <w:rPr>
                <w:rFonts w:ascii="Courier New" w:hAnsi="Courier New"/>
                <w:outline w:val="0"/>
                <w:color w:val="404040"/>
                <w:sz w:val="20"/>
                <w:szCs w:val="20"/>
                <w:u w:color="404040"/>
                <w:shd w:val="nil" w:color="auto" w:fill="auto"/>
                <w:rtl w:val="0"/>
                <w:lang w:val="it-IT"/>
                <w14:textFill>
                  <w14:solidFill>
                    <w14:srgbClr w14:val="404040"/>
                  </w14:solidFill>
                </w14:textFill>
              </w:rPr>
              <w:t>solin(i)</w:t>
            </w:r>
          </w:p>
          <w:p>
            <w:pPr>
              <w:pStyle w:val="Default"/>
              <w:bidi w:val="0"/>
            </w:pPr>
            <w:r>
              <w:rPr>
                <w:rFonts w:ascii="Courier New" w:hAnsi="Courier New"/>
                <w:outline w:val="0"/>
                <w:color w:val="404040"/>
                <w:sz w:val="20"/>
                <w:szCs w:val="20"/>
                <w:u w:color="404040"/>
                <w:shd w:val="nil" w:color="auto" w:fill="auto"/>
                <w:rtl w:val="0"/>
                <w:lang w:val="en-US"/>
                <w14:textFill>
                  <w14:solidFill>
                    <w14:srgbClr w14:val="404040"/>
                  </w14:solidFill>
                </w14:textFill>
              </w:rPr>
              <w:t>[surface insolation]</w:t>
            </w:r>
          </w:p>
        </w:tc>
      </w:tr>
      <w:tr>
        <w:tblPrEx>
          <w:shd w:val="clear" w:color="auto" w:fill="ced7e7"/>
        </w:tblPrEx>
        <w:trPr>
          <w:trHeight w:val="44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88888"/>
                <w:sz w:val="18"/>
                <w:szCs w:val="18"/>
                <w:u w:color="888888"/>
                <w:shd w:val="nil" w:color="auto" w:fill="auto"/>
                <w:rtl w:val="0"/>
                <w:lang w:val="en-US"/>
                <w14:textFill>
                  <w14:solidFill>
                    <w14:srgbClr w14:val="888888"/>
                  </w14:solidFill>
                </w14:textFill>
              </w:rPr>
              <w:t>Input file territory</w:t>
            </w: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  </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88888"/>
                <w:sz w:val="18"/>
                <w:szCs w:val="18"/>
                <w:u w:color="888888"/>
                <w:shd w:val="nil" w:color="auto" w:fill="auto"/>
                <w:rtl w:val="0"/>
                <w:lang w:val="en-US"/>
                <w14:textFill>
                  <w14:solidFill>
                    <w14:srgbClr w14:val="888888"/>
                  </w14:solidFill>
                </w14:textFill>
              </w:rPr>
              <w:t>Encodes axial tilt, season, lat/lon</w:t>
            </w: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  </w:t>
            </w:r>
          </w:p>
        </w:tc>
        <w:tc>
          <w:tcPr>
            <w:tcW w:type="dxa" w:w="3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i w:val="1"/>
                <w:iCs w:val="1"/>
                <w:outline w:val="0"/>
                <w:color w:val="888888"/>
                <w:sz w:val="18"/>
                <w:szCs w:val="18"/>
                <w:u w:color="888888"/>
                <w:shd w:val="nil" w:color="auto" w:fill="auto"/>
                <w:rtl w:val="0"/>
                <w:lang w:val="en-US"/>
                <w14:textFill>
                  <w14:solidFill>
                    <w14:srgbClr w14:val="888888"/>
                  </w14:solidFill>
                </w14:textFill>
              </w:rPr>
              <w:t>Final per-column solar forcing</w:t>
            </w:r>
          </w:p>
        </w:tc>
      </w:tr>
    </w:tbl>
    <w:p>
      <w:pPr>
        <w:pStyle w:val="Heading 2"/>
        <w:widowControl w:val="0"/>
      </w:pPr>
    </w:p>
    <w:p>
      <w:pPr>
        <w:pStyle w:val="Heading 2"/>
        <w:widowControl w:val="0"/>
      </w:pPr>
    </w:p>
    <w:p>
      <w:pPr>
        <w:pStyle w:val="Heading 2"/>
        <w:widowControl w:val="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Implications for Input File Design</w:t>
      </w:r>
    </w:p>
    <w:p>
      <w:pPr>
        <w:pStyle w:val="Heading 2"/>
      </w:pPr>
      <w:r>
        <w:rPr>
          <w:outline w:val="0"/>
          <w:color w:val="2e75b6"/>
          <w:u w:color="2e75b6"/>
          <w:rtl w:val="0"/>
          <w:lang w:val="en-US"/>
          <w14:textFill>
            <w14:solidFill>
              <w14:srgbClr w14:val="2E75B6"/>
            </w14:solidFill>
          </w14:textFill>
        </w:rPr>
        <w:t>What the sun_shade File Should Encode</w:t>
      </w:r>
    </w:p>
    <w:p>
      <w:pPr>
        <w:pStyle w:val="Heading 2"/>
      </w:pPr>
      <w:r>
        <w:rPr>
          <w:outline w:val="0"/>
          <w:color w:val="404040"/>
          <w:sz w:val="22"/>
          <w:szCs w:val="22"/>
          <w:u w:color="404040"/>
          <w:rtl w:val="0"/>
          <w:lang w:val="en-US"/>
          <w14:textFill>
            <w14:solidFill>
              <w14:srgbClr w14:val="404040"/>
            </w14:solidFill>
          </w14:textFill>
        </w:rPr>
        <w:t xml:space="preserve">The  input file defines the fraction of the extraterrestrial solar beam that is blocked, as a function of geographic position (latitude/longitude), time, and wavelength. It operates in the frame of the top-of-atmosphere incident flux </w:t>
      </w:r>
      <w:r>
        <w:rPr>
          <w:outline w:val="0"/>
          <w:color w:val="404040"/>
          <w:sz w:val="22"/>
          <w:szCs w:val="22"/>
          <w:u w:color="404040"/>
          <w:rtl w:val="0"/>
          <w:lang w:val="en-US"/>
          <w14:textFill>
            <w14:solidFill>
              <w14:srgbClr w14:val="404040"/>
            </w14:solidFill>
          </w14:textFill>
        </w:rPr>
        <w:t xml:space="preserve">— </w:t>
      </w:r>
      <w:r>
        <w:rPr>
          <w:outline w:val="0"/>
          <w:color w:val="404040"/>
          <w:sz w:val="22"/>
          <w:szCs w:val="22"/>
          <w:u w:color="404040"/>
          <w:rtl w:val="0"/>
          <w:lang w:val="en-US"/>
          <w14:textFill>
            <w14:solidFill>
              <w14:srgbClr w14:val="404040"/>
            </w14:solidFill>
          </w14:textFill>
        </w:rPr>
        <w:t>i.e., normal incidence before zenith projection.</w:t>
      </w:r>
    </w:p>
    <w:p>
      <w:pPr>
        <w:pStyle w:val="Heading 2"/>
      </w:pPr>
      <w:r>
        <w:rPr>
          <w:outline w:val="0"/>
          <w:color w:val="404040"/>
          <w:sz w:val="22"/>
          <w:szCs w:val="22"/>
          <w:u w:color="404040"/>
          <w:rtl w:val="0"/>
          <w:lang w:val="en-US"/>
          <w14:textFill>
            <w14:solidFill>
              <w14:srgbClr w14:val="404040"/>
            </w14:solidFill>
          </w14:textFill>
        </w:rPr>
        <w:t>Specifically, the file should capture the projected shadow geometry of the sunshade disk as seen from Earth: which grid cells fall within the shadow footprint at a given moment, and with what fractional coverage and spectral transmission. This is purely a function of the disk</w:t>
      </w:r>
      <w:r>
        <w:rPr>
          <w:outline w:val="0"/>
          <w:color w:val="404040"/>
          <w:sz w:val="22"/>
          <w:szCs w:val="22"/>
          <w:u w:color="404040"/>
          <w:rtl w:val="1"/>
          <w14:textFill>
            <w14:solidFill>
              <w14:srgbClr w14:val="404040"/>
            </w14:solidFill>
          </w14:textFill>
        </w:rPr>
        <w:t>’</w:t>
      </w:r>
      <w:r>
        <w:rPr>
          <w:outline w:val="0"/>
          <w:color w:val="404040"/>
          <w:sz w:val="22"/>
          <w:szCs w:val="22"/>
          <w:u w:color="404040"/>
          <w:rtl w:val="0"/>
          <w:lang w:val="en-US"/>
          <w14:textFill>
            <w14:solidFill>
              <w14:srgbClr w14:val="404040"/>
            </w14:solidFill>
          </w14:textFill>
        </w:rPr>
        <w:t>s angular size, distance, and pointing relative to the Earth</w:t>
      </w:r>
      <w:r>
        <w:rPr>
          <w:outline w:val="0"/>
          <w:color w:val="404040"/>
          <w:sz w:val="22"/>
          <w:szCs w:val="22"/>
          <w:u w:color="404040"/>
          <w:rtl w:val="0"/>
          <w14:textFill>
            <w14:solidFill>
              <w14:srgbClr w14:val="404040"/>
            </w14:solidFill>
          </w14:textFill>
        </w:rPr>
        <w:t>–</w:t>
      </w:r>
      <w:r>
        <w:rPr>
          <w:outline w:val="0"/>
          <w:color w:val="404040"/>
          <w:sz w:val="22"/>
          <w:szCs w:val="22"/>
          <w:u w:color="404040"/>
          <w:rtl w:val="0"/>
          <w:lang w:val="pt-PT"/>
          <w14:textFill>
            <w14:solidFill>
              <w14:srgbClr w14:val="404040"/>
            </w14:solidFill>
          </w14:textFill>
        </w:rPr>
        <w:t>Sun axis.</w:t>
      </w:r>
    </w:p>
    <w:p>
      <w:pPr>
        <w:pStyle w:val="Heading 2"/>
      </w:pPr>
      <w:r>
        <w:rPr>
          <w:outline w:val="0"/>
          <w:color w:val="2e75b6"/>
          <w:u w:color="2e75b6"/>
          <w:rtl w:val="0"/>
          <w:lang w:val="en-US"/>
          <w14:textFill>
            <w14:solidFill>
              <w14:srgbClr w14:val="2E75B6"/>
            </w14:solidFill>
          </w14:textFill>
        </w:rPr>
        <w:t>What the sun_shade File Does Not Need to Encode</w:t>
      </w:r>
    </w:p>
    <w:p>
      <w:pPr>
        <w:pStyle w:val="Heading 2"/>
      </w:pPr>
      <w:r>
        <w:rPr>
          <w:outline w:val="0"/>
          <w:color w:val="404040"/>
          <w:sz w:val="22"/>
          <w:szCs w:val="22"/>
          <w:u w:color="404040"/>
          <w:rtl w:val="0"/>
          <w:lang w:val="en-US"/>
          <w14:textFill>
            <w14:solidFill>
              <w14:srgbClr w14:val="404040"/>
            </w14:solidFill>
          </w14:textFill>
        </w:rPr>
        <w:t>The following are handled internally by CESM and should not be replicated in the input file:</w:t>
      </w:r>
    </w:p>
    <w:p>
      <w:pPr>
        <w:pStyle w:val="List Paragraph"/>
        <w:numPr>
          <w:ilvl w:val="0"/>
          <w:numId w:val="2"/>
        </w:numPr>
        <w:spacing w:before="60" w:after="40"/>
        <w:rPr>
          <w:sz w:val="22"/>
          <w:szCs w:val="22"/>
          <w:lang w:val="en-US"/>
        </w:rPr>
      </w:pPr>
      <w:r>
        <w:rPr>
          <w:rFonts w:ascii="Arial" w:hAnsi="Arial"/>
          <w:outline w:val="0"/>
          <w:color w:val="404040"/>
          <w:sz w:val="22"/>
          <w:szCs w:val="22"/>
          <w:u w:color="404040"/>
          <w:rtl w:val="0"/>
          <w:lang w:val="en-US"/>
          <w14:textFill>
            <w14:solidFill>
              <w14:srgbClr w14:val="404040"/>
            </w14:solidFill>
          </w14:textFill>
        </w:rPr>
        <w:t>The seasonal migration of the sub-stellar point (driven by Earth</w:t>
      </w:r>
      <w:r>
        <w:rPr>
          <w:rFonts w:ascii="Arial" w:hAnsi="Arial" w:hint="default"/>
          <w:outline w:val="0"/>
          <w:color w:val="404040"/>
          <w:sz w:val="22"/>
          <w:szCs w:val="22"/>
          <w:u w:color="404040"/>
          <w:rtl w:val="1"/>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s axial tilt and captured in the solar declination angle)</w:t>
      </w:r>
    </w:p>
    <w:p>
      <w:pPr>
        <w:pStyle w:val="List Paragraph"/>
        <w:numPr>
          <w:ilvl w:val="0"/>
          <w:numId w:val="2"/>
        </w:numPr>
        <w:spacing w:before="40" w:after="40"/>
        <w:rPr>
          <w:sz w:val="22"/>
          <w:szCs w:val="22"/>
          <w:lang w:val="en-US"/>
        </w:rPr>
      </w:pPr>
      <w:r>
        <w:rPr>
          <w:rFonts w:ascii="Arial" w:hAnsi="Arial"/>
          <w:outline w:val="0"/>
          <w:color w:val="404040"/>
          <w:sz w:val="22"/>
          <w:szCs w:val="22"/>
          <w:u w:color="404040"/>
          <w:rtl w:val="0"/>
          <w:lang w:val="en-US"/>
          <w14:textFill>
            <w14:solidFill>
              <w14:srgbClr w14:val="404040"/>
            </w14:solidFill>
          </w14:textFill>
        </w:rPr>
        <w:t>The diurnal cycle of solar zenith angle at each column</w:t>
      </w:r>
    </w:p>
    <w:p>
      <w:pPr>
        <w:pStyle w:val="List Paragraph"/>
        <w:numPr>
          <w:ilvl w:val="0"/>
          <w:numId w:val="2"/>
        </w:numPr>
        <w:spacing w:before="40" w:after="120"/>
        <w:rPr>
          <w:sz w:val="22"/>
          <w:szCs w:val="22"/>
          <w:lang w:val="en-US"/>
        </w:rPr>
      </w:pPr>
      <w:r>
        <w:rPr>
          <w:rFonts w:ascii="Arial" w:hAnsi="Arial"/>
          <w:outline w:val="0"/>
          <w:color w:val="404040"/>
          <w:sz w:val="22"/>
          <w:szCs w:val="22"/>
          <w:u w:color="404040"/>
          <w:rtl w:val="0"/>
          <w:lang w:val="en-US"/>
          <w14:textFill>
            <w14:solidFill>
              <w14:srgbClr w14:val="404040"/>
            </w14:solidFill>
          </w14:textFill>
        </w:rPr>
        <w:t>The Earth</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 xml:space="preserve">Sun distance variation through the year (eccentricity factor, </w:t>
      </w:r>
      <w:r>
        <w:rPr>
          <w:rFonts w:ascii="Courier New" w:hAnsi="Courier New"/>
          <w:outline w:val="0"/>
          <w:color w:val="c7254e"/>
          <w:u w:color="c7254e"/>
          <w:rtl w:val="0"/>
          <w:lang w:val="it-IT"/>
          <w14:textFill>
            <w14:solidFill>
              <w14:srgbClr w14:val="C7254E"/>
            </w14:solidFill>
          </w14:textFill>
        </w:rPr>
        <w:t>eccf</w:t>
      </w:r>
      <w:r>
        <w:rPr>
          <w:rFonts w:ascii="Arial" w:hAnsi="Arial"/>
          <w:outline w:val="0"/>
          <w:color w:val="404040"/>
          <w:sz w:val="22"/>
          <w:szCs w:val="22"/>
          <w:u w:color="404040"/>
          <w:rtl w:val="0"/>
          <w14:textFill>
            <w14:solidFill>
              <w14:srgbClr w14:val="404040"/>
            </w14:solidFill>
          </w14:textFill>
        </w:rPr>
        <w:t>)</w:t>
      </w:r>
    </w:p>
    <w:p>
      <w:pPr>
        <w:pStyle w:val="List Paragraph"/>
        <w:spacing w:before="40" w:after="120"/>
      </w:pPr>
      <w:r>
        <w:rPr>
          <w:rFonts w:ascii="Arial" w:hAnsi="Arial"/>
          <w:outline w:val="0"/>
          <w:color w:val="404040"/>
          <w:sz w:val="22"/>
          <w:szCs w:val="22"/>
          <w:u w:color="404040"/>
          <w:rtl w:val="0"/>
          <w:lang w:val="en-US"/>
          <w14:textFill>
            <w14:solidFill>
              <w14:srgbClr w14:val="404040"/>
            </w14:solidFill>
          </w14:textFill>
        </w:rPr>
        <w:t>CESM will correctly handle the fact that in June the Sun is overhead at ~23</w:t>
      </w:r>
      <w:r>
        <w:rPr>
          <w:rFonts w:ascii="Arial" w:hAnsi="Arial" w:hint="default"/>
          <w:outline w:val="0"/>
          <w:color w:val="404040"/>
          <w:sz w:val="22"/>
          <w:szCs w:val="22"/>
          <w:u w:color="404040"/>
          <w:rtl w:val="0"/>
          <w:lang w:val="it-IT"/>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N and in December at ~23</w:t>
      </w:r>
      <w:r>
        <w:rPr>
          <w:rFonts w:ascii="Arial" w:hAnsi="Arial" w:hint="default"/>
          <w:outline w:val="0"/>
          <w:color w:val="404040"/>
          <w:sz w:val="22"/>
          <w:szCs w:val="22"/>
          <w:u w:color="404040"/>
          <w:rtl w:val="0"/>
          <w:lang w:val="it-IT"/>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 xml:space="preserve">S, and will modulate actual surface insolation accordingly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independently of the shading file.</w:t>
      </w:r>
    </w:p>
    <w:p>
      <w:pPr>
        <w:pStyle w:val="List Paragraph"/>
        <w:spacing w:before="40" w:after="12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Summary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Aspect</w:t>
            </w:r>
          </w:p>
        </w:tc>
        <w:tc>
          <w:tcPr>
            <w:tcW w:type="dxa" w:w="624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Implication</w:t>
            </w:r>
          </w:p>
        </w:tc>
      </w:tr>
      <w:tr>
        <w:tblPrEx>
          <w:shd w:val="clear" w:color="auto" w:fill="ced7e7"/>
        </w:tblPrEx>
        <w:trPr>
          <w:trHeight w:val="479" w:hRule="atLeast"/>
        </w:trPr>
        <w:tc>
          <w:tcPr>
            <w:tcW w:type="dxa" w:w="312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04040"/>
                <w:sz w:val="20"/>
                <w:szCs w:val="20"/>
                <w:u w:color="404040"/>
                <w:shd w:val="nil" w:color="auto" w:fill="auto"/>
                <w:rtl w:val="0"/>
                <w:lang w:val="en-US"/>
                <w14:textFill>
                  <w14:solidFill>
                    <w14:srgbClr w14:val="404040"/>
                  </w14:solidFill>
                </w14:textFill>
              </w:rPr>
              <w:t>Spatially varying</w:t>
            </w:r>
          </w:p>
        </w:tc>
        <w:tc>
          <w:tcPr>
            <w:tcW w:type="dxa" w:w="624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Shading factor can differ by latitude and longitude, not just as a global mean.</w:t>
            </w:r>
          </w:p>
        </w:tc>
      </w:tr>
      <w:tr>
        <w:tblPrEx>
          <w:shd w:val="clear" w:color="auto" w:fill="ced7e7"/>
        </w:tblPrEx>
        <w:trPr>
          <w:trHeight w:val="216" w:hRule="atLeast"/>
        </w:trPr>
        <w:tc>
          <w:tcPr>
            <w:tcW w:type="dxa" w:w="312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04040"/>
                <w:sz w:val="20"/>
                <w:szCs w:val="20"/>
                <w:u w:color="404040"/>
                <w:shd w:val="nil" w:color="auto" w:fill="auto"/>
                <w:rtl w:val="0"/>
                <w:lang w:val="en-US"/>
                <w14:textFill>
                  <w14:solidFill>
                    <w14:srgbClr w14:val="404040"/>
                  </w14:solidFill>
                </w14:textFill>
              </w:rPr>
              <w:t>Spectrally varying</w:t>
            </w:r>
          </w:p>
        </w:tc>
        <w:tc>
          <w:tcPr>
            <w:tcW w:type="dxa" w:w="624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Different wavelength bands can be reduced by different amounts.</w:t>
            </w:r>
          </w:p>
        </w:tc>
      </w:tr>
      <w:tr>
        <w:tblPrEx>
          <w:shd w:val="clear" w:color="auto" w:fill="ced7e7"/>
        </w:tblPrEx>
        <w:trPr>
          <w:trHeight w:val="216" w:hRule="atLeast"/>
        </w:trPr>
        <w:tc>
          <w:tcPr>
            <w:tcW w:type="dxa" w:w="312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04040"/>
                <w:sz w:val="20"/>
                <w:szCs w:val="20"/>
                <w:u w:color="404040"/>
                <w:shd w:val="nil" w:color="auto" w:fill="auto"/>
                <w:rtl w:val="0"/>
                <w:lang w:val="en-US"/>
                <w14:textFill>
                  <w14:solidFill>
                    <w14:srgbClr w14:val="404040"/>
                  </w14:solidFill>
                </w14:textFill>
              </w:rPr>
              <w:t>Temporally varying</w:t>
            </w:r>
          </w:p>
        </w:tc>
        <w:tc>
          <w:tcPr>
            <w:tcW w:type="dxa" w:w="624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Applied each model timestep via jlong_timestep_init.</w:t>
            </w:r>
          </w:p>
        </w:tc>
      </w:tr>
      <w:tr>
        <w:tblPrEx>
          <w:shd w:val="clear" w:color="auto" w:fill="ced7e7"/>
        </w:tblPrEx>
        <w:trPr>
          <w:trHeight w:val="479" w:hRule="atLeast"/>
        </w:trPr>
        <w:tc>
          <w:tcPr>
            <w:tcW w:type="dxa" w:w="312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04040"/>
                <w:sz w:val="20"/>
                <w:szCs w:val="20"/>
                <w:u w:color="404040"/>
                <w:shd w:val="nil" w:color="auto" w:fill="auto"/>
                <w:rtl w:val="0"/>
                <w:lang w:val="en-US"/>
                <w14:textFill>
                  <w14:solidFill>
                    <w14:srgbClr w14:val="404040"/>
                  </w14:solidFill>
                </w14:textFill>
              </w:rPr>
              <w:t>Photochemically consistent</w:t>
            </w:r>
          </w:p>
        </w:tc>
        <w:tc>
          <w:tcPr>
            <w:tcW w:type="dxa" w:w="624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 xml:space="preserve">UV photolysis correctly reflects reduced solar input </w:t>
            </w:r>
            <w:r>
              <w:rPr>
                <w:rFonts w:ascii="Arial" w:hAnsi="Arial" w:hint="default"/>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outline w:val="0"/>
                <w:color w:val="404040"/>
                <w:sz w:val="20"/>
                <w:szCs w:val="20"/>
                <w:u w:color="404040"/>
                <w:shd w:val="nil" w:color="auto" w:fill="auto"/>
                <w:rtl w:val="0"/>
                <w:lang w:val="en-US"/>
                <w14:textFill>
                  <w14:solidFill>
                    <w14:srgbClr w14:val="404040"/>
                  </w14:solidFill>
                </w14:textFill>
              </w:rPr>
              <w:t>stratospheric chemistry remains self-consistent.</w:t>
            </w:r>
          </w:p>
        </w:tc>
      </w:tr>
      <w:tr>
        <w:tblPrEx>
          <w:shd w:val="clear" w:color="auto" w:fill="ced7e7"/>
        </w:tblPrEx>
        <w:trPr>
          <w:trHeight w:val="479" w:hRule="atLeast"/>
        </w:trPr>
        <w:tc>
          <w:tcPr>
            <w:tcW w:type="dxa" w:w="312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404040"/>
                <w:sz w:val="20"/>
                <w:szCs w:val="20"/>
                <w:u w:color="404040"/>
                <w:shd w:val="nil" w:color="auto" w:fill="auto"/>
                <w:rtl w:val="0"/>
                <w:lang w:val="es-ES_tradnl"/>
                <w14:textFill>
                  <w14:solidFill>
                    <w14:srgbClr w14:val="404040"/>
                  </w14:solidFill>
                </w14:textFill>
              </w:rPr>
              <w:t>Configurable via namelist</w:t>
            </w:r>
          </w:p>
        </w:tc>
        <w:tc>
          <w:tcPr>
            <w:tcW w:type="dxa" w:w="6240"/>
            <w:tcBorders>
              <w:top w:val="single" w:color="bdd7ee" w:sz="1" w:space="0" w:shadow="0" w:frame="0"/>
              <w:left w:val="single" w:color="bdd7ee" w:sz="1" w:space="0" w:shadow="0" w:frame="0"/>
              <w:bottom w:val="single" w:color="bdd7ee" w:sz="1" w:space="0" w:shadow="0" w:frame="0"/>
              <w:right w:val="single" w:color="bdd7ee"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Shading strength is tunable via soll0, soll1, soll2 parameters in the run configuration.</w:t>
            </w:r>
          </w:p>
        </w:tc>
      </w:tr>
    </w:tbl>
    <w:p>
      <w:pPr>
        <w:pStyle w:val="Heading"/>
        <w:widowControl w:val="0"/>
      </w:pPr>
    </w:p>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11" w:hRule="atLeast"/>
        </w:trPr>
        <w:tc>
          <w:tcPr>
            <w:tcW w:type="dxa" w:w="9360"/>
            <w:tcBorders>
              <w:top w:val="single" w:color="bdd7ee" w:sz="1" w:space="0" w:shadow="0" w:frame="0"/>
              <w:left w:val="single" w:color="2e75b6" w:sz="18" w:space="0" w:shadow="0" w:frame="0"/>
              <w:bottom w:val="single" w:color="bdd7ee" w:sz="1" w:space="0" w:shadow="0" w:frame="0"/>
              <w:right w:val="single" w:color="bdd7ee"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Note on Column-Level Indexing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shd w:val="nil" w:color="auto" w:fill="auto"/>
                <w:rtl w:val="0"/>
                <w:lang w:val="en-US"/>
                <w14:textFill>
                  <w14:solidFill>
                    <w14:srgbClr w14:val="404040"/>
                  </w14:solidFill>
                </w14:textFill>
              </w:rPr>
              <w:t xml:space="preserve">The </w:t>
            </w:r>
            <w:r>
              <w:rPr>
                <w:rFonts w:ascii="Courier New" w:hAnsi="Courier New"/>
                <w:outline w:val="0"/>
                <w:color w:val="404040"/>
                <w:sz w:val="20"/>
                <w:szCs w:val="20"/>
                <w:u w:color="404040"/>
                <w:shd w:val="nil" w:color="auto" w:fill="auto"/>
                <w:rtl w:val="0"/>
                <w:lang w:val="en-US"/>
                <w14:textFill>
                  <w14:solidFill>
                    <w14:srgbClr w14:val="404040"/>
                  </w14:solidFill>
                </w14:textFill>
              </w:rPr>
              <w:t>sun_shade</w:t>
            </w:r>
            <w:r>
              <w:rPr>
                <w:rFonts w:ascii="Arial" w:hAnsi="Arial"/>
                <w:outline w:val="0"/>
                <w:color w:val="404040"/>
                <w:sz w:val="20"/>
                <w:szCs w:val="20"/>
                <w:u w:color="404040"/>
                <w:shd w:val="nil" w:color="auto" w:fill="auto"/>
                <w:rtl w:val="0"/>
                <w:lang w:val="en-US"/>
                <w14:textFill>
                  <w14:solidFill>
                    <w14:srgbClr w14:val="404040"/>
                  </w14:solidFill>
                </w14:textFill>
              </w:rPr>
              <w:t xml:space="preserve"> factor is indexed as </w:t>
            </w:r>
            <w:r>
              <w:rPr>
                <w:rFonts w:ascii="Courier New" w:hAnsi="Courier New"/>
                <w:outline w:val="0"/>
                <w:color w:val="404040"/>
                <w:sz w:val="20"/>
                <w:szCs w:val="20"/>
                <w:u w:color="404040"/>
                <w:shd w:val="nil" w:color="auto" w:fill="auto"/>
                <w:rtl w:val="0"/>
                <w:lang w:val="de-DE"/>
                <w14:textFill>
                  <w14:solidFill>
                    <w14:srgbClr w14:val="404040"/>
                  </w14:solidFill>
                </w14:textFill>
              </w:rPr>
              <w:t>sun_shade(:, icol, lchnk)</w:t>
            </w:r>
            <w:r>
              <w:rPr>
                <w:rFonts w:ascii="Arial" w:hAnsi="Arial" w:hint="default"/>
                <w:outline w:val="0"/>
                <w:color w:val="404040"/>
                <w:sz w:val="20"/>
                <w:szCs w:val="20"/>
                <w:u w:color="404040"/>
                <w:shd w:val="nil" w:color="auto" w:fill="auto"/>
                <w:rtl w:val="0"/>
                <w:lang w:val="en-US"/>
                <w14:textFill>
                  <w14:solidFill>
                    <w14:srgbClr w14:val="404040"/>
                  </w14:solidFill>
                </w14:textFill>
              </w:rPr>
              <w:t xml:space="preserve"> — </w:t>
            </w:r>
            <w:r>
              <w:rPr>
                <w:rFonts w:ascii="Arial" w:hAnsi="Arial"/>
                <w:outline w:val="0"/>
                <w:color w:val="404040"/>
                <w:sz w:val="20"/>
                <w:szCs w:val="20"/>
                <w:u w:color="404040"/>
                <w:shd w:val="nil" w:color="auto" w:fill="auto"/>
                <w:rtl w:val="0"/>
                <w:lang w:val="en-US"/>
                <w14:textFill>
                  <w14:solidFill>
                    <w14:srgbClr w14:val="404040"/>
                  </w14:solidFill>
                </w14:textFill>
              </w:rPr>
              <w:t>per model column, not per latitude band only. The implementation therefore supports longitude-dependent shading, including non-circular shadow geometries or partial disk coverage. Any such spatial asymmetry in the shadow footprint is the responsibility of the input file to specify. Only the seasonal and diurnal modulation of how that shadow translates to surface insolation is handled by CESM.</w:t>
            </w:r>
          </w:p>
        </w:tc>
      </w:tr>
    </w:tbl>
    <w:p>
      <w:pPr>
        <w:pStyle w:val="Heading"/>
        <w:widowControl w:val="0"/>
      </w:pPr>
    </w:p>
    <w:p>
      <w:pPr>
        <w:pStyle w:val="Heading"/>
        <w:widowControl w:val="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Source References</w:t>
      </w:r>
    </w:p>
    <w:p>
      <w:pPr>
        <w:pStyle w:val="Heading"/>
        <w:pBdr>
          <w:top w:val="nil"/>
          <w:left w:val="nil"/>
          <w:bottom w:val="single" w:color="2e75b6" w:sz="6" w:space="0" w:shadow="0" w:frame="0"/>
          <w:right w:val="nil"/>
        </w:pBdr>
      </w:pPr>
      <w:r>
        <w:rPr>
          <w:outline w:val="0"/>
          <w:color w:val="404040"/>
          <w:sz w:val="22"/>
          <w:szCs w:val="22"/>
          <w:u w:color="404040"/>
          <w:rtl w:val="0"/>
          <w:lang w:val="en-US"/>
          <w14:textFill>
            <w14:solidFill>
              <w14:srgbClr w14:val="404040"/>
            </w14:solidFill>
          </w14:textFill>
        </w:rPr>
        <w:t>ESCOMP/CAM PR #1443</w:t>
      </w:r>
      <w:r>
        <w:rPr>
          <w:outline w:val="0"/>
          <w:color w:val="404040"/>
          <w:sz w:val="22"/>
          <w:szCs w:val="22"/>
          <w:u w:color="404040"/>
          <w:rtl w:val="0"/>
          <w:lang w:val="en-US"/>
          <w14:textFill>
            <w14:solidFill>
              <w14:srgbClr w14:val="404040"/>
            </w14:solidFill>
          </w14:textFill>
        </w:rPr>
        <w:t xml:space="preserve"> — “</w:t>
      </w:r>
      <w:r>
        <w:rPr>
          <w:outline w:val="0"/>
          <w:color w:val="404040"/>
          <w:sz w:val="22"/>
          <w:szCs w:val="22"/>
          <w:u w:color="404040"/>
          <w:rtl w:val="0"/>
          <w:lang w:val="en-US"/>
          <w14:textFill>
            <w14:solidFill>
              <w14:srgbClr w14:val="404040"/>
            </w14:solidFill>
          </w14:textFill>
        </w:rPr>
        <w:t>Changes for solar shading</w:t>
      </w:r>
      <w:r>
        <w:rPr>
          <w:outline w:val="0"/>
          <w:color w:val="404040"/>
          <w:sz w:val="22"/>
          <w:szCs w:val="22"/>
          <w:u w:color="404040"/>
          <w:rtl w:val="0"/>
          <w14:textFill>
            <w14:solidFill>
              <w14:srgbClr w14:val="404040"/>
            </w14:solidFill>
          </w14:textFill>
        </w:rPr>
        <w:t xml:space="preserve">” </w:t>
      </w:r>
      <w:r>
        <w:rPr>
          <w:outline w:val="0"/>
          <w:color w:val="404040"/>
          <w:sz w:val="22"/>
          <w:szCs w:val="22"/>
          <w:u w:color="404040"/>
          <w:rtl w:val="0"/>
          <w14:textFill>
            <w14:solidFill>
              <w14:srgbClr w14:val="404040"/>
            </w14:solidFill>
          </w14:textFill>
        </w:rPr>
        <w:t>(fvitt, Nov 2025). Files: , , .</w:t>
      </w:r>
    </w:p>
    <w:p>
      <w:pPr>
        <w:pStyle w:val="Heading"/>
        <w:pBdr>
          <w:top w:val="nil"/>
          <w:left w:val="nil"/>
          <w:bottom w:val="single" w:color="2e75b6" w:sz="6" w:space="0" w:shadow="0" w:frame="0"/>
          <w:right w:val="nil"/>
        </w:pBdr>
      </w:pPr>
      <w:r>
        <w:rPr>
          <w:outline w:val="0"/>
          <w:color w:val="404040"/>
          <w:sz w:val="22"/>
          <w:szCs w:val="22"/>
          <w:u w:color="404040"/>
          <w:rtl w:val="0"/>
          <w:lang w:val="en-US"/>
          <w14:textFill>
            <w14:solidFill>
              <w14:srgbClr w14:val="404040"/>
            </w14:solidFill>
          </w14:textFill>
        </w:rPr>
        <w:t>CESM shared orbital library</w:t>
      </w:r>
      <w:r>
        <w:rPr>
          <w:outline w:val="0"/>
          <w:color w:val="404040"/>
          <w:sz w:val="22"/>
          <w:szCs w:val="22"/>
          <w:u w:color="404040"/>
          <w:rtl w:val="0"/>
          <w:lang w:val="en-US"/>
          <w14:textFill>
            <w14:solidFill>
              <w14:srgbClr w14:val="404040"/>
            </w14:solidFill>
          </w14:textFill>
        </w:rPr>
        <w:t xml:space="preserve"> — </w:t>
      </w:r>
      <w:r>
        <w:rPr>
          <w:outline w:val="0"/>
          <w:color w:val="404040"/>
          <w:sz w:val="22"/>
          <w:szCs w:val="22"/>
          <w:u w:color="404040"/>
          <w:rtl w:val="0"/>
          <w:lang w:val="en-US"/>
          <w14:textFill>
            <w14:solidFill>
              <w14:srgbClr w14:val="404040"/>
            </w14:solidFill>
          </w14:textFill>
        </w:rPr>
        <w:t>: functions  and . Source: cesm.ucar.edu/models/atm-cam.</w:t>
      </w:r>
    </w:p>
    <w:p>
      <w:pPr>
        <w:pStyle w:val="Heading"/>
        <w:pBdr>
          <w:top w:val="nil"/>
          <w:left w:val="nil"/>
          <w:bottom w:val="single" w:color="2e75b6" w:sz="6" w:space="0" w:shadow="0" w:frame="0"/>
          <w:right w:val="nil"/>
        </w:pBdr>
      </w:pPr>
      <w:r>
        <w:rPr>
          <w:outline w:val="0"/>
          <w:color w:val="404040"/>
          <w:sz w:val="22"/>
          <w:szCs w:val="22"/>
          <w:u w:color="404040"/>
          <w:rtl w:val="0"/>
          <w:lang w:val="en-US"/>
          <w14:textFill>
            <w14:solidFill>
              <w14:srgbClr w14:val="404040"/>
            </w14:solidFill>
          </w14:textFill>
        </w:rPr>
        <w:t>DiscussCESM Forums</w:t>
      </w:r>
      <w:r>
        <w:rPr>
          <w:outline w:val="0"/>
          <w:color w:val="404040"/>
          <w:sz w:val="22"/>
          <w:szCs w:val="22"/>
          <w:u w:color="404040"/>
          <w:rtl w:val="0"/>
          <w:lang w:val="en-US"/>
          <w14:textFill>
            <w14:solidFill>
              <w14:srgbClr w14:val="404040"/>
            </w14:solidFill>
          </w14:textFill>
        </w:rPr>
        <w:t xml:space="preserve"> — </w:t>
      </w:r>
      <w:r>
        <w:rPr>
          <w:outline w:val="0"/>
          <w:color w:val="404040"/>
          <w:sz w:val="22"/>
          <w:szCs w:val="22"/>
          <w:u w:color="404040"/>
          <w:rtl w:val="0"/>
          <w:lang w:val="en-US"/>
          <w14:textFill>
            <w14:solidFill>
              <w14:srgbClr w14:val="404040"/>
            </w14:solidFill>
          </w14:textFill>
        </w:rPr>
        <w:t>SOLIN variable thread confirming  insolation formula ().</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en-US"/>
        <w14:textFill>
          <w14:solidFill>
            <w14:srgbClr w14:val="888888"/>
          </w14:solidFill>
        </w14:textFill>
      </w:rPr>
      <w:t xml:space="preserve">Planetary Sunshade Institute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Internal Technical Note</w:t>
      <w:tab/>
      <w:t>Internal Technical Note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1">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2">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3">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4">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5">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6">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7">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lvl w:ilvl="8">
      <w:start w:val="1"/>
      <w:numFmt w:val="bullet"/>
      <w:suff w:val="tab"/>
      <w:lvlText w:val="•"/>
      <w:lvlJc w:val="left"/>
      <w:pPr>
        <w:ind w:left="687" w:hanging="327"/>
      </w:pPr>
      <w:rPr>
        <w:rFonts w:ascii="Arial" w:cs="Arial" w:hAnsi="Arial" w:eastAsia="Arial"/>
        <w:b w:val="0"/>
        <w:bCs w:val="0"/>
        <w:i w:val="0"/>
        <w:iCs w:val="0"/>
        <w:caps w:val="0"/>
        <w:smallCaps w:val="0"/>
        <w:strike w:val="0"/>
        <w:dstrike w:val="0"/>
        <w:outline w:val="0"/>
        <w:emboss w:val="0"/>
        <w:imprint w:val="0"/>
        <w:color w:val="40404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en-US"/>
      <w14:textOutline>
        <w14:noFill/>
      </w14:textOutline>
      <w14:textFill>
        <w14:solidFill>
          <w14:srgbClr w14:val="1F4E79"/>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noFill/>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