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360" w:type="dxa"/>
        <w:tblLook w:firstColumn="1" w:firstRow="1" w:lastColumn="0" w:lastRow="0" w:noHBand="0" w:noVBand="1" w:val="04A0"/>
      </w:tblPr>
      <w:tblGrid>
        <w:gridCol w:w="9360"/>
      </w:tblGrid>
      <w:tr>
        <w:tc>
          <w:tcPr>
            <w:tcW w:w="9360" w:type="dxa"/>
            <w:shd w:val="clear" w:color="auto" w:fill="1F4E79"/>
            <w:tcMar>
              <w:top w:w="160" w:type="dxa"/>
              <w:left w:w="200" w:type="dxa"/>
              <w:bottom w:w="80" w:type="dxa"/>
              <w:right w:w="200" w:type="dxa"/>
            </w:tcMar>
          </w:tcPr>
          <w:p>
            <w:r>
              <w:rPr>
                <w:rFonts w:ascii="Arial" w:hAnsi="Arial"/>
                <w:b/>
                <w:i w:val="0"/>
                <w:color w:val="FFFFFF"/>
                <w:sz w:val="32"/>
              </w:rPr>
              <w:t>CESM Solar Geometry and the Irradiance Factor .nc File:</w:t>
            </w:r>
          </w:p>
          <w:p>
            <w:pPr>
              <w:spacing w:after="0"/>
            </w:pPr>
            <w:r>
              <w:rPr>
                <w:rFonts w:ascii="Arial" w:hAnsi="Arial"/>
                <w:b w:val="0"/>
                <w:i w:val="0"/>
                <w:color w:val="D6E4F0"/>
                <w:sz w:val="26"/>
              </w:rPr>
              <w:t>Solar Source Properties — TSI, SSI, Solar Cycle, and Limb Darkening</w:t>
            </w:r>
          </w:p>
        </w:tc>
      </w:tr>
      <w:tr>
        <w:tc>
          <w:tcPr>
            <w:tcW w:w="9360" w:type="dxa"/>
            <w:shd w:val="clear" w:color="auto" w:fill="CED7E7"/>
            <w:tcMar>
              <w:top w:w="80" w:type="dxa"/>
              <w:left w:w="200" w:type="dxa"/>
              <w:bottom w:w="80" w:type="dxa"/>
              <w:right w:w="200" w:type="dxa"/>
            </w:tcMar>
          </w:tcPr>
          <w:p>
            <w:r>
              <w:rPr>
                <w:rFonts w:ascii="Helvetica Neue" w:hAnsi="Helvetica Neue"/>
                <w:b w:val="0"/>
                <w:i/>
                <w:color w:val="1F4E79"/>
                <w:sz w:val="20"/>
              </w:rPr>
              <w:t>Planetary Sunshade Institute — Science Team Reference Document</w:t>
            </w:r>
          </w:p>
        </w:tc>
      </w:tr>
    </w:tbl>
    <w:p/>
    <w:p>
      <w:pPr>
        <w:spacing w:after="120" w:before="0"/>
      </w:pPr>
      <w:r>
        <w:rPr>
          <w:rFonts w:ascii="Arial" w:hAnsi="Arial"/>
          <w:b/>
          <w:i w:val="0"/>
          <w:color w:val="1F4E79"/>
          <w:sz w:val="22"/>
        </w:rPr>
        <w:t>Summary</w:t>
      </w:r>
    </w:p>
    <w:p>
      <w:pPr>
        <w:spacing w:after="160" w:before="0"/>
      </w:pPr>
      <w:r>
        <w:rPr>
          <w:rFonts w:ascii="Helvetica Neue" w:hAnsi="Helvetica Neue"/>
          <w:b w:val="0"/>
          <w:i w:val="0"/>
          <w:color w:val="000000"/>
          <w:sz w:val="20"/>
        </w:rPr>
        <w:t>This note addresses how the properties of the solar source — Total Solar Irradiance, Solar Spectral Irradiance, the 11-year solar cycle, and limb darkening — interact with the PSF Matlab modeling pipeline and CESM. It covers audit rows A1, A2, A4, and A5. The central finding is that most solar source properties are irrelevant to the irradiance factor .nc file by the same structural argument that applies to orbital distances: the irradiance factor is a dimensionless ratio, not an absolute flux. Limb darkening is the deliberate exception.</w:t>
      </w:r>
    </w:p>
    <w:tbl>
      <w:tblPr>
        <w:tblStyle w:val="TableGrid"/>
        <w:tblW w:w="9360" w:type="dxa"/>
        <w:tblLook w:firstColumn="1" w:firstRow="1" w:lastColumn="0" w:lastRow="0" w:noHBand="0" w:noVBand="1" w:val="04A0"/>
      </w:tblPr>
      <w:tblGrid>
        <w:gridCol w:w="9360"/>
      </w:tblGrid>
      <w:tr>
        <w:tc>
          <w:tcPr>
            <w:tcW w:w="9360" w:type="dxa"/>
            <w:shd w:val="clear" w:color="auto" w:fill="1F4E79"/>
            <w:tcMar>
              <w:top w:w="160" w:type="dxa"/>
              <w:left w:w="200" w:type="dxa"/>
              <w:bottom w:w="160" w:type="dxa"/>
              <w:right w:w="200" w:type="dxa"/>
            </w:tcMar>
          </w:tcPr>
          <w:p>
            <w:pPr>
              <w:spacing w:after="120"/>
            </w:pPr>
            <w:r>
              <w:rPr>
                <w:rFonts w:ascii="Arial" w:hAnsi="Arial"/>
                <w:b/>
                <w:i w:val="0"/>
                <w:color w:val="FFFFFF"/>
                <w:sz w:val="22"/>
              </w:rPr>
              <w:t>Key Finding</w:t>
            </w:r>
          </w:p>
          <w:p>
            <w:pPr>
              <w:spacing w:after="80"/>
            </w:pPr>
            <w:r>
              <w:rPr>
                <w:rFonts w:ascii="Helvetica Neue" w:hAnsi="Helvetica Neue"/>
                <w:b w:val="0"/>
                <w:i w:val="0"/>
                <w:color w:val="FFFFFF"/>
                <w:sz w:val="20"/>
              </w:rPr>
              <w:t>TSI (A1), SSI band weights (A2), and the solar cycle (A4) all cancel from the irradiance factor ratio, because they appear as identical multipliers in both the shaded and unshaded irradiance calculations. CESM handles each of these independently via its Solar Forcing NetCDF and internal orbital model.</w:t>
            </w:r>
          </w:p>
          <w:p>
            <w:pPr>
              <w:spacing w:after="80"/>
            </w:pPr>
            <w:r>
              <w:rPr>
                <w:rFonts w:ascii="Helvetica Neue" w:hAnsi="Helvetica Neue"/>
                <w:b w:val="0"/>
                <w:i w:val="0"/>
                <w:color w:val="FFFFFF"/>
                <w:sz w:val="20"/>
              </w:rPr>
            </w:r>
          </w:p>
          <w:p>
            <w:pPr>
              <w:spacing w:after="80"/>
            </w:pPr>
            <w:r>
              <w:rPr>
                <w:rFonts w:ascii="Helvetica Neue" w:hAnsi="Helvetica Neue"/>
                <w:b w:val="0"/>
                <w:i w:val="0"/>
                <w:color w:val="FFFFFF"/>
                <w:sz w:val="20"/>
              </w:rPr>
              <w:t>Limb darkening (A5) is different: it does not cancel, because the shade covers only a portion of the solar disk, so the shaded and unshaded integrals weight different regions. It is correctly implemented in the PSF model and is not present in CESM's radiation pipeline — there is no double-counting.</w:t>
            </w:r>
          </w:p>
        </w:tc>
      </w:tr>
    </w:tbl>
    <w:p/>
    <w:p>
      <w:pPr>
        <w:pBdr>
          <w:bottom w:val="single" w:sz="6" w:space="1" w:color="2E74B5"/>
        </w:pBdr>
        <w:spacing w:before="240" w:after="80"/>
      </w:pPr>
      <w:r>
        <w:rPr>
          <w:rFonts w:ascii="Arial" w:hAnsi="Arial"/>
          <w:b/>
          <w:color w:val="1F4E79"/>
          <w:sz w:val="26"/>
        </w:rPr>
        <w:t>Background: The Irradiance Factor as a Dimensionless Ratio</w:t>
      </w:r>
    </w:p>
    <w:p>
      <w:pPr>
        <w:spacing w:after="120" w:before="0"/>
      </w:pPr>
      <w:r>
        <w:rPr>
          <w:rFonts w:ascii="Helvetica Neue" w:hAnsi="Helvetica Neue"/>
          <w:b w:val="0"/>
          <w:i w:val="0"/>
          <w:color w:val="000000"/>
          <w:sz w:val="20"/>
        </w:rPr>
        <w:t>The PSF Matlab pipeline's primary output is the irradiance factor: the fractional reduction in solar irradiance at the top of the atmosphere due to the sunshade constellation. It is defined as:</w:t>
      </w:r>
    </w:p>
    <w:p>
      <w:pPr>
        <w:shd w:val="clear" w:color="auto" w:fill="F2F2F2"/>
        <w:spacing w:after="20" w:before="20"/>
        <w:ind w:left="576"/>
      </w:pPr>
      <w:r>
        <w:rPr>
          <w:rFonts w:ascii="Courier New" w:hAnsi="Courier New"/>
          <w:b w:val="0"/>
          <w:i w:val="0"/>
          <w:color w:val="404040"/>
          <w:sz w:val="18"/>
        </w:rPr>
        <w:t>irradiance factor = 1 − (shaded irradiance / unshaded irradiance)</w:t>
      </w:r>
    </w:p>
    <w:p>
      <w:pPr>
        <w:spacing w:after="160" w:before="0"/>
      </w:pPr>
      <w:r>
        <w:rPr>
          <w:rFonts w:ascii="Helvetica Neue" w:hAnsi="Helvetica Neue"/>
          <w:b w:val="0"/>
          <w:i w:val="0"/>
          <w:color w:val="000000"/>
          <w:sz w:val="20"/>
        </w:rPr>
        <w:t>Both analysis_Irradiance___Sr___nM and analysis_Shaded_Irradiance___Sr___nM return arrays of shape [latitude cells × longitude cells × spectral bands]. The irradiance factor is computed by dividing these arrays element-wise, per grid cell and per spectral band, before any further processing. Any quantity that appears as a common scalar multiplier in both functions therefore cancels exactly in the division — it is present on both sides and divides out. This note identifies which solar source properties fall into that category and which do not.</w:t>
      </w:r>
    </w:p>
    <w:p>
      <w:pPr>
        <w:pBdr>
          <w:bottom w:val="single" w:sz="6" w:space="1" w:color="2E74B5"/>
        </w:pBdr>
        <w:spacing w:before="240" w:after="80"/>
      </w:pPr>
      <w:r>
        <w:rPr>
          <w:rFonts w:ascii="Arial" w:hAnsi="Arial"/>
          <w:b/>
          <w:color w:val="1F4E79"/>
          <w:sz w:val="26"/>
        </w:rPr>
        <w:t>A1 — Total Solar Irradiance (TSI)</w:t>
      </w:r>
    </w:p>
    <w:p>
      <w:pPr>
        <w:spacing w:after="120" w:before="0"/>
      </w:pPr>
      <w:r>
        <w:rPr>
          <w:rFonts w:ascii="Helvetica Neue" w:hAnsi="Helvetica Neue"/>
          <w:b w:val="0"/>
          <w:i w:val="0"/>
          <w:color w:val="000000"/>
          <w:sz w:val="20"/>
        </w:rPr>
        <w:t>The PSF pipeline uses a fixed solar luminosity constant defined in parameters_Physical___0___2Sr2S.m:</w:t>
      </w:r>
    </w:p>
    <w:p>
      <w:pPr>
        <w:shd w:val="clear" w:color="auto" w:fill="F2F2F2"/>
        <w:spacing w:after="20" w:before="20"/>
        <w:ind w:left="576"/>
      </w:pPr>
      <w:r>
        <w:rPr>
          <w:rFonts w:ascii="Courier New" w:hAnsi="Courier New"/>
          <w:b w:val="0"/>
          <w:i w:val="0"/>
          <w:color w:val="404040"/>
          <w:sz w:val="18"/>
        </w:rPr>
        <w:t>luminosity_star = 3.828 × 10²⁶  W</w:t>
      </w:r>
    </w:p>
    <w:p>
      <w:pPr>
        <w:spacing w:after="120" w:before="0"/>
      </w:pPr>
      <w:r>
        <w:rPr>
          <w:rFonts w:ascii="Helvetica Neue" w:hAnsi="Helvetica Neue"/>
          <w:b w:val="0"/>
          <w:i w:val="0"/>
          <w:color w:val="000000"/>
          <w:sz w:val="20"/>
        </w:rPr>
        <w:t>This value appears in analysis_Irradiance (line 60) as a prefactor in the unshaded irradiance calculation, and in analysis_Shaded_Irradiance (line 143) as an identical prefactor in the shaded irradiance calculation. Since it is the same scalar on both sides of the ratio, it cancels exactly. The irradiance factor is independent of the absolute TSI value.</w:t>
      </w:r>
    </w:p>
    <w:p>
      <w:pPr>
        <w:spacing w:after="160" w:before="0"/>
      </w:pPr>
      <w:r>
        <w:rPr>
          <w:rFonts w:ascii="Helvetica Neue" w:hAnsi="Helvetica Neue"/>
          <w:b w:val="0"/>
          <w:i w:val="0"/>
          <w:color w:val="000000"/>
          <w:sz w:val="20"/>
        </w:rPr>
        <w:t>CESM receives TSI from its Solar Forcing NetCDF input file, which provides historically measured and projected values across the full solar cycle. This is entirely independent of the PSF pipeline's fixed constant — the two never need to match, because TSI does not appear in the irradiance factor. No action is needed and there is no gap.</w:t>
      </w:r>
    </w:p>
    <w:p>
      <w:pPr>
        <w:pBdr>
          <w:bottom w:val="single" w:sz="6" w:space="1" w:color="2E74B5"/>
        </w:pBdr>
        <w:spacing w:before="240" w:after="80"/>
      </w:pPr>
      <w:r>
        <w:rPr>
          <w:rFonts w:ascii="Arial" w:hAnsi="Arial"/>
          <w:b/>
          <w:color w:val="1F4E79"/>
          <w:sz w:val="26"/>
        </w:rPr>
        <w:t>A4 — Solar 11-Year Cycle</w:t>
      </w:r>
    </w:p>
    <w:p>
      <w:pPr>
        <w:spacing w:after="120" w:before="0"/>
      </w:pPr>
      <w:r>
        <w:rPr>
          <w:rFonts w:ascii="Helvetica Neue" w:hAnsi="Helvetica Neue"/>
          <w:b w:val="0"/>
          <w:i w:val="0"/>
          <w:color w:val="000000"/>
          <w:sz w:val="20"/>
        </w:rPr>
        <w:t>The 11-year solar cycle modulates TSI by approximately ±0.05% around the mean and modulates SSI by larger fractions in specific wavelength bands (particularly UV). Because TSI and SSI band weights cancel from the irradiance factor ratio (see A1 and A2 above), the solar cycle variation also cancels. A sunshade constellation that blocks a fixed fraction of the solar disk blocks the same fraction regardless of whether the Sun is at solar maximum or minimum.</w:t>
      </w:r>
    </w:p>
    <w:p>
      <w:pPr>
        <w:spacing w:after="160" w:before="0"/>
      </w:pPr>
      <w:r>
        <w:rPr>
          <w:rFonts w:ascii="Helvetica Neue" w:hAnsi="Helvetica Neue"/>
          <w:b w:val="0"/>
          <w:i w:val="0"/>
          <w:color w:val="000000"/>
          <w:sz w:val="20"/>
        </w:rPr>
        <w:t>CESM handles the solar cycle through the Solar Forcing NetCDF, which can be configured with historical observations or prescribed cycles. No representation of the solar cycle is needed in the irradiance factor .nc file.</w:t>
      </w:r>
    </w:p>
    <w:p>
      <w:pPr>
        <w:pBdr>
          <w:bottom w:val="single" w:sz="6" w:space="1" w:color="2E74B5"/>
        </w:pBdr>
        <w:spacing w:before="240" w:after="80"/>
      </w:pPr>
      <w:r>
        <w:rPr>
          <w:rFonts w:ascii="Arial" w:hAnsi="Arial"/>
          <w:b/>
          <w:color w:val="1F4E79"/>
          <w:sz w:val="26"/>
        </w:rPr>
        <w:t>A2 — Solar Spectral Irradiance (SSI)</w:t>
      </w:r>
    </w:p>
    <w:p>
      <w:pPr>
        <w:spacing w:before="160" w:after="40"/>
      </w:pPr>
      <w:r>
        <w:rPr>
          <w:rFonts w:ascii="Arial" w:hAnsi="Arial"/>
          <w:b/>
          <w:color w:val="2E74B5"/>
          <w:sz w:val="22"/>
        </w:rPr>
        <w:t>Absolute SSI Cancels from the Ratio</w:t>
      </w:r>
    </w:p>
    <w:p>
      <w:pPr>
        <w:spacing w:after="120" w:before="0"/>
      </w:pPr>
      <w:r>
        <w:rPr>
          <w:rFonts w:ascii="Helvetica Neue" w:hAnsi="Helvetica Neue"/>
          <w:b w:val="0"/>
          <w:i w:val="0"/>
          <w:color w:val="000000"/>
          <w:sz w:val="20"/>
        </w:rPr>
        <w:t>The spectral irradiance fraction for each band k, spectral_data.irradiances(k), appears as a multiplier in both analysis functions at the same position in the calculation. Since the irradiance factor is computed by element-wise division per spectral band, these weights cancel exactly within each band. The absolute SSI — how many watts fall in each wavelength range — does not affect the irradiance factor.</w:t>
      </w:r>
    </w:p>
    <w:p>
      <w:pPr>
        <w:spacing w:before="160" w:after="40"/>
      </w:pPr>
      <w:r>
        <w:rPr>
          <w:rFonts w:ascii="Arial" w:hAnsi="Arial"/>
          <w:b/>
          <w:color w:val="2E74B5"/>
          <w:sz w:val="22"/>
        </w:rPr>
        <w:t>Current State: Single Spectral Band</w:t>
      </w:r>
    </w:p>
    <w:p>
      <w:pPr>
        <w:spacing w:after="120" w:before="0"/>
      </w:pPr>
      <w:r>
        <w:rPr>
          <w:rFonts w:ascii="Helvetica Neue" w:hAnsi="Helvetica Neue"/>
          <w:b w:val="0"/>
          <w:i w:val="0"/>
          <w:color w:val="000000"/>
          <w:sz w:val="20"/>
        </w:rPr>
        <w:t>The star spectral data.xlsx file currently contains a single entry: the 'Default' band, with no wavelength range assigned and no per-band irradiance fraction. The irradiance factor is therefore computed as a single, spectrally undifferentiated number per grid cell. The limb darkening coefficients applied are broad-band averages (C1 = 0.61, C2 = 0.39 — see A5).</w:t>
      </w:r>
    </w:p>
    <w:p>
      <w:pPr>
        <w:spacing w:after="120" w:before="0"/>
      </w:pPr>
      <w:r>
        <w:rPr>
          <w:rFonts w:ascii="Helvetica Neue" w:hAnsi="Helvetica Neue"/>
          <w:b w:val="0"/>
          <w:i w:val="0"/>
          <w:color w:val="000000"/>
          <w:sz w:val="20"/>
        </w:rPr>
        <w:t>CESM currently applies the irradiance factor as a uniform multiplier across all spectral bands in its rebin() call (PR #1443: sfac is not wavelength-indexed). The single-band PSF output is therefore consistent with how CESM currently consumes it — both treat the irradiance factor as spectrally flat.</w:t>
      </w:r>
    </w:p>
    <w:tbl>
      <w:tblPr>
        <w:tblStyle w:val="TableGrid"/>
        <w:tblW w:w="9360" w:type="dxa"/>
        <w:tblLook w:firstColumn="1" w:firstRow="1" w:lastColumn="0" w:lastRow="0" w:noHBand="0" w:noVBand="1" w:val="04A0"/>
      </w:tblPr>
      <w:tblGrid>
        <w:gridCol w:w="9360"/>
      </w:tblGrid>
      <w:tr>
        <w:tc>
          <w:tcPr>
            <w:tcW w:w="9360" w:type="dxa"/>
            <w:tcBorders>
              <w:top w:val="single" w:sz="6" w:space="0" w:color="2E74B5"/>
              <w:left w:val="single" w:sz="6" w:space="0" w:color="2E74B5"/>
              <w:bottom w:val="single" w:sz="6" w:space="0" w:color="2E74B5"/>
              <w:right w:val="single" w:sz="6" w:space="0" w:color="2E74B5"/>
            </w:tcBorders>
            <w:shd w:val="clear" w:color="auto" w:fill="D6E4F0"/>
            <w:tcMar>
              <w:top w:w="120" w:type="dxa"/>
              <w:left w:w="180" w:type="dxa"/>
              <w:bottom w:w="120" w:type="dxa"/>
              <w:right w:w="180" w:type="dxa"/>
            </w:tcMar>
          </w:tcPr>
          <w:p>
            <w:pPr>
              <w:spacing w:after="80"/>
            </w:pPr>
            <w:r>
              <w:rPr>
                <w:rFonts w:ascii="Arial" w:hAnsi="Arial"/>
                <w:b/>
                <w:i w:val="0"/>
                <w:color w:val="1F4E79"/>
                <w:sz w:val="20"/>
              </w:rPr>
              <w:t>Forward-looking note on multi-band irradiance factors</w:t>
            </w:r>
          </w:p>
          <w:p>
            <w:pPr>
              <w:spacing w:after="60"/>
            </w:pPr>
            <w:r>
              <w:rPr>
                <w:rFonts w:ascii="Helvetica Neue" w:hAnsi="Helvetica Neue"/>
                <w:b w:val="0"/>
                <w:i w:val="0"/>
                <w:color w:val="000000"/>
                <w:sz w:val="20"/>
              </w:rPr>
              <w:t>If a future implementation requires the irradiance factor to vary by wavelength (for example, if the shade material has spectrally selective transmission, or if CESM is updated to accept per-band irradiance factors), the PSF pipeline would need to output a wavelength-indexed irradiance factor. This would require per-band limb darkening coefficients, since UV and infrared limb darkening differ significantly. The star spectral data.xlsx file and the power_Series_Of_Matrix function are already structured to support multiple bands — this would be a data entry change rather than a code redesign.</w:t>
            </w:r>
          </w:p>
        </w:tc>
      </w:tr>
    </w:tbl>
    <w:p/>
    <w:p>
      <w:pPr>
        <w:pBdr>
          <w:bottom w:val="single" w:sz="6" w:space="1" w:color="2E74B5"/>
        </w:pBdr>
        <w:spacing w:before="240" w:after="80"/>
      </w:pPr>
      <w:r>
        <w:rPr>
          <w:rFonts w:ascii="Arial" w:hAnsi="Arial"/>
          <w:b/>
          <w:color w:val="1F4E79"/>
          <w:sz w:val="26"/>
        </w:rPr>
        <w:t>A5 — Limb Darkening</w:t>
      </w:r>
    </w:p>
    <w:p>
      <w:pPr>
        <w:spacing w:before="160" w:after="40"/>
      </w:pPr>
      <w:r>
        <w:rPr>
          <w:rFonts w:ascii="Arial" w:hAnsi="Arial"/>
          <w:b/>
          <w:color w:val="2E74B5"/>
          <w:sz w:val="22"/>
        </w:rPr>
        <w:t>Why Limb Darkening Does Not Cancel</w:t>
      </w:r>
    </w:p>
    <w:p>
      <w:pPr>
        <w:spacing w:after="120" w:before="0"/>
      </w:pPr>
      <w:r>
        <w:rPr>
          <w:rFonts w:ascii="Helvetica Neue" w:hAnsi="Helvetica Neue"/>
          <w:b w:val="0"/>
          <w:i w:val="0"/>
          <w:color w:val="000000"/>
          <w:sz w:val="20"/>
        </w:rPr>
        <w:t>Limb darkening is the reduction in surface brightness toward the edge of the solar disk, caused by the increasing optical depth of the solar atmosphere at oblique viewing angles. The Sun is roughly 40% dimmer at its limb than at its center.</w:t>
      </w:r>
    </w:p>
    <w:p>
      <w:pPr>
        <w:spacing w:after="120" w:before="0"/>
      </w:pPr>
      <w:r>
        <w:rPr>
          <w:rFonts w:ascii="Helvetica Neue" w:hAnsi="Helvetica Neue"/>
          <w:b w:val="0"/>
          <w:i w:val="0"/>
          <w:color w:val="000000"/>
          <w:sz w:val="20"/>
        </w:rPr>
        <w:t>Unlike TSI or SSI, limb darkening does not appear as the same factor in both legs of the ratio. The unshaded irradiance calculation integrates the limb darkening function across the entire visible solar disk. The shaded irradiance calculation integrates it only across the unblocked portion of the disk. These two integrals cover different regions. If the shade is positioned to block the solar limb (dimmer), it reduces irradiance by less than an equal-area shade positioned at the center (brighter). This is a real geometric effect that depends on the shade's angular position relative to the solar disk, which in turn depends on which latitude on Earth is being computed. It cannot be factored out of the ratio.</w:t>
      </w:r>
    </w:p>
    <w:p>
      <w:pPr>
        <w:spacing w:before="160" w:after="40"/>
      </w:pPr>
      <w:r>
        <w:rPr>
          <w:rFonts w:ascii="Arial" w:hAnsi="Arial"/>
          <w:b/>
          <w:color w:val="2E74B5"/>
          <w:sz w:val="22"/>
        </w:rPr>
        <w:t>Implementation in the PSF Pipeline</w:t>
      </w:r>
    </w:p>
    <w:p>
      <w:pPr>
        <w:spacing w:after="120" w:before="0"/>
      </w:pPr>
      <w:r>
        <w:rPr>
          <w:rFonts w:ascii="Helvetica Neue" w:hAnsi="Helvetica Neue"/>
          <w:b w:val="0"/>
          <w:i w:val="0"/>
          <w:color w:val="000000"/>
          <w:sz w:val="20"/>
        </w:rPr>
        <w:t>Limb darkening is implemented in both analysis_Irradiance and analysis_Shaded_Irradiance via the power_Series_Of_Matrix function, which evaluates a polynomial in cos(θ_S) — the cosine of the angle between the line of sight and the solar disk normal:</w:t>
      </w:r>
    </w:p>
    <w:p>
      <w:pPr>
        <w:shd w:val="clear" w:color="auto" w:fill="F2F2F2"/>
        <w:spacing w:after="20" w:before="20"/>
        <w:ind w:left="576"/>
      </w:pPr>
      <w:r>
        <w:rPr>
          <w:rFonts w:ascii="Courier New" w:hAnsi="Courier New"/>
          <w:b w:val="0"/>
          <w:i w:val="0"/>
          <w:color w:val="404040"/>
          <w:sz w:val="18"/>
        </w:rPr>
        <w:t>LD(μ) = C₁ + C₂·μ + C₃·μ² + C₄·μ³   where μ = cos(θ_S)</w:t>
      </w:r>
    </w:p>
    <w:p>
      <w:pPr>
        <w:shd w:val="clear" w:color="auto" w:fill="F2F2F2"/>
        <w:spacing w:after="20" w:before="20"/>
        <w:ind w:left="576"/>
      </w:pPr>
      <w:r>
        <w:rPr>
          <w:rFonts w:ascii="Courier New" w:hAnsi="Courier New"/>
          <w:b w:val="0"/>
          <w:i w:val="0"/>
          <w:color w:val="404040"/>
          <w:sz w:val="18"/>
        </w:rPr>
      </w:r>
    </w:p>
    <w:p>
      <w:pPr>
        <w:shd w:val="clear" w:color="auto" w:fill="F2F2F2"/>
        <w:spacing w:after="20" w:before="20"/>
        <w:ind w:left="576"/>
      </w:pPr>
      <w:r>
        <w:rPr>
          <w:rFonts w:ascii="Courier New" w:hAnsi="Courier New"/>
          <w:b w:val="0"/>
          <w:i w:val="0"/>
          <w:color w:val="404040"/>
          <w:sz w:val="18"/>
        </w:rPr>
        <w:t>Current coefficients (Default band, from star spectral data.xlsx):</w:t>
      </w:r>
    </w:p>
    <w:p>
      <w:pPr>
        <w:shd w:val="clear" w:color="auto" w:fill="F2F2F2"/>
        <w:spacing w:after="20" w:before="20"/>
        <w:ind w:left="576"/>
      </w:pPr>
      <w:r>
        <w:rPr>
          <w:rFonts w:ascii="Courier New" w:hAnsi="Courier New"/>
          <w:b w:val="0"/>
          <w:i w:val="0"/>
          <w:color w:val="404040"/>
          <w:sz w:val="18"/>
        </w:rPr>
        <w:t xml:space="preserve">  C₁ = 0.61,  C₂ = 0.39,  C₃ = 0,  C₄ = 0</w:t>
      </w:r>
    </w:p>
    <w:p>
      <w:pPr>
        <w:shd w:val="clear" w:color="auto" w:fill="F2F2F2"/>
        <w:spacing w:after="20" w:before="20"/>
        <w:ind w:left="576"/>
      </w:pPr>
      <w:r>
        <w:rPr>
          <w:rFonts w:ascii="Courier New" w:hAnsi="Courier New"/>
          <w:b w:val="0"/>
          <w:i w:val="0"/>
          <w:color w:val="404040"/>
          <w:sz w:val="18"/>
        </w:rPr>
        <w:t xml:space="preserve">  → LD(μ) = 0.61 + 0.39·μ   [linear Eddington approximation]</w:t>
      </w:r>
    </w:p>
    <w:p>
      <w:pPr>
        <w:spacing w:after="120" w:before="0"/>
      </w:pPr>
      <w:r>
        <w:rPr>
          <w:rFonts w:ascii="Helvetica Neue" w:hAnsi="Helvetica Neue"/>
          <w:b w:val="0"/>
          <w:i w:val="0"/>
          <w:color w:val="000000"/>
          <w:sz w:val="20"/>
        </w:rPr>
        <w:t>The coefficients are normalized during import so that the limb darkening function integrates to unity over the solar disk, ensuring the total irradiance is conserved.</w:t>
      </w:r>
    </w:p>
    <w:p>
      <w:pPr>
        <w:spacing w:before="160" w:after="40"/>
      </w:pPr>
      <w:r>
        <w:rPr>
          <w:rFonts w:ascii="Arial" w:hAnsi="Arial"/>
          <w:b/>
          <w:color w:val="2E74B5"/>
          <w:sz w:val="22"/>
        </w:rPr>
        <w:t>No Double-Counting with CESM</w:t>
      </w:r>
    </w:p>
    <w:p>
      <w:pPr>
        <w:spacing w:after="120" w:before="0"/>
      </w:pPr>
      <w:r>
        <w:rPr>
          <w:rFonts w:ascii="Helvetica Neue" w:hAnsi="Helvetica Neue"/>
          <w:b w:val="0"/>
          <w:i w:val="0"/>
          <w:color w:val="000000"/>
          <w:sz w:val="20"/>
        </w:rPr>
        <w:t>CESM's radiation pipeline computes top-of-atmosphere insolation as:</w:t>
      </w:r>
    </w:p>
    <w:p>
      <w:pPr>
        <w:shd w:val="clear" w:color="auto" w:fill="F2F2F2"/>
        <w:spacing w:after="20" w:before="20"/>
        <w:ind w:left="576"/>
      </w:pPr>
      <w:r>
        <w:rPr>
          <w:rFonts w:ascii="Courier New" w:hAnsi="Courier New"/>
          <w:b w:val="0"/>
          <w:i w:val="0"/>
          <w:color w:val="404040"/>
          <w:sz w:val="18"/>
        </w:rPr>
        <w:t>solin(i) = Σ( sfac × solar_band_irrad ) × eccf × coszrs(i)</w:t>
      </w:r>
    </w:p>
    <w:p>
      <w:pPr>
        <w:spacing w:after="120" w:before="0"/>
      </w:pPr>
      <w:r>
        <w:rPr>
          <w:rFonts w:ascii="Helvetica Neue" w:hAnsi="Helvetica Neue"/>
          <w:b w:val="0"/>
          <w:i w:val="0"/>
          <w:color w:val="000000"/>
          <w:sz w:val="20"/>
        </w:rPr>
        <w:t>The coszrs(i) term is the cosine of the solar zenith angle at Earth's surface — a measure of how obliquely sunlight strikes a given atmospheric column. This is entirely distinct from the solar disk limb darkening angle θ_S, which describes brightness variation across the face of the Sun itself. CESM's radiation code applies no solar disk limb darkening. There is no double-counting.</w:t>
      </w:r>
    </w:p>
    <w:tbl>
      <w:tblPr>
        <w:tblStyle w:val="TableGrid"/>
        <w:tblW w:w="9360" w:type="dxa"/>
        <w:tblLook w:firstColumn="1" w:firstRow="1" w:lastColumn="0" w:lastRow="0" w:noHBand="0" w:noVBand="1" w:val="04A0"/>
      </w:tblPr>
      <w:tblGrid>
        <w:gridCol w:w="9360"/>
      </w:tblGrid>
      <w:tr>
        <w:tc>
          <w:tcPr>
            <w:tcW w:w="9360" w:type="dxa"/>
            <w:tcBorders>
              <w:top w:val="single" w:sz="6" w:space="0" w:color="2E74B5"/>
              <w:left w:val="single" w:sz="6" w:space="0" w:color="2E74B5"/>
              <w:bottom w:val="single" w:sz="6" w:space="0" w:color="2E74B5"/>
              <w:right w:val="single" w:sz="6" w:space="0" w:color="2E74B5"/>
            </w:tcBorders>
            <w:shd w:val="clear" w:color="auto" w:fill="D6E4F0"/>
            <w:tcMar>
              <w:top w:w="120" w:type="dxa"/>
              <w:left w:w="180" w:type="dxa"/>
              <w:bottom w:w="120" w:type="dxa"/>
              <w:right w:w="180" w:type="dxa"/>
            </w:tcMar>
          </w:tcPr>
          <w:p>
            <w:pPr>
              <w:spacing w:after="80"/>
            </w:pPr>
            <w:r>
              <w:rPr>
                <w:rFonts w:ascii="Arial" w:hAnsi="Arial"/>
                <w:b/>
                <w:i w:val="0"/>
                <w:color w:val="1F4E79"/>
                <w:sz w:val="20"/>
              </w:rPr>
              <w:t>Note on limb darkening coefficient source</w:t>
            </w:r>
          </w:p>
          <w:p>
            <w:pPr>
              <w:spacing w:after="60"/>
            </w:pPr>
            <w:r>
              <w:rPr>
                <w:rFonts w:ascii="Helvetica Neue" w:hAnsi="Helvetica Neue"/>
                <w:b w:val="0"/>
                <w:i w:val="0"/>
                <w:color w:val="000000"/>
                <w:sz w:val="20"/>
              </w:rPr>
              <w:t>The coefficients C₁ = 0.61, C₂ = 0.39 are the standard linear limb darkening law (Eddington 1916 approximation) for broadband visible light. These are appropriate for a single-band, spectrally-averaged calculation. If the model is extended to multiple spectral bands, per-wavelength coefficients should be used: UV limb darkening is substantially stronger (more center-to-limb variation) than infrared. The four-coefficient polynomial structure in the code supports higher-order fits. Source for current coefficients should be formally cited.</w:t>
            </w:r>
          </w:p>
        </w:tc>
      </w:tr>
    </w:tbl>
    <w:p/>
    <w:p>
      <w:pPr>
        <w:pBdr>
          <w:bottom w:val="single" w:sz="6" w:space="1" w:color="2E74B5"/>
        </w:pBdr>
        <w:spacing w:before="240" w:after="80"/>
      </w:pPr>
      <w:r>
        <w:rPr>
          <w:rFonts w:ascii="Arial" w:hAnsi="Arial"/>
          <w:b/>
          <w:color w:val="1F4E79"/>
          <w:sz w:val="26"/>
        </w:rPr>
        <w:t>Summary</w:t>
      </w:r>
    </w:p>
    <w:tbl>
      <w:tblPr>
        <w:tblStyle w:val="TableGrid"/>
        <w:tblW w:w="9360" w:type="dxa"/>
        <w:tblLook w:firstColumn="1" w:firstRow="1" w:lastColumn="0" w:lastRow="0" w:noHBand="0" w:noVBand="1" w:val="04A0"/>
      </w:tblPr>
      <w:tblGrid>
        <w:gridCol w:w="3120"/>
        <w:gridCol w:w="3120"/>
        <w:gridCol w:w="3120"/>
      </w:tblGrid>
      <w:tr>
        <w:tc>
          <w:tcPr>
            <w:tcW w:w="14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tcPr>
          <w:p>
            <w:r>
              <w:rPr>
                <w:rFonts w:ascii="Arial" w:hAnsi="Arial"/>
                <w:b/>
                <w:i w:val="0"/>
                <w:color w:val="FFFFFF"/>
                <w:sz w:val="20"/>
              </w:rPr>
              <w:t>Row</w:t>
            </w:r>
          </w:p>
        </w:tc>
        <w:tc>
          <w:tcPr>
            <w:tcW w:w="43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tcPr>
          <w:p>
            <w:r>
              <w:rPr>
                <w:rFonts w:ascii="Arial" w:hAnsi="Arial"/>
                <w:b/>
                <w:i w:val="0"/>
                <w:color w:val="FFFFFF"/>
                <w:sz w:val="20"/>
              </w:rPr>
              <w:t>Finding</w:t>
            </w:r>
          </w:p>
        </w:tc>
        <w:tc>
          <w:tcPr>
            <w:tcW w:w="3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40" w:type="dxa"/>
              <w:bottom w:w="80" w:type="dxa"/>
              <w:right w:w="140" w:type="dxa"/>
            </w:tcMar>
          </w:tcPr>
          <w:p>
            <w:r>
              <w:rPr>
                <w:rFonts w:ascii="Arial" w:hAnsi="Arial"/>
                <w:b/>
                <w:i w:val="0"/>
                <w:color w:val="FFFFFF"/>
                <w:sz w:val="20"/>
              </w:rPr>
              <w:t>Verdict</w:t>
            </w:r>
          </w:p>
        </w:tc>
      </w:tr>
      <w:tr>
        <w:tc>
          <w:tcPr>
            <w:tcW w:w="140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i w:val="0"/>
                <w:color w:val="1F4E79"/>
                <w:sz w:val="20"/>
              </w:rPr>
              <w:t>A1</w:t>
              <w:br/>
              <w:t>Total Solar Irradiance</w:t>
            </w:r>
          </w:p>
        </w:tc>
        <w:tc>
          <w:tcPr>
            <w:tcW w:w="436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val="0"/>
                <w:i w:val="0"/>
                <w:color w:val="375623"/>
                <w:sz w:val="20"/>
              </w:rPr>
              <w:t>luminosity_S (fixed at 3.828×10²⁶ W) appears identically in both legs of the irradiance factor ratio and cancels exactly. CESM handles absolute TSI via the Solar Forcing NetCDF.</w:t>
            </w:r>
          </w:p>
        </w:tc>
        <w:tc>
          <w:tcPr>
            <w:tcW w:w="360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val="0"/>
                <w:i w:val="0"/>
                <w:color w:val="375623"/>
                <w:sz w:val="20"/>
              </w:rPr>
              <w:t>CESM-internal</w:t>
              <w:br/>
              <w:t>No action needed</w:t>
            </w:r>
          </w:p>
        </w:tc>
      </w:tr>
      <w:tr>
        <w:tc>
          <w:tcPr>
            <w:tcW w:w="1400" w:type="dxa"/>
            <w:tcBorders>
              <w:top w:val="single" w:sz="4" w:space="0" w:color="CED7E7"/>
              <w:left w:val="single" w:sz="4" w:space="0" w:color="CED7E7"/>
              <w:bottom w:val="single" w:sz="4" w:space="0" w:color="CED7E7"/>
              <w:right w:val="single" w:sz="4" w:space="0" w:color="CED7E7"/>
            </w:tcBorders>
            <w:shd w:val="clear" w:color="auto" w:fill="FFFFFF"/>
            <w:tcMar>
              <w:top w:w="80" w:type="dxa"/>
              <w:left w:w="140" w:type="dxa"/>
              <w:bottom w:w="80" w:type="dxa"/>
              <w:right w:w="140" w:type="dxa"/>
            </w:tcMar>
          </w:tcPr>
          <w:p>
            <w:r>
              <w:rPr>
                <w:rFonts w:ascii="Helvetica Neue" w:hAnsi="Helvetica Neue"/>
                <w:b/>
                <w:i w:val="0"/>
                <w:color w:val="1F4E79"/>
                <w:sz w:val="20"/>
              </w:rPr>
              <w:t>A2</w:t>
              <w:br/>
              <w:t>Solar Spectral Irradiance</w:t>
            </w:r>
          </w:p>
        </w:tc>
        <w:tc>
          <w:tcPr>
            <w:tcW w:w="4360" w:type="dxa"/>
            <w:tcBorders>
              <w:top w:val="single" w:sz="4" w:space="0" w:color="CED7E7"/>
              <w:left w:val="single" w:sz="4" w:space="0" w:color="CED7E7"/>
              <w:bottom w:val="single" w:sz="4" w:space="0" w:color="CED7E7"/>
              <w:right w:val="single" w:sz="4" w:space="0" w:color="CED7E7"/>
            </w:tcBorders>
            <w:shd w:val="clear" w:color="auto" w:fill="FFFFFF"/>
            <w:tcMar>
              <w:top w:w="80" w:type="dxa"/>
              <w:left w:w="140" w:type="dxa"/>
              <w:bottom w:w="80" w:type="dxa"/>
              <w:right w:w="140" w:type="dxa"/>
            </w:tcMar>
          </w:tcPr>
          <w:p>
            <w:r>
              <w:rPr>
                <w:rFonts w:ascii="Helvetica Neue" w:hAnsi="Helvetica Neue"/>
                <w:b w:val="0"/>
                <w:i w:val="0"/>
                <w:color w:val="375623"/>
                <w:sz w:val="20"/>
              </w:rPr>
              <w:t>Per-band SSI weights cancel from the ratio (element-wise division per band). Current single-band implementation is consistent with CESM's uniform application of the irradiance factor. Future per-band extension would require per-band LD coefficients.</w:t>
            </w:r>
          </w:p>
        </w:tc>
        <w:tc>
          <w:tcPr>
            <w:tcW w:w="3600" w:type="dxa"/>
            <w:tcBorders>
              <w:top w:val="single" w:sz="4" w:space="0" w:color="CED7E7"/>
              <w:left w:val="single" w:sz="4" w:space="0" w:color="CED7E7"/>
              <w:bottom w:val="single" w:sz="4" w:space="0" w:color="CED7E7"/>
              <w:right w:val="single" w:sz="4" w:space="0" w:color="CED7E7"/>
            </w:tcBorders>
            <w:shd w:val="clear" w:color="auto" w:fill="FFFFFF"/>
            <w:tcMar>
              <w:top w:w="80" w:type="dxa"/>
              <w:left w:w="140" w:type="dxa"/>
              <w:bottom w:w="80" w:type="dxa"/>
              <w:right w:w="140" w:type="dxa"/>
            </w:tcMar>
          </w:tcPr>
          <w:p>
            <w:r>
              <w:rPr>
                <w:rFonts w:ascii="Helvetica Neue" w:hAnsi="Helvetica Neue"/>
                <w:b w:val="0"/>
                <w:i w:val="0"/>
                <w:color w:val="375623"/>
                <w:sz w:val="20"/>
              </w:rPr>
              <w:t>CESM-internal for absolute values.</w:t>
              <w:br/>
              <w:t>Flag future per-band work.</w:t>
            </w:r>
          </w:p>
        </w:tc>
      </w:tr>
      <w:tr>
        <w:tc>
          <w:tcPr>
            <w:tcW w:w="140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i w:val="0"/>
                <w:color w:val="1F4E79"/>
                <w:sz w:val="20"/>
              </w:rPr>
              <w:t>A3</w:t>
              <w:br/>
              <w:t>SSI Rebinning</w:t>
            </w:r>
          </w:p>
        </w:tc>
        <w:tc>
          <w:tcPr>
            <w:tcW w:w="436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val="0"/>
                <w:i w:val="0"/>
                <w:color w:val="375623"/>
                <w:sz w:val="20"/>
              </w:rPr>
              <w:t>CESM's rebin() call applies the irradiance factor before rebinning to model bands. Previously documented.</w:t>
            </w:r>
          </w:p>
        </w:tc>
        <w:tc>
          <w:tcPr>
            <w:tcW w:w="360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val="0"/>
                <w:i w:val="0"/>
                <w:color w:val="375623"/>
                <w:sz w:val="20"/>
              </w:rPr>
              <w:t>CESM-internal</w:t>
              <w:br/>
              <w:t>No action needed</w:t>
            </w:r>
          </w:p>
        </w:tc>
      </w:tr>
      <w:tr>
        <w:tc>
          <w:tcPr>
            <w:tcW w:w="1400" w:type="dxa"/>
            <w:tcBorders>
              <w:top w:val="single" w:sz="4" w:space="0" w:color="CED7E7"/>
              <w:left w:val="single" w:sz="4" w:space="0" w:color="CED7E7"/>
              <w:bottom w:val="single" w:sz="4" w:space="0" w:color="CED7E7"/>
              <w:right w:val="single" w:sz="4" w:space="0" w:color="CED7E7"/>
            </w:tcBorders>
            <w:shd w:val="clear" w:color="auto" w:fill="FFFFFF"/>
            <w:tcMar>
              <w:top w:w="80" w:type="dxa"/>
              <w:left w:w="140" w:type="dxa"/>
              <w:bottom w:w="80" w:type="dxa"/>
              <w:right w:w="140" w:type="dxa"/>
            </w:tcMar>
          </w:tcPr>
          <w:p>
            <w:r>
              <w:rPr>
                <w:rFonts w:ascii="Helvetica Neue" w:hAnsi="Helvetica Neue"/>
                <w:b/>
                <w:i w:val="0"/>
                <w:color w:val="1F4E79"/>
                <w:sz w:val="20"/>
              </w:rPr>
              <w:t>A4</w:t>
              <w:br/>
              <w:t>Solar 11-Year Cycle</w:t>
            </w:r>
          </w:p>
        </w:tc>
        <w:tc>
          <w:tcPr>
            <w:tcW w:w="4360" w:type="dxa"/>
            <w:tcBorders>
              <w:top w:val="single" w:sz="4" w:space="0" w:color="CED7E7"/>
              <w:left w:val="single" w:sz="4" w:space="0" w:color="CED7E7"/>
              <w:bottom w:val="single" w:sz="4" w:space="0" w:color="CED7E7"/>
              <w:right w:val="single" w:sz="4" w:space="0" w:color="CED7E7"/>
            </w:tcBorders>
            <w:shd w:val="clear" w:color="auto" w:fill="FFFFFF"/>
            <w:tcMar>
              <w:top w:w="80" w:type="dxa"/>
              <w:left w:w="140" w:type="dxa"/>
              <w:bottom w:w="80" w:type="dxa"/>
              <w:right w:w="140" w:type="dxa"/>
            </w:tcMar>
          </w:tcPr>
          <w:p>
            <w:r>
              <w:rPr>
                <w:rFonts w:ascii="Helvetica Neue" w:hAnsi="Helvetica Neue"/>
                <w:b w:val="0"/>
                <w:i w:val="0"/>
                <w:color w:val="375623"/>
                <w:sz w:val="20"/>
              </w:rPr>
              <w:t>Modulates TSI and SSI, both of which cancel from the ratio. CESM handles via Solar Forcing NetCDF (historical/projected data).</w:t>
            </w:r>
          </w:p>
        </w:tc>
        <w:tc>
          <w:tcPr>
            <w:tcW w:w="3600" w:type="dxa"/>
            <w:tcBorders>
              <w:top w:val="single" w:sz="4" w:space="0" w:color="CED7E7"/>
              <w:left w:val="single" w:sz="4" w:space="0" w:color="CED7E7"/>
              <w:bottom w:val="single" w:sz="4" w:space="0" w:color="CED7E7"/>
              <w:right w:val="single" w:sz="4" w:space="0" w:color="CED7E7"/>
            </w:tcBorders>
            <w:shd w:val="clear" w:color="auto" w:fill="FFFFFF"/>
            <w:tcMar>
              <w:top w:w="80" w:type="dxa"/>
              <w:left w:w="140" w:type="dxa"/>
              <w:bottom w:w="80" w:type="dxa"/>
              <w:right w:w="140" w:type="dxa"/>
            </w:tcMar>
          </w:tcPr>
          <w:p>
            <w:r>
              <w:rPr>
                <w:rFonts w:ascii="Helvetica Neue" w:hAnsi="Helvetica Neue"/>
                <w:b w:val="0"/>
                <w:i w:val="0"/>
                <w:color w:val="375623"/>
                <w:sz w:val="20"/>
              </w:rPr>
              <w:t>CESM-internal</w:t>
              <w:br/>
              <w:t>No action needed</w:t>
            </w:r>
          </w:p>
        </w:tc>
      </w:tr>
      <w:tr>
        <w:tc>
          <w:tcPr>
            <w:tcW w:w="140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i w:val="0"/>
                <w:color w:val="1F4E79"/>
                <w:sz w:val="20"/>
              </w:rPr>
              <w:t>A5</w:t>
              <w:br/>
              <w:t>Limb Darkening</w:t>
            </w:r>
          </w:p>
        </w:tc>
        <w:tc>
          <w:tcPr>
            <w:tcW w:w="436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val="0"/>
                <w:i w:val="0"/>
                <w:color w:val="375623"/>
                <w:sz w:val="20"/>
              </w:rPr>
              <w:t>Does not cancel: shaded and unshaded integrals cover different solar disk regions. Correctly implemented using LD(μ) = 0.61 + 0.39·μ. No CESM double-count (coszrs is zenith angle, not solar disk angle). Document coefficient source; plan per-band upgrade if multi-band path pursued.</w:t>
            </w:r>
          </w:p>
        </w:tc>
        <w:tc>
          <w:tcPr>
            <w:tcW w:w="3600" w:type="dxa"/>
            <w:tcBorders>
              <w:top w:val="single" w:sz="4" w:space="0" w:color="CED7E7"/>
              <w:left w:val="single" w:sz="4" w:space="0" w:color="CED7E7"/>
              <w:bottom w:val="single" w:sz="4" w:space="0" w:color="CED7E7"/>
              <w:right w:val="single" w:sz="4" w:space="0" w:color="CED7E7"/>
            </w:tcBorders>
            <w:shd w:val="clear" w:color="auto" w:fill="D6E4F0"/>
            <w:tcMar>
              <w:top w:w="80" w:type="dxa"/>
              <w:left w:w="140" w:type="dxa"/>
              <w:bottom w:w="80" w:type="dxa"/>
              <w:right w:w="140" w:type="dxa"/>
            </w:tcMar>
          </w:tcPr>
          <w:p>
            <w:r>
              <w:rPr>
                <w:rFonts w:ascii="Helvetica Neue" w:hAnsi="Helvetica Neue"/>
                <w:b w:val="0"/>
                <w:i w:val="0"/>
                <w:color w:val="375623"/>
                <w:sz w:val="20"/>
              </w:rPr>
              <w:t>PSF-owned</w:t>
              <w:br/>
              <w:t>Done (document source)</w:t>
            </w:r>
          </w:p>
        </w:tc>
      </w:tr>
    </w:tbl>
    <w:p/>
    <w:p>
      <w:pPr>
        <w:pBdr>
          <w:bottom w:val="single" w:sz="6" w:space="1" w:color="2E74B5"/>
        </w:pBdr>
        <w:spacing w:before="240" w:after="80"/>
      </w:pPr>
      <w:r>
        <w:rPr>
          <w:rFonts w:ascii="Arial" w:hAnsi="Arial"/>
          <w:b/>
          <w:color w:val="1F4E79"/>
          <w:sz w:val="26"/>
        </w:rPr>
        <w:t>Source References</w:t>
      </w:r>
    </w:p>
    <w:p>
      <w:pPr>
        <w:pStyle w:val="ListBullet"/>
        <w:spacing w:after="80"/>
        <w:ind w:left="360"/>
      </w:pPr>
      <w:r>
        <w:rPr>
          <w:rFonts w:ascii="Helvetica Neue" w:hAnsi="Helvetica Neue"/>
          <w:b w:val="0"/>
          <w:i w:val="0"/>
          <w:color w:val="404040"/>
          <w:sz w:val="18"/>
        </w:rPr>
        <w:t>PSF Matlab pipeline — parameters_Physical___0___2Sr2S.m (luminosity_star); import_Spectral_Data___0___Sr.m; location_Star_Spectral_Data___E___Sr.m; star spectral data.xlsx; analysis_Irradiance___Sr___nM.m (lines 60, 111); analysis_Shaded_Irradiance___Sr___nM.m (lines 143, 181); power_Series_Of_Matrix___MC___M.m.</w:t>
      </w:r>
    </w:p>
    <w:p>
      <w:pPr>
        <w:pStyle w:val="ListBullet"/>
        <w:spacing w:after="80"/>
        <w:ind w:left="360"/>
      </w:pPr>
      <w:r>
        <w:rPr>
          <w:rFonts w:ascii="Helvetica Neue" w:hAnsi="Helvetica Neue"/>
          <w:b w:val="0"/>
          <w:i w:val="0"/>
          <w:color w:val="404040"/>
          <w:sz w:val="18"/>
        </w:rPr>
        <w:t>ESCOMP/CAM PR #1443 — 'Changes for solar shading' (fvitt, Nov 2025). Confirms sfac is not wavelength-indexed in the current implementation.</w:t>
      </w:r>
    </w:p>
    <w:p>
      <w:pPr>
        <w:pStyle w:val="ListBullet"/>
        <w:spacing w:after="80"/>
        <w:ind w:left="360"/>
      </w:pPr>
      <w:r>
        <w:rPr>
          <w:rFonts w:ascii="Helvetica Neue" w:hAnsi="Helvetica Neue"/>
          <w:b w:val="0"/>
          <w:i w:val="0"/>
          <w:color w:val="404040"/>
          <w:sz w:val="18"/>
        </w:rPr>
        <w:t>Eddington, A. S. (1916). On the radiative equilibrium of the stars. Monthly Notices of the Royal Astronomical Society, 77, 16–35. [Source of C₁=0.61, C₂=0.39 linear limb darkening coefficients — to be confirmed.]</w:t>
      </w:r>
    </w:p>
    <w:p>
      <w:pPr>
        <w:pStyle w:val="ListBullet"/>
        <w:spacing w:after="80"/>
        <w:ind w:left="360"/>
      </w:pPr>
      <w:r>
        <w:rPr>
          <w:rFonts w:ascii="Helvetica Neue" w:hAnsi="Helvetica Neue"/>
          <w:b w:val="0"/>
          <w:i w:val="0"/>
          <w:color w:val="404040"/>
          <w:sz w:val="18"/>
        </w:rPr>
        <w:t>For context on the irradiance factor ratio structure and orbital distance cancellation, see: Analysis/cesm_orbital_geometry_note.docx.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