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left"/>
      </w:pPr>
      <w:r>
        <w:rPr>
          <w:rFonts w:ascii="Arial" w:cs="Arial" w:eastAsia="Arial" w:hAnsi="Arial"/>
          <w:b/>
          <w:bCs/>
          <w:color w:val="1F3864"/>
          <w:sz w:val="36"/>
          <w:szCs w:val="36"/>
        </w:rPr>
        <w:t xml:space="preserve">Irradiance Model Validation Against Sánchez &amp; McInnes (2015)</w:t>
      </w:r>
    </w:p>
    <w:p>
      <w:pPr>
        <w:spacing w:after="80"/>
      </w:pPr>
      <w:r>
        <w:rPr>
          <w:i/>
          <w:iCs/>
          <w:color w:val="666666"/>
          <w:sz w:val="20"/>
          <w:szCs w:val="20"/>
        </w:rPr>
        <w:t xml:space="preserve">Planetary Sunshade Foundation — Model Technical Notes</w:t>
      </w:r>
    </w:p>
    <w:p>
      <w:pPr>
        <w:spacing w:after="320"/>
      </w:pPr>
      <w:r>
        <w:rPr>
          <w:color w:val="666666"/>
          <w:sz w:val="20"/>
          <w:szCs w:val="20"/>
        </w:rPr>
        <w:t xml:space="preserve">v.26.03.19  |  Matt Raymond</w:t>
      </w:r>
    </w:p>
    <w:p>
      <w:pPr>
        <w:pStyle w:val="Heading2"/>
      </w:pPr>
      <w:r>
        <w:rPr>
          <w:rFonts w:ascii="Arial" w:cs="Arial" w:eastAsia="Arial" w:hAnsi="Arial"/>
          <w:b/>
          <w:bCs/>
          <w:sz w:val="28"/>
          <w:szCs w:val="28"/>
        </w:rPr>
        <w:t xml:space="preserve">1. Overview</w:t>
      </w:r>
    </w:p>
    <w:p>
      <w:pPr>
        <w:spacing w:after="160"/>
      </w:pPr>
      <w:r>
        <w:rPr>
          <w:sz w:val="22"/>
          <w:szCs w:val="22"/>
        </w:rPr>
        <w:t xml:space="preserve">Prior to using the PSF irradiance and sunshade model to evaluate novel heliogyro array architectures, a validation exercise was undertaken to confirm that the model correctly reproduces published results. The reference chosen was Sánchez and McInnes (2015), which provides a well-documented shade algorithm including solar limb darkening and numerically integrates the solar flux reduction across the Earth's surface for a solid circular occulting disk near the Sun-Earth L1 point. Their baseline case — a 1,434 km radius disk positioned 2.44 × 10</w:t>
      </w:r>
      <w:r>
        <w:rPr>
          <w:sz w:val="16"/>
          <w:szCs w:val="16"/>
          <w:vertAlign w:val="superscript"/>
        </w:rPr>
        <w:t xml:space="preserve">6</w:t>
      </w:r>
      <w:r>
        <w:rPr>
          <w:sz w:val="22"/>
          <w:szCs w:val="22"/>
        </w:rPr>
        <w:t xml:space="preserve"> km from Earth — produces a center-point shading of approximately 1.9% and a global average reduction of approximately 1.7%.</w:t>
      </w:r>
    </w:p>
    <w:p>
      <w:pPr>
        <w:spacing w:after="280"/>
      </w:pPr>
      <w:r>
        <w:rPr>
          <w:sz w:val="22"/>
          <w:szCs w:val="22"/>
        </w:rPr>
        <w:t xml:space="preserve">The validation confirmed that the PSF model reproduces the Sánchez &amp; McInnes center-point result to within 3.2%, providing confidence in the underlying shading geometry and limb darkening implementation.</w:t>
      </w:r>
    </w:p>
    <w:p>
      <w:pPr>
        <w:pStyle w:val="Heading2"/>
      </w:pPr>
      <w:r>
        <w:rPr>
          <w:rFonts w:ascii="Arial" w:cs="Arial" w:eastAsia="Arial" w:hAnsi="Arial"/>
          <w:b/>
          <w:bCs/>
          <w:sz w:val="28"/>
          <w:szCs w:val="28"/>
        </w:rPr>
        <w:t xml:space="preserve">2. Bugs Identified and Corrected During Validation</w:t>
      </w:r>
    </w:p>
    <w:p>
      <w:pPr>
        <w:spacing w:after="160"/>
      </w:pPr>
      <w:r>
        <w:rPr>
          <w:sz w:val="22"/>
          <w:szCs w:val="22"/>
        </w:rPr>
        <w:t xml:space="preserve">During the validation process, four bugs were identified in the codebase and corrected. Each is described below.</w:t>
      </w:r>
    </w:p>
    <w:p>
      <w:pPr>
        <w:pStyle w:val="Heading3"/>
      </w:pPr>
      <w:r>
        <w:rPr>
          <w:rFonts w:ascii="Arial" w:cs="Arial" w:eastAsia="Arial" w:hAnsi="Arial"/>
          <w:b/>
          <w:bCs/>
          <w:sz w:val="24"/>
          <w:szCs w:val="24"/>
        </w:rPr>
        <w:t xml:space="preserve">2.1  Incorrect L1 Distance Calculation</w:t>
      </w:r>
    </w:p>
    <w:p>
      <w:pPr>
        <w:spacing w:after="120"/>
      </w:pPr>
      <w:r>
        <w:rPr>
          <w:b/>
          <w:bCs/>
          <w:sz w:val="22"/>
          <w:szCs w:val="22"/>
        </w:rPr>
        <w:t xml:space="preserve">Location: </w:t>
      </w:r>
      <w:r>
        <w:rPr>
          <w:rFonts w:ascii="Courier New" w:cs="Courier New" w:eastAsia="Courier New" w:hAnsi="Courier New"/>
          <w:sz w:val="20"/>
          <w:szCs w:val="20"/>
        </w:rPr>
        <w:t xml:space="preserve">distance_PL1___Sr___Sr.m</w:t>
      </w:r>
    </w:p>
    <w:p>
      <w:pPr>
        <w:spacing w:after="160"/>
      </w:pPr>
      <w:r>
        <w:rPr>
          <w:sz w:val="22"/>
          <w:szCs w:val="22"/>
        </w:rPr>
        <w:t xml:space="preserve">The L1 equilibrium equation was solved using fzero with an initial guess of 0.01 × R (the Sun-Earth distance), which placed the initial guess near the correct answer of ~1,521,504 km from Earth. However, the equation has two roots, and fzero was consistently converging to a spurious root at ~1,294,208 km — approximately 227,000 km short of the true L1 position. Evaluation of the equation at the correct and spurious roots confirmed that neither was close to zero, indicating the equation itself was not correctly balanced at the physical L1 point.</w:t>
      </w:r>
    </w:p>
    <w:p>
      <w:pPr>
        <w:spacing w:after="160"/>
      </w:pPr>
      <w:r>
        <w:rPr>
          <w:sz w:val="22"/>
          <w:szCs w:val="22"/>
        </w:rPr>
        <w:t xml:space="preserve">The root cause is that the three-body L1 equilibrium equation as implemented is a simplified form that does not accurately reproduce the full quintic equation governing the collinear Lagrange point. Rather than attempting to correct the equilibrium equation, the fix adopted was to replace the fzero call with the standard first-order approximation for the L1 distance:</w:t>
      </w:r>
    </w:p>
    <w:p>
      <w:pPr>
        <w:spacing w:before="160" w:after="160"/>
        <w:jc w:val="center"/>
      </w:pPr>
      <w:r>
        <w:rPr>
          <w:rFonts w:ascii="Arial" w:cs="Arial" w:eastAsia="Arial" w:hAnsi="Arial"/>
          <w:i/>
          <w:iCs/>
          <w:sz w:val="22"/>
          <w:szCs w:val="22"/>
        </w:rPr>
        <w:t xml:space="preserve">d</w:t>
      </w:r>
      <w:r>
        <w:rPr>
          <w:rFonts w:ascii="Arial" w:cs="Arial" w:eastAsia="Arial" w:hAnsi="Arial"/>
          <w:sz w:val="18"/>
          <w:szCs w:val="18"/>
          <w:vertAlign w:val="subscript"/>
        </w:rPr>
        <w:t xml:space="preserve">L1</w:t>
      </w:r>
      <w:r>
        <w:rPr>
          <w:rFonts w:ascii="Arial" w:cs="Arial" w:eastAsia="Arial" w:hAnsi="Arial"/>
          <w:sz w:val="22"/>
          <w:szCs w:val="22"/>
        </w:rPr>
        <w:t xml:space="preserve"> = R × (M</w:t>
      </w:r>
      <w:r>
        <w:rPr>
          <w:rFonts w:ascii="Arial" w:cs="Arial" w:eastAsia="Arial" w:hAnsi="Arial"/>
          <w:sz w:val="18"/>
          <w:szCs w:val="18"/>
          <w:vertAlign w:val="subscript"/>
        </w:rPr>
        <w:t xml:space="preserve">Earth</w:t>
      </w:r>
      <w:r>
        <w:rPr>
          <w:rFonts w:ascii="Arial" w:cs="Arial" w:eastAsia="Arial" w:hAnsi="Arial"/>
          <w:sz w:val="22"/>
          <w:szCs w:val="22"/>
        </w:rPr>
        <w:t xml:space="preserve"> / 3M</w:t>
      </w:r>
      <w:r>
        <w:rPr>
          <w:rFonts w:ascii="Arial" w:cs="Arial" w:eastAsia="Arial" w:hAnsi="Arial"/>
          <w:sz w:val="18"/>
          <w:szCs w:val="18"/>
          <w:vertAlign w:val="subscript"/>
        </w:rPr>
        <w:t xml:space="preserve">Sun</w:t>
      </w:r>
      <w:r>
        <w:rPr>
          <w:rFonts w:ascii="Arial" w:cs="Arial" w:eastAsia="Arial" w:hAnsi="Arial"/>
          <w:sz w:val="22"/>
          <w:szCs w:val="22"/>
        </w:rPr>
        <w:t xml:space="preserve">)^(1/3)</w:t>
      </w:r>
    </w:p>
    <w:p>
      <w:pPr>
        <w:spacing w:after="280"/>
      </w:pPr>
      <w:r>
        <w:rPr>
          <w:sz w:val="22"/>
          <w:szCs w:val="22"/>
        </w:rPr>
        <w:t xml:space="preserve">This approximation gives 1,521,600 km, matching the SPICE-derived expected value of 1,521,504 km to within 100 km (&lt; 0.01% error) and is appropriate for the accuracy required by the irradiance model.</w:t>
      </w:r>
    </w:p>
    <w:p>
      <w:pPr>
        <w:pStyle w:val="Heading3"/>
      </w:pPr>
      <w:r>
        <w:rPr>
          <w:rFonts w:ascii="Arial" w:cs="Arial" w:eastAsia="Arial" w:hAnsi="Arial"/>
          <w:b/>
          <w:bCs/>
          <w:sz w:val="24"/>
          <w:szCs w:val="24"/>
        </w:rPr>
        <w:t xml:space="preserve">2.2  Incorrect Sign Convention for Shade Positions</w:t>
      </w:r>
    </w:p>
    <w:p>
      <w:pPr>
        <w:spacing w:after="120"/>
      </w:pPr>
      <w:r>
        <w:rPr>
          <w:b/>
          <w:bCs/>
          <w:sz w:val="22"/>
          <w:szCs w:val="22"/>
        </w:rPr>
        <w:t xml:space="preserve">Location: </w:t>
      </w:r>
      <w:r>
        <w:rPr>
          <w:rFonts w:ascii="Courier New" w:cs="Courier New" w:eastAsia="Courier New" w:hAnsi="Courier New"/>
          <w:sz w:val="20"/>
          <w:szCs w:val="20"/>
        </w:rPr>
        <w:t xml:space="preserve">heliogyro kinematics Excel file (PX column)</w:t>
      </w:r>
    </w:p>
    <w:p>
      <w:pPr>
        <w:spacing w:after="280"/>
      </w:pPr>
      <w:r>
        <w:rPr>
          <w:sz w:val="22"/>
          <w:szCs w:val="22"/>
        </w:rPr>
        <w:t xml:space="preserve">The coordinate system used by the model places the origin at the planet center with the x-axis pointing toward the Sun. Shade positions are specified relative to the L1 point and added to the L1 origin. A sunward displacement from L1 (i.e., further from Earth, toward the Sun) should therefore be expressed as a positive PX value. The heliogyro kinematics file was using negative PX values for sunward positions, resulting in shade elements being placed between Earth and L1 rather than sunward of L1. This reduced the apparent shade-to-Earth distance from the intended ~2,402,532 km to ~640,476 km, causing the projected shade area on the Sun to be dramatically undersized. The fix was to use positive PX values for sunward displacements in the Excel input file.</w:t>
      </w:r>
    </w:p>
    <w:p>
      <w:pPr>
        <w:pStyle w:val="Heading3"/>
      </w:pPr>
      <w:r>
        <w:rPr>
          <w:rFonts w:ascii="Arial" w:cs="Arial" w:eastAsia="Arial" w:hAnsi="Arial"/>
          <w:b/>
          <w:bCs/>
          <w:sz w:val="24"/>
          <w:szCs w:val="24"/>
        </w:rPr>
        <w:t xml:space="preserve">2.3  Projection Computed as Element-Wise Multiply Instead of Dot Product</w:t>
      </w:r>
    </w:p>
    <w:p>
      <w:pPr>
        <w:spacing w:after="120"/>
      </w:pPr>
      <w:r>
        <w:rPr>
          <w:b/>
          <w:bCs/>
          <w:sz w:val="22"/>
          <w:szCs w:val="22"/>
        </w:rPr>
        <w:t xml:space="preserve">Location: </w:t>
      </w:r>
      <w:r>
        <w:rPr>
          <w:rFonts w:ascii="Courier New" w:cs="Courier New" w:eastAsia="Courier New" w:hAnsi="Courier New"/>
          <w:sz w:val="20"/>
          <w:szCs w:val="20"/>
        </w:rPr>
        <w:t xml:space="preserve">analysis_Shaded_Irradiance___Sr___nM.m</w:t>
      </w:r>
    </w:p>
    <w:p>
      <w:pPr>
        <w:spacing w:after="160"/>
      </w:pPr>
      <w:r>
        <w:rPr>
          <w:sz w:val="22"/>
          <w:szCs w:val="22"/>
        </w:rPr>
        <w:t xml:space="preserve">The cosine projection of each sail's surface area onto the planet-to-star direction was computed using MATLAB's element-wise multiply operator (.*) on two 3 × N matrices, producing a 3 × N result rather than the intended 1 × N scalar per sail. The correct operation is a dot product — multiplying corresponding components and summing across the three spatial dimensions — which collapses the result to the cosine of the angle between each sail's normal vector and the planet-to-star direction.</w:t>
      </w:r>
    </w:p>
    <w:p>
      <w:pPr>
        <w:spacing w:after="120"/>
      </w:pPr>
      <w:r>
        <w:rPr>
          <w:b/>
          <w:bCs/>
          <w:sz w:val="22"/>
          <w:szCs w:val="22"/>
        </w:rPr>
        <w:t xml:space="preserve">Incorrect:</w:t>
      </w:r>
    </w:p>
    <w:p>
      <w:pPr>
        <w:spacing w:after="120"/>
        <w:ind w:left="720"/>
      </w:pPr>
      <w:r>
        <w:rPr>
          <w:rFonts w:ascii="Courier New" w:cs="Courier New" w:eastAsia="Courier New" w:hAnsi="Courier New"/>
          <w:sz w:val="20"/>
          <w:szCs w:val="20"/>
        </w:rPr>
        <w:t xml:space="preserve">projected_shade_areas = area_effective * vectors.unit.p.S .* unit_normal_vectors_S;</w:t>
      </w:r>
    </w:p>
    <w:p>
      <w:pPr>
        <w:spacing w:after="120"/>
      </w:pPr>
      <w:r>
        <w:rPr>
          <w:b/>
          <w:bCs/>
          <w:sz w:val="22"/>
          <w:szCs w:val="22"/>
        </w:rPr>
        <w:t xml:space="preserve">Corrected:</w:t>
      </w:r>
    </w:p>
    <w:p>
      <w:pPr>
        <w:spacing w:after="280"/>
        <w:ind w:left="720"/>
      </w:pPr>
      <w:r>
        <w:rPr>
          <w:rFonts w:ascii="Courier New" w:cs="Courier New" w:eastAsia="Courier New" w:hAnsi="Courier New"/>
          <w:sz w:val="20"/>
          <w:szCs w:val="20"/>
        </w:rPr>
        <w:t xml:space="preserve">projected_shade_areas = area_effective * sum(vectors.unit.p.S .* unit_normal_vectors_S, 1);</w:t>
      </w:r>
    </w:p>
    <w:p>
      <w:pPr>
        <w:pStyle w:val="Heading3"/>
      </w:pPr>
      <w:r>
        <w:rPr>
          <w:rFonts w:ascii="Arial" w:cs="Arial" w:eastAsia="Arial" w:hAnsi="Arial"/>
          <w:b/>
          <w:bCs/>
          <w:sz w:val="24"/>
          <w:szCs w:val="24"/>
        </w:rPr>
        <w:t xml:space="preserve">2.4  Hardcoded Excel Range Limiting Sail Count</w:t>
      </w:r>
    </w:p>
    <w:p>
      <w:pPr>
        <w:spacing w:after="120"/>
      </w:pPr>
      <w:r>
        <w:rPr>
          <w:b/>
          <w:bCs/>
          <w:sz w:val="22"/>
          <w:szCs w:val="22"/>
        </w:rPr>
        <w:t xml:space="preserve">Location: </w:t>
      </w:r>
      <w:r>
        <w:rPr>
          <w:rFonts w:ascii="Courier New" w:cs="Courier New" w:eastAsia="Courier New" w:hAnsi="Courier New"/>
          <w:sz w:val="20"/>
          <w:szCs w:val="20"/>
        </w:rPr>
        <w:t xml:space="preserve">location_Heliogyro_Kinematics_Data___E___Sr.m</w:t>
      </w:r>
    </w:p>
    <w:p>
      <w:pPr>
        <w:spacing w:after="280"/>
      </w:pPr>
      <w:r>
        <w:rPr>
          <w:sz w:val="22"/>
          <w:szCs w:val="22"/>
        </w:rPr>
        <w:t xml:space="preserve">The Excel ranges for reading heliogyro position and normal vectors were hardcoded to rows 11–21, loading only 11 sails regardless of how many were present in the file. For the ArchA architecture with 4,810 heliogyros, this meant only 11 were being processed. The fix was to extend the range to row 10,000 (e.g., A11:C10000), allowing arrays of up to ~10,000 sails. Blank rows beyond the last sail are automatically removed downstream by the NaN-filtering logic already present in import_Heliogyro_Kinematics_Data___0___Sr.m.</w:t>
      </w:r>
    </w:p>
    <w:p>
      <w:pPr>
        <w:pStyle w:val="Heading2"/>
      </w:pPr>
      <w:r>
        <w:rPr>
          <w:rFonts w:ascii="Arial" w:cs="Arial" w:eastAsia="Arial" w:hAnsi="Arial"/>
          <w:b/>
          <w:bCs/>
          <w:sz w:val="28"/>
          <w:szCs w:val="28"/>
        </w:rPr>
        <w:t xml:space="preserve">3. Validation Setup</w:t>
      </w:r>
    </w:p>
    <w:p>
      <w:pPr>
        <w:spacing w:after="160"/>
      </w:pPr>
      <w:r>
        <w:rPr>
          <w:sz w:val="22"/>
          <w:szCs w:val="22"/>
        </w:rPr>
        <w:t xml:space="preserve">To reproduce the Sánchez &amp; McInnes baseline case, the model was configured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Disk radius</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20"/>
                <w:szCs w:val="20"/>
              </w:rPr>
              <w:t xml:space="preserve">1,434 km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Disk position (from Earth)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2.44 × 10⁶ km (sunward of L1)</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PX in Excel file (from L1)</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20"/>
                <w:szCs w:val="20"/>
              </w:rPr>
              <w:t xml:space="preserve">+918,496 km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Material absorption (κ)</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(fully opaque solid disk)</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Inner radius</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20"/>
                <w:szCs w:val="20"/>
              </w:rPr>
              <w:t xml:space="preserve">0.001 km (nominally zero)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Outer radius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1,434 km</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Number of polygon sides</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20"/>
                <w:szCs w:val="20"/>
              </w:rPr>
              <w:t xml:space="preserve">52 (inner and outer)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Sun partition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 × 51</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Planet partition</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20"/>
                <w:szCs w:val="20"/>
              </w:rPr>
              <w:t xml:space="preserve">11 × 11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Analysis 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Shading factor</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Date</w:t>
            </w:r>
          </w:p>
        </w:tc>
        <w:tc>
          <w:tcPr>
            <w:tcW w:type="dxa" w:w="57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sz w:val="20"/>
                <w:szCs w:val="20"/>
              </w:rPr>
              <w:t xml:space="preserve">2024-07-04 (aphelion)</w:t>
            </w:r>
          </w:p>
        </w:tc>
      </w:tr>
    </w:tbl>
    <w:p>
      <w:pPr>
        <w:spacing w:after="280"/>
      </w:pPr>
    </w:p>
    <w:p>
      <w:pPr>
        <w:pStyle w:val="Heading2"/>
      </w:pPr>
      <w:r>
        <w:rPr>
          <w:rFonts w:ascii="Arial" w:cs="Arial" w:eastAsia="Arial" w:hAnsi="Arial"/>
          <w:b/>
          <w:bCs/>
          <w:sz w:val="28"/>
          <w:szCs w:val="28"/>
        </w:rPr>
        <w:t xml:space="preserve">4. Validation Results</w:t>
      </w:r>
    </w:p>
    <w:p>
      <w:pPr>
        <w:spacing w:after="160"/>
      </w:pPr>
      <w:r>
        <w:rPr>
          <w:sz w:val="22"/>
          <w:szCs w:val="22"/>
        </w:rPr>
        <w:t xml:space="preserve">The model produced the following shading factor output (11 × 11 planet partition, shading factor = fraction of irradiance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PSF Model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Sánchez &amp; McInnes (2015)</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bCs/>
                <w:sz w:val="20"/>
                <w:szCs w:val="20"/>
              </w:rPr>
              <w:t xml:space="preserve">Center-point shading factor</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val="false"/>
                <w:bCs w:val="false"/>
                <w:sz w:val="20"/>
                <w:szCs w:val="20"/>
              </w:rPr>
              <w:t xml:space="preserve">1.96%</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val="false"/>
                <w:bCs w:val="false"/>
                <w:sz w:val="20"/>
                <w:szCs w:val="20"/>
              </w:rPr>
              <w:t xml:space="preserve">~1.9%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Simple mean shading (11×11)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bCs/>
                <w:sz w:val="20"/>
                <w:szCs w:val="20"/>
              </w:rPr>
              <w:t xml:space="preserve">Area-weighted mean shading</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val="false"/>
                <w:bCs w:val="false"/>
                <w:sz w:val="20"/>
                <w:szCs w:val="20"/>
              </w:rPr>
              <w:t xml:space="preserve">1.48%</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val="false"/>
                <w:bCs w:val="false"/>
                <w:sz w:val="20"/>
                <w:szCs w:val="20"/>
              </w:rPr>
              <w:t xml:space="preserve">~1.7% (global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Error at center 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bCs/>
                <w:sz w:val="20"/>
                <w:szCs w:val="20"/>
              </w:rPr>
              <w:t xml:space="preserve">Penumbra coverage</w:t>
            </w:r>
          </w:p>
        </w:tc>
        <w:tc>
          <w:tcPr>
            <w:tcW w:type="dxa" w:w="3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val="false"/>
                <w:bCs w:val="false"/>
                <w:sz w:val="20"/>
                <w:szCs w:val="20"/>
              </w:rPr>
              <w:t xml:space="preserve">Full Earth disk</w:t>
            </w:r>
          </w:p>
        </w:tc>
        <w:tc>
          <w:tcPr>
            <w:tcW w:type="dxa" w:w="33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b w:val="false"/>
                <w:bCs w:val="false"/>
                <w:sz w:val="20"/>
                <w:szCs w:val="20"/>
              </w:rPr>
              <w:t xml:space="preserve">Full Earth disk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Latitudinal symmetry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Confirmed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Confirmed</w:t>
            </w:r>
          </w:p>
        </w:tc>
      </w:tr>
    </w:tbl>
    <w:p>
      <w:pPr>
        <w:spacing w:after="280"/>
      </w:pPr>
    </w:p>
    <w:p>
      <w:pPr>
        <w:spacing w:after="160"/>
      </w:pPr>
      <w:r>
        <w:rPr>
          <w:sz w:val="22"/>
          <w:szCs w:val="22"/>
        </w:rPr>
        <w:t xml:space="preserve">The center-point shading of 1.96% matches the published value of ~1.9% to within 3.2%. The area-weighted global mean of 1.48% is somewhat below the paper's ~1.7%, which is attributable to the coarse 11 × 11 planet partition undersampling the penumbra at mid-latitudes. A finer planet partition (e.g., 51 × 51 as used for the star) would be expected to close this gap. The penumbra gradient — strongest at the equator, fading symmetrically toward the poles — is correctly reproduced, as is the full-disk coverage.</w:t>
      </w:r>
    </w:p>
    <w:p>
      <w:pPr>
        <w:spacing w:after="280"/>
      </w:pPr>
      <w:r>
        <w:rPr>
          <w:b w:val="false"/>
          <w:bCs w:val="false"/>
          <w:sz w:val="22"/>
          <w:szCs w:val="22"/>
        </w:rPr>
        <w:t xml:space="preserve">These results confirm that the PSF model's shading geometry, solar limb darkening implementation, and flux propagation are physically correct, and that the model is suitable for evaluating novel sunshade architectures.</w:t>
      </w:r>
    </w:p>
    <w:p>
      <w:pPr>
        <w:pStyle w:val="Heading2"/>
      </w:pPr>
      <w:r>
        <w:rPr>
          <w:rFonts w:ascii="Arial" w:cs="Arial" w:eastAsia="Arial" w:hAnsi="Arial"/>
          <w:b/>
          <w:bCs/>
          <w:sz w:val="28"/>
          <w:szCs w:val="28"/>
        </w:rPr>
        <w:t xml:space="preserve">5. Implications for Heliogyro Array Results</w:t>
      </w:r>
    </w:p>
    <w:p>
      <w:pPr>
        <w:spacing w:after="160"/>
      </w:pPr>
      <w:r>
        <w:rPr>
          <w:sz w:val="22"/>
          <w:szCs w:val="22"/>
        </w:rPr>
        <w:t xml:space="preserve">With the model validated, the lower-than-expected shading efficiency of the ArchA heliogyro array (~0.50–0.53% global average versus a target of ~0.9%) can be interpreted with confidence as a genuine physical result rather than a modeling artifact. The ArchA array distributes 4,810 heliogyros across a YZ footprint of ~6,379 km radius, with an effective blocking area of approximately 2.95 million km² (accounting for the blade fill factor of 0.652). While this is comparable in area to the Sánchez &amp; McInnes disk, the distributed sparse geometry means each individual sail blocks only a small fraction of the Sun's disk, and the penumbra contributions sum less efficiently than for a compact solid disk.</w:t>
      </w:r>
    </w:p>
    <w:p>
      <w:pPr>
        <w:spacing w:after="160"/>
      </w:pPr>
      <w:r>
        <w:rPr>
          <w:sz w:val="22"/>
          <w:szCs w:val="22"/>
        </w:rPr>
        <w:t xml:space="preserve">This result is consistent with the Sánchez &amp; McInnes shade algorithm, which shows that the relationship between occulting area and global flux reduction is geometry-dependent and not simply proportional to total area. A more compact array arrangement — provided collision avoidance and mutual shading constraints are satisfied — would be expected to produce higher shading efficiency per unit of blade area.</w:t>
      </w:r>
    </w:p>
    <w:p>
      <w:pPr>
        <w:spacing w:after="280"/>
      </w:pPr>
      <w:r>
        <w:rPr>
          <w:sz w:val="22"/>
          <w:szCs w:val="22"/>
        </w:rPr>
        <w:t xml:space="preserve">Further architectural optimization is ongoing. The validated model provides a reliable basis for evaluating alternative array configurations, including varying the array footprint radius, heliogyro density, and out-of-plane displacement strategies.</w:t>
      </w:r>
    </w:p>
    <w:p>
      <w:pPr>
        <w:pStyle w:val="Heading2"/>
      </w:pPr>
      <w:r>
        <w:rPr>
          <w:rFonts w:ascii="Arial" w:cs="Arial" w:eastAsia="Arial" w:hAnsi="Arial"/>
          <w:b/>
          <w:bCs/>
          <w:sz w:val="28"/>
          <w:szCs w:val="28"/>
        </w:rPr>
        <w:t xml:space="preserve">6. Reference</w:t>
      </w:r>
    </w:p>
    <w:p>
      <w:pPr>
        <w:spacing w:after="160"/>
      </w:pPr>
      <w:r>
        <w:rPr>
          <w:sz w:val="22"/>
          <w:szCs w:val="22"/>
        </w:rPr>
        <w:t xml:space="preserve">Sánchez, J.-P. and McInnes, C.R. (2015). Optimal Sunshade Configurations for Space-Based Geoengineering near the Sun-Earth L1 Point. </w:t>
      </w:r>
      <w:r>
        <w:rPr>
          <w:i/>
          <w:iCs/>
          <w:sz w:val="22"/>
          <w:szCs w:val="22"/>
        </w:rPr>
        <w:t xml:space="preserve">PLOS ONE</w:t>
      </w:r>
      <w:r>
        <w:rPr>
          <w:sz w:val="22"/>
          <w:szCs w:val="22"/>
        </w:rPr>
        <w:t xml:space="preserve">, 10(8): e0136648. https://doi.org/10.1371/journal.pone.0136648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2026-03-19T13:39:22.539Z</dcterms:created>
  <dcterms:modified xsi:type="dcterms:W3CDTF">2026-03-19T13:39:22.539Z</dcterms:modified>
</cp:coreProperties>
</file>

<file path=docProps/custom.xml><?xml version="1.0" encoding="utf-8"?>
<Properties xmlns="http://schemas.openxmlformats.org/officeDocument/2006/custom-properties" xmlns:vt="http://schemas.openxmlformats.org/officeDocument/2006/docPropsVTypes"/>
</file>