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/>
      </w:pPr>
      <w:r>
        <w:t xml:space="preserve"/>
      </w:r>
    </w:p>
    <w:p>
      <w:pPr>
        <w:pBdr>
          <w:top w:val="single" w:color="312E81" w:sz="1"/>
          <w:bottom w:val="single" w:color="312E81" w:sz="1"/>
        </w:pBdr>
        <w:shd w:fill="312E81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80"/>
          <w:szCs w:val="80"/>
        </w:rPr>
        <w:t xml:space="preserve">  NETFLOW  </w:t>
      </w:r>
    </w:p>
    <w:p>
      <w:pPr>
        <w:spacing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1E293B"/>
          <w:sz w:val="32"/>
          <w:szCs w:val="32"/>
        </w:rPr>
        <w:t xml:space="preserve">AI-Powered Real Estate Investment Intelligence</w:t>
      </w:r>
    </w:p>
    <w:p>
      <w:pPr>
        <w:spacing w:before="80"/>
      </w:pPr>
      <w:r>
        <w:t xml:space="preserve"/>
      </w:r>
    </w:p>
    <w:p>
      <w:pPr>
        <w:shd w:fill="EDE9FE" w:val="clear"/>
        <w:jc w:val="center"/>
      </w:pPr>
      <w:r>
        <w:rPr>
          <w:rFonts w:ascii="Arial" w:cs="Arial" w:eastAsia="Arial" w:hAnsi="Arial"/>
          <w:b/>
          <w:bCs/>
          <w:color w:val="1E1B4B"/>
          <w:sz w:val="30"/>
          <w:szCs w:val="30"/>
        </w:rPr>
        <w:t xml:space="preserve">  FUNCTIONAL DOCUMENTATION  </w:t>
      </w:r>
    </w:p>
    <w:p>
      <w:pPr>
        <w:spacing w:before="1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 Prompt Engineers Hackathon  ·  Spring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64748B"/>
          <w:sz w:val="20"/>
          <w:szCs w:val="20"/>
        </w:rPr>
        <w:t xml:space="preserve">Version 1.0  |  Confidential  |  Build Date: April 2026</w:t>
      </w:r>
    </w:p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3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Frontend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Next.js + TypeScript + TailwindCSS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14.2 / 5.6 / 3.4</w:t>
            </w:r>
          </w:p>
        </w:tc>
      </w:tr>
      <w:tr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Backend</w:t>
            </w:r>
          </w:p>
        </w:tc>
        <w:tc>
          <w:tcPr>
            <w:tcW w:type="dxa" w:w="3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FastAPI + Python + Pydantic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0.115 / 3.12 / 2.8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Engine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LangChain + Ollama (llama3)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0.3.7 / latest</w:t>
            </w:r>
          </w:p>
        </w:tc>
      </w:tr>
      <w:tr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Database</w:t>
            </w:r>
          </w:p>
        </w:tc>
        <w:tc>
          <w:tcPr>
            <w:tcW w:type="dxa" w:w="3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IndexedDB (browser-native)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v1 — zero deps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APIs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RentCast + FRED (Federal Reserve)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live / live</w:t>
            </w:r>
          </w:p>
        </w:tc>
      </w:tr>
      <w:tr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Voice</w:t>
            </w:r>
          </w:p>
        </w:tc>
        <w:tc>
          <w:tcPr>
            <w:tcW w:type="dxa" w:w="3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Speech API (browser-native)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Chrome/Edge/Safari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Chat Agent</w:t>
            </w:r>
          </w:p>
        </w:tc>
        <w:tc>
          <w:tcPr>
            <w:tcW w:type="dxa" w:w="3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Anthropic claude-haiku-4-5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direct browser call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NetFlow is a full-stack AI-powered real estate investment intelligence platform. It combines live market data from the RentCast API and the Federal Reserve's FRED database, a locally-running Llama 3 model via Ollama for AI scoring, and a grounded Anthropic chat agent for deep-dive property Q&amp;A. Users can search using any natural-language prompt — from a bare ZIP code to a full description like '3 bed SFH in McKinney TX under $450k LTR' — and receive a ranked, scored, and financially analysed list of the 10 best investment properties in that market.</w:t>
      </w:r>
    </w:p>
    <w:p>
      <w:pPr>
        <w:spacing w:before="80"/>
      </w:pPr>
      <w:r>
        <w:t xml:space="preserve"/>
      </w:r>
    </w:p>
    <w:p>
      <w:pPr>
        <w:pBdr>
          <w:top w:val="single" w:color="7C3AED" w:sz="8"/>
          <w:left w:val="single" w:color="7C3AED" w:sz="8"/>
          <w:right w:val="single" w:color="7C3AED" w:sz="8"/>
        </w:pBdr>
        <w:shd w:fill="EDE9FE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Design Principle</w:t>
      </w:r>
    </w:p>
    <w:p>
      <w:pPr>
        <w:pBdr>
          <w:bottom w:val="single" w:color="7C3AED" w:sz="8"/>
          <w:left w:val="single" w:color="7C3AED" w:sz="8"/>
          <w:right w:val="single" w:color="7C3AED" w:sz="8"/>
        </w:pBdr>
        <w:shd w:fill="EDE9FE" w:val="clear"/>
        <w:spacing w:after="120" w:before="0"/>
        <w:ind w:left="240" w:right="2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NetFlow is built around three pillars: speed (results in 2-3 seconds via parallel async API calls), accuracy (live data + local AI, no hallucination in chat), and usability (voice input, spell correction, NLP parsing, intuitive dark UI).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1.1 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Individual real estate investors evaluating rental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Real estate agents needing quick investment analysis for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Hackathon judges evaluating full-stack AI application design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1.2 Key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Smart NLP Search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Parse ZIP, city, or full prompt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form filling — just type naturally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Property Scoring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Llama 3 scores each property 0-100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Instant investment ranking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SSE Streaming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stream in real-time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waiting for full page reload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Engine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rate, cash flow, GRM, PITI, COC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Accurate investment metrics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Maps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Embedded map per property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Instant location context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MLS Details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MLS ID, year built, lot size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listing transparency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Chat Agent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Grounded Q&amp;A per property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Deep investment analysis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Voice Search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Speak your query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Hands-free search input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Spell Correction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Silent auto-correct</w:t>
            </w:r>
          </w:p>
        </w:tc>
        <w:tc>
          <w:tcPr>
            <w:tcW w:type="dxa" w:w="37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Fewer search errors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Auth + History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IndexedDB login + full history</w:t>
            </w:r>
          </w:p>
        </w:tc>
        <w:tc>
          <w:tcPr>
            <w:tcW w:type="dxa" w:w="37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Per-user session tracking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 User Authentication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NetFlow uses IndexedDB as a lightweight browser-native database for authentication. There is no server-side session or backend auth — all credential validation occurs in the browser using the Web Crypto API for SHA-256 password hashing.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2.1 Login Process — Step by Step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Browser first load: seedDefaultUser() is called. If no 'admin' record exists in IndexedDB users store, it is created with passwordHash = SHA-256('admin') and role = 'admin'.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LoginPage renders. The login form shows username and password fields. Below the form, recent login activity is displayed (all attempts for any account).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User enters credentials and clicks Sign In (or presses Enter).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validateLogin(username, password) is called: opens IndexedDB, retrieves the user record by username (case-insensitive, trimmed), computes SHA-256 of the entered password using Web Crypto, and compares with stored hash.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On match: recordLogin({ username, ts, success: true }) is written. onLogin(user) fires. Dashboard renders. Login history and search history are loaded for the user.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On mismatch: recordLogin({ username, ts, success: false, reason: 'Invalid credentials' }) is written. Error message displays. Login attempt is permanently logged.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Logout: recordLogin({ username, ts, success: false, reason: 'User signed out' }) is written. State is cleared. LoginPage renders.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2.2 Login History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Login page: shows last 10 login attempts for all accounts (collapsible 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UserMenu dropdown: Login History tab shows current user's full history (success/fail, timestamp)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Both successful logins and failed attempts are stored, providing a complete audit trail</w:t>
      </w:r>
    </w:p>
    <w:p>
      <w:pPr>
        <w:spacing w:before="80"/>
      </w:pPr>
      <w:r>
        <w:t xml:space="preserve"/>
      </w:r>
    </w:p>
    <w:p>
      <w:pPr>
        <w:pBdr>
          <w:top w:val="single" w:color="D97706" w:sz="8"/>
          <w:left w:val="single" w:color="D97706" w:sz="8"/>
          <w:right w:val="single" w:color="D97706" w:sz="8"/>
        </w:pBdr>
        <w:shd w:fill="FEF3C7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Security Note</w:t>
      </w:r>
    </w:p>
    <w:p>
      <w:pPr>
        <w:pBdr>
          <w:bottom w:val="single" w:color="D97706" w:sz="8"/>
          <w:left w:val="single" w:color="D97706" w:sz="8"/>
          <w:right w:val="single" w:color="D97706" w:sz="8"/>
        </w:pBdr>
        <w:shd w:fill="FEF3C7" w:val="clear"/>
        <w:spacing w:after="120" w:before="0"/>
        <w:ind w:left="240" w:right="2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Passwords are hashed with SHA-256 via the native Web Crypto API. The raw password is never stored. For production use, consider bcrypt/Argon2 on the backend with JWT tokens for session management.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 Smart Search 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search flow has two phases: real-time input processing (happening as the user types) and search execution (when the user submits the query).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 Phase 1 — Real-time Input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onChange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Every keystroke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Update prompt state, restart timers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silentCorrect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1.5s pause in typing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Edit-dist-1 spell correction (RE vocab)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&lt;5ms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silentCorrect (blur)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Field focus lost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 correction immediately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&lt;5ms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parse-prompt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0ms if ZIP, 0.65s otherwise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/api/parse-prompt (regex NLP)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~20ms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Parsed pills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parse returns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 ZIP, city, budget, type, strategy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Effective preview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any change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 final resolved params with colour code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&lt;1ms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 Supported Prompt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41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Extracted Parameters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 code only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75070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ZIP=75070, all others default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 + budget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75070 under $400k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ZIP=75070, Budget=$400,000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+ State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McKinney TX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ZIP=75070 (city map), defaults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+ State + budget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Dallas TX $500k LTR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ZIP=75201, Budget=$500k, Strategy=LTR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NL prompt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 bed SFH in McKinney TX under $450k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ZIP+budget+beds+type+strategy all parsed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 + type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Austin STR condo $350k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ZIP=73301, Type=Condo, Strategy=STR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Budget only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under $300k 2 bed condo</w:t>
            </w:r>
          </w:p>
        </w:tc>
        <w:tc>
          <w:tcPr>
            <w:tcW w:type="dxa" w:w="4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Budget=$300k, Beds=2, Type=Condo</w:t>
            </w:r>
          </w:p>
        </w:tc>
      </w:tr>
      <w:tr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alone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homes in Austin</w:t>
            </w:r>
          </w:p>
        </w:tc>
        <w:tc>
          <w:tcPr>
            <w:tcW w:type="dxa" w:w="4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ZIP=73301 (city lookup), defaults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 Phase 2 — Search Execution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User presses Enter or clicks 'Find Top 10 Properties'. silentCorrect() runs one final pass on the prompt.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Final params resolved: Override field &gt; Parsed from prompt &gt; System default.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getCachedResult(params) checked. Cache key = ZIP+budget+type+beds+strategy, TTL = 15 minutes.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Cache HIT: results render instantly. recordSearch() still writes to IndexedDB (repeat search tracked).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Cache MISS: POST /api/search/stream opens as a Server-Sent Events stream.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SSE status events update the loading message: 'Fetching rate &amp; listings...' → 'Fetching rent comps...' → 'Running AI scoring...'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SSE properties event: 10 scored cards render immediately. setCachedResult() writes the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SSE ai_token events: market summary streams word-by-word into AIAnalysisCard.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SSE done event: cache updated with complete summary. recordSearch() writes to IndexedDB.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 Property Card Interactions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 Score Ring &amp; Tier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Each property card displays an animated SVG score ring with a tier icon, numeric score, and tier badge. The ring animates from 0 to the final score on render.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2360"/>
        <w:gridCol w:w="3200"/>
      </w:tblGrid>
      <w:tr>
        <w:trPr>
          <w:tblHeader/>
        </w:trPr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Icon</w:t>
            </w:r>
          </w:p>
        </w:tc>
        <w:tc>
          <w:tcPr>
            <w:tcW w:type="dxa" w:w="1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85-100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🏆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Excellent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Emerald #10b981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 investment, high cap + cash flow</w:t>
            </w:r>
          </w:p>
        </w:tc>
      </w:tr>
      <w:tr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70-84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⭐</w:t>
            </w:r>
          </w:p>
        </w:tc>
        <w:tc>
          <w:tcPr>
            <w:tcW w:type="dxa" w:w="1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Violet #8b5cf6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Above-average returns for strategy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55-69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Cyan #06b6d4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Acceptable returns, minor concerns</w:t>
            </w:r>
          </w:p>
        </w:tc>
      </w:tr>
      <w:tr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40-54</w:t>
            </w:r>
          </w:p>
        </w:tc>
        <w:tc>
          <w:tcPr>
            <w:tcW w:type="dxa" w:w="1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⚠️</w:t>
            </w:r>
          </w:p>
        </w:tc>
        <w:tc>
          <w:tcPr>
            <w:tcW w:type="dxa" w:w="1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Fair</w:t>
            </w:r>
          </w:p>
        </w:tc>
        <w:tc>
          <w:tcPr>
            <w:tcW w:type="dxa" w:w="23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#f59e0b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Below-average, worth investigating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0-39</w:t>
            </w:r>
          </w:p>
        </w:tc>
        <w:tc>
          <w:tcPr>
            <w:tcW w:type="dxa" w:w="1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  <w:tc>
          <w:tcPr>
            <w:tcW w:type="dxa" w:w="1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23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 #ef4444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Poor investment metrics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4.2 Metric Icons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Every metric on the card uses a contextual icon based on the value: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Cap rate: 🚀 (&gt;6%), 📈 (4.5-6%), 📉 (&lt;4.5%)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Cash flow: 💎 (&gt;$400/mo), 💚 (&gt;$200), 🟡 (&gt;$0), 🔴 (negative)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Days on market: 🔥 (&lt;14 days), ⏱️ (&lt;30 days), 🐌 (&gt;30 days)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4.3 Google Maps Embed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🗺️ Map button toggles an embedded Google Maps iframe inside the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Geocoded from: '{address}, {zip_code}'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Zoom level 15 — shows street-level neighbourhood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Direct Directions link opens Google Maps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Only one embed can be open at a time per card (MLS and Map are mutually exclusive)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4.4 MLS Details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The 📋 MLS Details button expands an information panel showing: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MLS ID (from RentCast rentcast_id, or generated: MLS-{zip}-{seq})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Days listed, year built, lot size in square feet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Beds/baths/sqft summary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External links: Zillow, Redfin, Realtor.com (address + ZIP encoded into URL)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4.5 AI Property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Clicking a property card opens the AI analyst panel on the right side of the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System prompt is constructed with pre-computed financials for that specific property: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P&amp;I calculation using the live FRED mortgage rate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PITI = P&amp;I + estimated tax + insurance (1.5% annual)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Monthly cash flow = Rent - PITI - 35% operating expenses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Cap rate, GRM, cash-on-cash return, break-even rent, annual NOI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Anti-hallucination instructions in system prompt: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'Use ONLY the numbers below. Never invent figures.'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'If asked about HOA, schools, crime — say data is unavailable and suggest source'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Calls Anthropic API (claude-haiku-4-5-20251001) directly from the browser — no backend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Six pre-built quick question buttons: cash flow breakdown, deal quality, COC return, vacancy impact, benchmark comparison, risk analysis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 Override Filters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Override Filters section (collapsed by default) allows users to explicitly force any search parameter, overriding what the NLP parser extracted. All filters start blank — nothing is active unless the user sets it.</w:t>
      </w:r>
    </w:p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Resolution priority: Override field &gt; NLP parsed value &gt; System default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2000"/>
        <w:gridCol w:w="2560"/>
      </w:tblGrid>
      <w:tr>
        <w:trPr>
          <w:tblHeader/>
        </w:trPr>
        <w:tc>
          <w:tcPr>
            <w:tcW w:type="dxa" w:w="16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4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 Input</w:t>
            </w:r>
          </w:p>
        </w:tc>
        <w:tc>
          <w:tcPr>
            <w:tcW w:type="dxa" w:w="2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Indicator</w:t>
            </w:r>
          </w:p>
        </w:tc>
        <w:tc>
          <w:tcPr>
            <w:tcW w:type="dxa" w:w="2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 Method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ZIP Code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prompt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5-digit numeric input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pill in preview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field</w:t>
            </w:r>
          </w:p>
        </w:tc>
      </w:tr>
      <w:tr>
        <w:tc>
          <w:tcPr>
            <w:tcW w:type="dxa" w:w="1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Max Budget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prompt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Dollar amount (plain or $450k format)</w:t>
            </w:r>
          </w:p>
        </w:tc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pill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field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Type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prompt / SFH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Toggle chip (SFH/Multi/Condo/Townhouse)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highlight + '✕ clear'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'✕ clear' or re-click chip</w:t>
            </w:r>
          </w:p>
        </w:tc>
      </w:tr>
      <w:tr>
        <w:tc>
          <w:tcPr>
            <w:tcW w:type="dxa" w:w="1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 Bedrooms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prompt / 3</w:t>
            </w:r>
          </w:p>
        </w:tc>
        <w:tc>
          <w:tcPr>
            <w:tcW w:type="dxa" w:w="24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Toggle chip (1+/2+/3+/4+)</w:t>
            </w:r>
          </w:p>
        </w:tc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highlight + '✕ clear'</w:t>
            </w:r>
          </w:p>
        </w:tc>
        <w:tc>
          <w:tcPr>
            <w:tcW w:type="dxa" w:w="2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'✕ clear' or re-click chip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prompt / LTR</w:t>
            </w:r>
          </w:p>
        </w:tc>
        <w:tc>
          <w:tcPr>
            <w:tcW w:type="dxa" w:w="24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Toggle chip (LTR/STR/BRRRR/Flip)</w:t>
            </w:r>
          </w:p>
        </w:tc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Amber highlight + '✕ clear'</w:t>
            </w:r>
          </w:p>
        </w:tc>
        <w:tc>
          <w:tcPr>
            <w:tcW w:type="dxa" w:w="2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'✕ clear' or re-click chip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override count badge (e.g. '3') appears on the Override Filters header when any filters are active. A 'Clear all overrides' button resets everything to parsed/default values.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 Voice Search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Voice input is powered entirely by the browser's native Web Speech API. No external service, no API key, no data transmitted to third parties.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6.1 Voice Input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User clicks the 🎤 microphone button inside the prompt textarea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new SpeechRecognition() created: lang='en-US', continuous=false, interimResults=false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recognition.start() called. Button turns red with animated equaliser bars.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8-second auto-stop setTimeout fires recognition.stop() — prevents browser's no-speech error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User speaks. onresult event fires. Transcript is appended to the existing prompt 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onend fires (naturally or from auto-stop). Listening state clears. Normal parse pipeline continues.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6.2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200"/>
        <w:gridCol w:w="21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tcW w:type="dxa" w:w="3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to User</w:t>
            </w:r>
          </w:p>
        </w:tc>
        <w:tc>
          <w:tcPr>
            <w:tcW w:type="dxa" w:w="21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no-speech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Said nothing before timeout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Suppressed (silent)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Normal — mic timeout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aborted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stop() called programmatically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Suppressed (silent)</w:t>
            </w:r>
          </w:p>
        </w:tc>
        <w:tc>
          <w:tcPr>
            <w:tcW w:type="dxa" w:w="2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Expected flow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not-allowed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Denied mic permission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'Microphone access denied. Allow mic in browser settings.'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fix in browser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audio-capture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mic device found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'No microphone found. Check your audio device.'</w:t>
            </w:r>
          </w:p>
        </w:tc>
        <w:tc>
          <w:tcPr>
            <w:tcW w:type="dxa" w:w="2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Hardware issue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network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internet connection</w:t>
            </w:r>
          </w:p>
        </w:tc>
        <w:tc>
          <w:tcPr>
            <w:tcW w:type="dxa" w:w="3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'Network error — voice recognition requires internet.'</w:t>
            </w:r>
          </w:p>
        </w:tc>
        <w:tc>
          <w:tcPr>
            <w:tcW w:type="dxa" w:w="2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Connectivity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service-not-allowed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restriction</w:t>
            </w:r>
          </w:p>
        </w:tc>
        <w:tc>
          <w:tcPr>
            <w:tcW w:type="dxa" w:w="3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'Voice service not available in this browser.'</w:t>
            </w:r>
          </w:p>
        </w:tc>
        <w:tc>
          <w:tcPr>
            <w:tcW w:type="dxa" w:w="2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limitation</w:t>
            </w:r>
          </w:p>
        </w:tc>
      </w:tr>
    </w:tbl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 Silent Spell Correction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search prompt field includes a quiet, unobtrusive spell corrector built specifically for real estate vocabulary. It runs entirely in the browser with no external service.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7.1 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Uses edit-distance 1 (insertions, deletions, replacements, transpositions) to find typos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Only applies a correction if exactly ONE unambiguous candidate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Fires after 1.5 seconds of no typing (debounced) and immediately on field blur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Corrections are applied silently — no toast, no underline, no indicator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 What Gets Corrected (Examples)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</w:t>
            </w:r>
          </w:p>
        </w:tc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Corrected To</w:t>
            </w:r>
          </w:p>
        </w:tc>
        <w:tc>
          <w:tcPr>
            <w:tcW w:type="dxa" w:w="45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dalls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dallas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mckinny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mckinney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conod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condo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type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brrrr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brrrr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 (already correct)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sfj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sfh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Property type</w:t>
            </w:r>
          </w:p>
        </w:tc>
      </w:tr>
      <w:tr>
        <w:tc>
          <w:tcPr>
            <w:tcW w:type="dxa" w:w="20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hosuton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houston</w:t>
            </w:r>
          </w:p>
        </w:tc>
        <w:tc>
          <w:tcPr>
            <w:tcW w:type="dxa" w:w="45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City name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ltr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ltr</w:t>
            </w:r>
          </w:p>
        </w:tc>
        <w:tc>
          <w:tcPr>
            <w:tcW w:type="dxa" w:w="45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Strategy (already correct)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7.3 What Is Never Corrected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ZIP codes (5-digit numbers) — left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Dollar amounts ($400k, $450,000) — left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Pure numbers — left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Words with zero or multiple correction candidates — left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Words shorter than 3 characters — left unchanged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7.4 Grammarly &amp; Browser Spell-Check Suppression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textarea carries these attributes to suppress all browser and extension corrections: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spellCheck={false}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autoCorrect="off"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autoComplete="off"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autoCapitalize="off"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data-gramm="false"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data-gramm_editor="false"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data-enable-grammarly="false"</w:t>
      </w:r>
    </w:p>
    <w:p>
      <w:pPr>
        <w:pBdr>
          <w:left w:val="single" w:color="7C3AED" w:sz="14"/>
        </w:pBdr>
        <w:shd w:fill="F5F3FF" w:val="clear"/>
        <w:spacing w:after="60" w:before="60"/>
        <w:ind w:left="360"/>
      </w:pPr>
      <w:r>
        <w:rPr>
          <w:rFonts w:ascii="Courier New" w:cs="Courier New" w:eastAsia="Courier New" w:hAnsi="Courier New"/>
          <w:color w:val="4C1D95"/>
          <w:sz w:val="17"/>
          <w:szCs w:val="17"/>
        </w:rPr>
        <w:t xml:space="preserve">data-lt-active="false"  // suppresses LanguageTool extension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 Comparison Charts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right-hand panel in the dashboard shows five SVG charts comparing all 10 properties. These are built as pure SVG — no external charting library dependency.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2960"/>
      </w:tblGrid>
      <w:tr>
        <w:trPr>
          <w:tblHeader/>
        </w:trPr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</w:t>
            </w:r>
          </w:p>
        </w:tc>
        <w:tc>
          <w:tcPr>
            <w:tcW w:type="dxa" w:w="16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X-Axis</w:t>
            </w:r>
          </w:p>
        </w:tc>
        <w:tc>
          <w:tcPr>
            <w:tcW w:type="dxa" w:w="22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Y-Axis / Metric</w:t>
            </w:r>
          </w:p>
        </w:tc>
        <w:tc>
          <w:tcPr>
            <w:tcW w:type="dxa" w:w="29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 Coding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 Comparison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Properties ranked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 %</w:t>
            </w:r>
          </w:p>
        </w:tc>
        <w:tc>
          <w:tcPr>
            <w:tcW w:type="dxa" w:w="29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≥6%, Amber ≥4.5%, Violet &lt;4.5%</w:t>
            </w:r>
          </w:p>
        </w:tc>
      </w:tr>
      <w:tr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 Cash Flow</w:t>
            </w:r>
          </w:p>
        </w:tc>
        <w:tc>
          <w:tcPr>
            <w:tcW w:type="dxa" w:w="1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Properties ranked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flow $/mo</w:t>
            </w:r>
          </w:p>
        </w:tc>
        <w:tc>
          <w:tcPr>
            <w:tcW w:type="dxa" w:w="29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&gt;$300, Amber &gt;$0, Red negative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 vs Cash Flow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Scatter plot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 %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 flow $/mo</w:t>
            </w:r>
          </w:p>
        </w:tc>
        <w:tc>
          <w:tcPr>
            <w:tcW w:type="dxa" w:w="29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Green/Amber/Red by cash flow tier</w:t>
            </w:r>
          </w:p>
        </w:tc>
      </w:tr>
      <w:tr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Score Gauges</w:t>
            </w:r>
          </w:p>
        </w:tc>
        <w:tc>
          <w:tcPr>
            <w:tcW w:type="dxa" w:w="16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Radial gauge (SVG)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5 properties</w:t>
            </w:r>
          </w:p>
        </w:tc>
        <w:tc>
          <w:tcPr>
            <w:tcW w:type="dxa" w:w="22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 0-100</w:t>
            </w:r>
          </w:p>
        </w:tc>
        <w:tc>
          <w:tcPr>
            <w:tcW w:type="dxa" w:w="29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Tier colour per score range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Gross Rent Multiplier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Properties ranked</w:t>
            </w:r>
          </w:p>
        </w:tc>
        <w:tc>
          <w:tcPr>
            <w:tcW w:type="dxa" w:w="22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GRM multiplier</w:t>
            </w:r>
          </w:p>
        </w:tc>
        <w:tc>
          <w:tcPr>
            <w:tcW w:type="dxa" w:w="29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&lt;100, Amber &lt;130, Red ≥130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When a property chat is open, the charts panel is replaced by the PropertyChat component. Closing the chat restores the charts view.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 Financial Metrics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3160"/>
      </w:tblGrid>
      <w:tr>
        <w:trPr>
          <w:tblHeader/>
        </w:trPr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80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3160"/>
            <w:shd w:fill="312E81" w:val="clear"/>
          </w:tcPr>
          <w:p>
            <w:pPr>
              <w:spacing w:after="60" w:before="60"/>
              <w:ind w:left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 Rate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NOI / Price × 100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&gt;6% excellent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 Operating Income / Purchase Price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 Cash Flow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 − PITI − Opex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&gt;$300/mo</w:t>
            </w:r>
          </w:p>
        </w:tc>
        <w:tc>
          <w:tcPr>
            <w:tcW w:type="dxa" w:w="3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all monthly obligations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GRM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Price / (Rent × 12)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&lt;130×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Gross Rent Multiplier — lower is better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Cash-on-Cash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Annual CF / Down × 100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&gt;8% strong</w:t>
            </w:r>
          </w:p>
        </w:tc>
        <w:tc>
          <w:tcPr>
            <w:tcW w:type="dxa" w:w="3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Annual return on down payment invested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P&amp;I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Standard mortgage formula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FRED rate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Monthly principal &amp; interest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PITI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P&amp;I + Price×0.015/12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3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P&amp;I + estimated tax + insurance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Opex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 × 35%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Industry standard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Operations: management, maintenance, vacancy</w:t>
            </w:r>
          </w:p>
        </w:tc>
      </w:tr>
      <w:tr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NOI</w:t>
            </w:r>
          </w:p>
        </w:tc>
        <w:tc>
          <w:tcPr>
            <w:tcW w:type="dxa" w:w="2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Rent × 12 × 0.65</w:t>
            </w:r>
          </w:p>
        </w:tc>
        <w:tc>
          <w:tcPr>
            <w:tcW w:type="dxa" w:w="180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3160"/>
            <w:shd w:fill="F1F5F9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Net Operating Income (before debt service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Break-even rent</w:t>
            </w:r>
          </w:p>
        </w:tc>
        <w:tc>
          <w:tcPr>
            <w:tcW w:type="dxa" w:w="2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PITI × 1.15</w:t>
            </w:r>
          </w:p>
        </w:tc>
        <w:tc>
          <w:tcPr>
            <w:tcW w:type="dxa" w:w="180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Varies</w:t>
            </w:r>
          </w:p>
        </w:tc>
        <w:tc>
          <w:tcPr>
            <w:tcW w:type="dxa" w:w="3160"/>
            <w:shd w:fill="FFFFFF" w:val="clear"/>
          </w:tcPr>
          <w:p>
            <w:pPr>
              <w:spacing w:after="50" w:before="50"/>
              <w:ind w:left="120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Minimum rent for positive cash flow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top w:val="single" w:color="059669" w:sz="8"/>
          <w:left w:val="single" w:color="059669" w:sz="8"/>
          <w:right w:val="single" w:color="059669" w:sz="8"/>
        </w:pBdr>
        <w:shd w:fill="D1FAE5" w:val="clear"/>
        <w:spacing w:after="0" w:before="120"/>
        <w:ind w:left="240" w:right="240"/>
      </w:pPr>
      <w:r>
        <w:rPr>
          <w:rFonts w:ascii="Arial" w:cs="Arial" w:eastAsia="Arial" w:hAnsi="Arial"/>
          <w:b/>
          <w:bCs/>
          <w:color w:val="059669"/>
          <w:sz w:val="19"/>
          <w:szCs w:val="19"/>
        </w:rPr>
        <w:t xml:space="preserve">Expense Ratio Assumption</w:t>
      </w:r>
    </w:p>
    <w:p>
      <w:pPr>
        <w:pBdr>
          <w:bottom w:val="single" w:color="059669" w:sz="8"/>
          <w:left w:val="single" w:color="059669" w:sz="8"/>
          <w:right w:val="single" w:color="059669" w:sz="8"/>
        </w:pBdr>
        <w:shd w:fill="D1FAE5" w:val="clear"/>
        <w:spacing w:after="120" w:before="0"/>
        <w:ind w:left="240" w:right="2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NetFlow uses a 35% expense ratio (Opex = Rent × 35%). This covers property management (~10%), maintenance (~10%), vacancy (~5%), and insurance/miscellaneous (~10%). This is a conservative industry-standard assumption for long-term rentals.</w:t>
      </w:r>
    </w:p>
    <w:p>
      <w:r>
        <w:br w:type="page"/>
      </w:r>
    </w:p>
    <w:p>
      <w:pPr>
        <w:pBdr>
          <w:bottom w:val="single" w:color="7C3AED" w:sz="6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10. Session History &amp; IndexedDB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10.1 Search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Every successful property search is persisted to IndexedDB searchHistory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Keyed by username — each user has their own isolated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Capped at 100 records per user — oldest records trimmed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Sidebar history panel shows up to 15 most recent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Each entry displays: prompt text, result count, ZIP, budget, strategy,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Clicking a history entry re-fills the prompt field for easy repeat search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10.2 Login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Every login attempt (success or failure) written to loginHistory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Logout events also recorded (enables session 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Login page shows recent activity for all accounts before signing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UserMenu → Login History tab shows current user's full history</w:t>
      </w:r>
    </w:p>
    <w:p>
      <w:pPr>
        <w:spacing w:before="8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10.3 In-Memory Search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Results are also cached in a module-level Map in SearchPanel.tsx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Cache key: JSON of { zip_code, budget, property_type, min_beds, strategy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TTL: 15 minutes per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Cache hit renders results instantly — zero API calls made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Cache is cleared on page refresh (session-only, not persisted to IndexedDB)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NetFlow v1.0  ·  The Prompt Engineers Hackathon Spring 2026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/>
      </w:pBdr>
      <w:spacing w:after="60" w:before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NetFlow  ·  Functional Documentation     </w:t>
    </w: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2026-04-16T18:13:47.325Z</dcterms:created>
  <dcterms:modified xsi:type="dcterms:W3CDTF">2026-04-16T18:13:47.326Z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