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425d5fae9d892bbdec121536b2875b8ef0dd5c"/>
    <w:p>
      <w:pPr>
        <w:pStyle w:val="Heading1"/>
      </w:pPr>
      <w:r>
        <w:t xml:space="preserve">Treating and sulfur recovery (U-300) operating manual</w:t>
      </w:r>
    </w:p>
    <w:p>
      <w:pPr>
        <w:pStyle w:val="FirstParagraph"/>
      </w:pPr>
      <w:r>
        <w:t xml:space="preserve">Document number: DOC-U300-OM-001 · Revision B · Issued 2025-04-14 · Owner: Operations, U-300 · Area owner: Carlos Menezes</w:t>
      </w:r>
    </w:p>
    <w:bookmarkStart w:id="20" w:name="purpose-and-scope"/>
    <w:p>
      <w:pPr>
        <w:pStyle w:val="Heading2"/>
      </w:pPr>
      <w:r>
        <w:t xml:space="preserve">1. Purpose and scope</w:t>
      </w:r>
    </w:p>
    <w:p>
      <w:pPr>
        <w:pStyle w:val="FirstParagraph"/>
      </w:pPr>
      <w:r>
        <w:t xml:space="preserve">This manual covers the amine treating area and the sulfur recovery area of unit U-300 (design capacity 900 m³/d of treated gas liquids equivalent). Loop details are in DOC-CN-001. Values are those of the plant’s training simulator.</w:t>
      </w:r>
    </w:p>
    <w:bookmarkEnd w:id="20"/>
    <w:bookmarkStart w:id="23" w:name="amine-treating"/>
    <w:p>
      <w:pPr>
        <w:pStyle w:val="Heading2"/>
      </w:pPr>
      <w:r>
        <w:t xml:space="preserve">2. Amine treating</w:t>
      </w:r>
    </w:p>
    <w:p>
      <w:pPr>
        <w:pStyle w:val="FirstParagraph"/>
      </w:pPr>
      <w:r>
        <w:t xml:space="preserve">Sour gas from the hydrotreater (U-200) enters the bottom of the amine absorber C-1216 (20 trays, 1.8 m diameter, 24 m high). Lean amine enters at the top and absorbs hydrogen sulfide (H2S). Rich amine leaves at the bottom under level control LIC-1216. The hydrocarbon/amine interface in the absorber bottom is controlled by LIC-1107. The stabilizer temperature TIC-1114 keeps the lean amine at least 5 °C warmer than the gas, so hydrocarbons do not condense in the absorber and cause foaming.</w:t>
      </w:r>
    </w:p>
    <w:bookmarkStart w:id="21" w:name="foaming"/>
    <w:p>
      <w:pPr>
        <w:pStyle w:val="Heading3"/>
      </w:pPr>
      <w:r>
        <w:t xml:space="preserve">2.1 Foaming</w:t>
      </w:r>
    </w:p>
    <w:p>
      <w:pPr>
        <w:pStyle w:val="FirstParagraph"/>
      </w:pPr>
      <w:r>
        <w:t xml:space="preserve">Foaming in C-1216 shows as a rising differential pressure across the trays, an erratic bottom level and amine carry-over. Causes: hydrocarbon condensation (lean amine too cold), solids or degradation products in the amine. Actions: check TIC-1114 is at setpoint, reduce the gas rate, inject antifoam per the chemical procedure, and ask the laboratory for an amine analysis.</w:t>
      </w:r>
    </w:p>
    <w:bookmarkEnd w:id="21"/>
    <w:bookmarkStart w:id="22" w:name="interface-level-lic-1107"/>
    <w:p>
      <w:pPr>
        <w:pStyle w:val="Heading3"/>
      </w:pPr>
      <w:r>
        <w:t xml:space="preserve">2.2 Interface level LIC-1107</w:t>
      </w:r>
    </w:p>
    <w:p>
      <w:pPr>
        <w:pStyle w:val="FirstParagraph"/>
      </w:pPr>
      <w:r>
        <w:t xml:space="preserve">LIC-1107 interacts with the hydrocarbon draw from the absorber bottom (the SECONDARY signal of the loop on the OPC UA server). When the draw changes, the interface moves, and LIC-1107 reacts. Keep LIC-1107 tuned slower than the draw (DOC-TG-001, section 4.9).</w:t>
      </w:r>
    </w:p>
    <w:bookmarkEnd w:id="22"/>
    <w:bookmarkEnd w:id="23"/>
    <w:bookmarkStart w:id="24" w:name="sulfur-recovery"/>
    <w:p>
      <w:pPr>
        <w:pStyle w:val="Heading2"/>
      </w:pPr>
      <w:r>
        <w:t xml:space="preserve">3. Sulfur recovery</w:t>
      </w:r>
    </w:p>
    <w:p>
      <w:pPr>
        <w:pStyle w:val="FirstParagraph"/>
      </w:pPr>
      <w:r>
        <w:t xml:space="preserve">The acid gas from the amine regenerator goes to a Claus unit. One third of the H2S is burned to sulfur dioxide in the reaction furnace. The remaining H2S reacts with the SO2 over the catalyst in the Claus reactor R-1226 (35 m³, design 1.5 bar g / 350 °C) to form elemental sulfur, which is condensed and drained to the sulfur pit.</w:t>
      </w:r>
    </w:p>
    <w:p>
      <w:pPr>
        <w:pStyle w:val="BodyText"/>
      </w:pPr>
      <w:r>
        <w:t xml:space="preserve">The Claus reactor temperature TIC-1226 must stay above the sulfur dew point to avoid liquid sulfur on the catalyst, and low enough to favour conversion. It is disturbed by changes in acid gas flow and composition from the upstream units (DOC-TG-001, section 4.8). Large acid gas changes from U-200 arrive at R-1226 a few minutes later. The U-200 shift should inform U-300 of charge changes.</w:t>
      </w:r>
    </w:p>
    <w:bookmarkEnd w:id="24"/>
    <w:bookmarkStart w:id="25" w:name="operating-limits"/>
    <w:p>
      <w:pPr>
        <w:pStyle w:val="Heading2"/>
      </w:pPr>
      <w:r>
        <w:t xml:space="preserve">4. Operating limits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Low alarm</w:t>
            </w:r>
          </w:p>
        </w:tc>
        <w:tc>
          <w:tcPr/>
          <w:p>
            <w:pPr>
              <w:pStyle w:val="Compact"/>
              <w:jc w:val="left"/>
            </w:pPr>
            <w:r>
              <w:t xml:space="preserve">Normal</w:t>
            </w:r>
          </w:p>
        </w:tc>
        <w:tc>
          <w:tcPr/>
          <w:p>
            <w:pPr>
              <w:pStyle w:val="Compact"/>
              <w:jc w:val="left"/>
            </w:pPr>
            <w:r>
              <w:t xml:space="preserve">High alarm</w:t>
            </w:r>
          </w:p>
        </w:tc>
      </w:tr>
      <w:tr>
        <w:tc>
          <w:tcPr/>
          <w:p>
            <w:pPr>
              <w:pStyle w:val="Compact"/>
              <w:jc w:val="left"/>
            </w:pPr>
            <w:r>
              <w:t xml:space="preserve">Amine absorber level (LIC-1216)</w:t>
            </w:r>
          </w:p>
        </w:tc>
        <w:tc>
          <w:tcPr/>
          <w:p>
            <w:pPr>
              <w:pStyle w:val="Compact"/>
              <w:jc w:val="left"/>
            </w:pPr>
            <w:r>
              <w:t xml:space="preserve">25 %</w:t>
            </w:r>
          </w:p>
        </w:tc>
        <w:tc>
          <w:tcPr/>
          <w:p>
            <w:pPr>
              <w:pStyle w:val="Compact"/>
              <w:jc w:val="left"/>
            </w:pPr>
            <w:r>
              <w:t xml:space="preserve">54 %</w:t>
            </w:r>
          </w:p>
        </w:tc>
        <w:tc>
          <w:tcPr/>
          <w:p>
            <w:pPr>
              <w:pStyle w:val="Compact"/>
              <w:jc w:val="left"/>
            </w:pPr>
            <w:r>
              <w:t xml:space="preserve">80 %</w:t>
            </w:r>
          </w:p>
        </w:tc>
      </w:tr>
      <w:tr>
        <w:tc>
          <w:tcPr/>
          <w:p>
            <w:pPr>
              <w:pStyle w:val="Compact"/>
              <w:jc w:val="left"/>
            </w:pPr>
            <w:r>
              <w:t xml:space="preserve">Interface level (LIC-1107)</w:t>
            </w:r>
          </w:p>
        </w:tc>
        <w:tc>
          <w:tcPr/>
          <w:p>
            <w:pPr>
              <w:pStyle w:val="Compact"/>
              <w:jc w:val="left"/>
            </w:pPr>
            <w:r>
              <w:t xml:space="preserve">30 %</w:t>
            </w:r>
          </w:p>
        </w:tc>
        <w:tc>
          <w:tcPr/>
          <w:p>
            <w:pPr>
              <w:pStyle w:val="Compact"/>
              <w:jc w:val="left"/>
            </w:pPr>
            <w:r>
              <w:t xml:space="preserve">49 %</w:t>
            </w:r>
          </w:p>
        </w:tc>
        <w:tc>
          <w:tcPr/>
          <w:p>
            <w:pPr>
              <w:pStyle w:val="Compact"/>
              <w:jc w:val="left"/>
            </w:pPr>
            <w:r>
              <w:t xml:space="preserve">70 %</w:t>
            </w:r>
          </w:p>
        </w:tc>
      </w:tr>
      <w:tr>
        <w:tc>
          <w:tcPr/>
          <w:p>
            <w:pPr>
              <w:pStyle w:val="Compact"/>
              <w:jc w:val="left"/>
            </w:pPr>
            <w:r>
              <w:t xml:space="preserve">Stabilizer temperature (TIC-1114)</w:t>
            </w:r>
          </w:p>
        </w:tc>
        <w:tc>
          <w:tcPr/>
          <w:p>
            <w:pPr>
              <w:pStyle w:val="Compact"/>
              <w:jc w:val="left"/>
            </w:pPr>
            <w:r>
              <w:t xml:space="preserve">54 °C</w:t>
            </w:r>
          </w:p>
        </w:tc>
        <w:tc>
          <w:tcPr/>
          <w:p>
            <w:pPr>
              <w:pStyle w:val="Compact"/>
              <w:jc w:val="left"/>
            </w:pPr>
            <w:r>
              <w:t xml:space="preserve">59 °C</w:t>
            </w:r>
          </w:p>
        </w:tc>
        <w:tc>
          <w:tcPr/>
          <w:p>
            <w:pPr>
              <w:pStyle w:val="Compact"/>
              <w:jc w:val="left"/>
            </w:pPr>
            <w:r>
              <w:t xml:space="preserve">65 °C</w:t>
            </w:r>
          </w:p>
        </w:tc>
      </w:tr>
      <w:tr>
        <w:tc>
          <w:tcPr/>
          <w:p>
            <w:pPr>
              <w:pStyle w:val="Compact"/>
              <w:jc w:val="left"/>
            </w:pPr>
            <w:r>
              <w:t xml:space="preserve">Claus reactor temperature (TIC-1226)</w:t>
            </w:r>
          </w:p>
        </w:tc>
        <w:tc>
          <w:tcPr/>
          <w:p>
            <w:pPr>
              <w:pStyle w:val="Compact"/>
              <w:jc w:val="left"/>
            </w:pPr>
            <w:r>
              <w:t xml:space="preserve">61 °C</w:t>
            </w:r>
          </w:p>
        </w:tc>
        <w:tc>
          <w:tcPr/>
          <w:p>
            <w:pPr>
              <w:pStyle w:val="Compact"/>
              <w:jc w:val="left"/>
            </w:pPr>
            <w:r>
              <w:t xml:space="preserve">67 °C</w:t>
            </w:r>
          </w:p>
        </w:tc>
        <w:tc>
          <w:tcPr/>
          <w:p>
            <w:pPr>
              <w:pStyle w:val="Compact"/>
              <w:jc w:val="left"/>
            </w:pPr>
            <w:r>
              <w:t xml:space="preserve">73 °C</w:t>
            </w:r>
          </w:p>
        </w:tc>
      </w:tr>
    </w:tbl>
    <w:bookmarkEnd w:id="25"/>
    <w:bookmarkStart w:id="26" w:name="safety"/>
    <w:p>
      <w:pPr>
        <w:pStyle w:val="Heading2"/>
      </w:pPr>
      <w:r>
        <w:t xml:space="preserve">5. Safety</w:t>
      </w:r>
    </w:p>
    <w:p>
      <w:pPr>
        <w:pStyle w:val="FirstParagraph"/>
      </w:pPr>
      <w:r>
        <w:t xml:space="preserve">H2S is toxic at low concentrations. Personal H2S monitors are mandatory in U-300. Never open an amine or acid gas line without a work permit and gas test.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2026-10-26T21:55:52Z</dcterms:created>
  <dcterms:modified xsi:type="dcterms:W3CDTF">2026-10-26T21:55:52Z</dcterms:modified>
</cp:coreProperties>
</file>

<file path=docProps/custom.xml><?xml version="1.0" encoding="utf-8"?>
<Properties xmlns="http://schemas.openxmlformats.org/officeDocument/2006/custom-properties" xmlns:vt="http://schemas.openxmlformats.org/officeDocument/2006/docPropsVTypes"/>
</file>