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library(xcms)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library(multtest)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library(BiocParallel)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xset &lt;- xcmsSet(method='centWave', ppm=10, BPPARAM = SerialParam(), snthresh=10,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prefilter=c(4,200), scanrange = c(40,1000), peakwidth = c(5,30),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integrate=1,fitgauss=F,verbose.columns=T)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####Key points/notes####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‘ppm=10’ maximum error (deviation in m/z in consecutive scans) allowed for mass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acquisition in parts per million (ppm).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‘BPPARAM = SerialParam()’ analyses peaks one after the other instead of in parallel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lessen computing power required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‘snthresh=10’ the cutoff for the signal to noise ratio.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‘prefilter=c(4,200)’ Only retains mass traces if they contain at least k (4) peaks with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intensity &gt;= I (200).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‘scanrange = c(40,1000)’ gives the range of masses to be considered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‘peakwidth = c(5,12)’ range of acceptable peak width (in seconds).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‘integrate=1’ integration method (to find area under MS curve) which is less prone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signal noise but potentially less exact (than integrate=2).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‘fitgauss=F’ means that a Gaussian is not fitted to normalise the peak.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‘verbose.columns=T’ returns additional peak metadata.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xset &lt;- group(xset)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xset2 &lt;- retcor(xset, family="s", plottype="m")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family=”s” only keeps symmetric peaks###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xset2 &lt;- group(xset2, bw=10)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bw=10 removes peaks that have not been grouped correctly ###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xset3&lt;- fillPeaks(xset2)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reporttab &lt;- diffreport((xset3, 'myClass1', 'myClass2', 'myResultDir', 20, metlin = 0.15)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###this is where you specify output file names and location ####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