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before="180" w:line="240" w:lineRule="auto"/>
        <w:jc w:val="both"/>
        <w:rPr>
          <w:sz w:val="24"/>
          <w:szCs w:val="24"/>
        </w:rPr>
      </w:pPr>
      <w:r w:rsidDel="00000000" w:rsidR="00000000" w:rsidRPr="00000000">
        <w:rPr>
          <w:sz w:val="24"/>
          <w:szCs w:val="24"/>
        </w:rPr>
        <w:drawing>
          <wp:inline distB="114300" distT="114300" distL="114300" distR="114300">
            <wp:extent cx="5943600" cy="3315295"/>
            <wp:effectExtent b="0" l="0" r="0" t="0"/>
            <wp:docPr id="4" name="image2.jpg"/>
            <a:graphic>
              <a:graphicData uri="http://schemas.openxmlformats.org/drawingml/2006/picture">
                <pic:pic>
                  <pic:nvPicPr>
                    <pic:cNvPr id="0" name="image2.jpg"/>
                    <pic:cNvPicPr preferRelativeResize="0"/>
                  </pic:nvPicPr>
                  <pic:blipFill>
                    <a:blip r:embed="rId6"/>
                    <a:srcRect b="17447" l="0" r="0" t="12810"/>
                    <a:stretch>
                      <a:fillRect/>
                    </a:stretch>
                  </pic:blipFill>
                  <pic:spPr>
                    <a:xfrm>
                      <a:off x="0" y="0"/>
                      <a:ext cx="5943600" cy="33152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80" w:before="180" w:line="240" w:lineRule="auto"/>
        <w:jc w:val="both"/>
        <w:rPr>
          <w:sz w:val="24"/>
          <w:szCs w:val="24"/>
        </w:rPr>
      </w:pPr>
      <w:r w:rsidDel="00000000" w:rsidR="00000000" w:rsidRPr="00000000">
        <w:rPr>
          <w:sz w:val="24"/>
          <w:szCs w:val="24"/>
          <w:rtl w:val="0"/>
        </w:rPr>
        <w:t xml:space="preserve">Figure 1. Correlation-based Principal Component Analysis (PCA): biplot of gene transcript expression and explanatory tissues involved in plant aerial architecture as eigenvectors (grey arrows), n = 7). Principal components 1 and 2 account for 81.7% of the total inertia. Ellipses are used here as a visual representation of dispersion of data points within each group (TIR1/AFB, ARF, and Aux/IAA (IAA)) with a 70% confidence interval. TIR1/AFB genes are colored cyan, ARF genes are colored purple, and Aux/IAA (IAA) genes are colored yellow. Some labels are connected to their respective points with hard lines. Genes clustering together inside the ellipses are hypothesized to have more pleiotropic effects on plant growth and development, whereas genes associated with a specific RCC tissue (genes that fall along an eigenvector, outside of the respectively colored ellipse) are hypothesized to have narrower effects and be more amenable to engineering RCC traits through gene editing.</w:t>
      </w:r>
    </w:p>
    <w:p w:rsidR="00000000" w:rsidDel="00000000" w:rsidP="00000000" w:rsidRDefault="00000000" w:rsidRPr="00000000" w14:paraId="00000003">
      <w:pPr>
        <w:spacing w:after="180" w:before="180" w:line="240" w:lineRule="auto"/>
        <w:jc w:val="both"/>
        <w:rPr>
          <w:sz w:val="24"/>
          <w:szCs w:val="24"/>
        </w:rPr>
      </w:pPr>
      <w:r w:rsidDel="00000000" w:rsidR="00000000" w:rsidRPr="00000000">
        <w:rPr>
          <w:rtl w:val="0"/>
        </w:rPr>
      </w:r>
    </w:p>
    <w:p w:rsidR="00000000" w:rsidDel="00000000" w:rsidP="00000000" w:rsidRDefault="00000000" w:rsidRPr="00000000" w14:paraId="00000004">
      <w:pPr>
        <w:keepNext w:val="1"/>
        <w:spacing w:after="200" w:line="240" w:lineRule="auto"/>
        <w:jc w:val="both"/>
        <w:rPr>
          <w:sz w:val="24"/>
          <w:szCs w:val="24"/>
        </w:rPr>
      </w:pPr>
      <w:r w:rsidDel="00000000" w:rsidR="00000000" w:rsidRPr="00000000">
        <w:rPr>
          <w:sz w:val="24"/>
          <w:szCs w:val="24"/>
        </w:rPr>
        <w:drawing>
          <wp:inline distB="114300" distT="114300" distL="114300" distR="114300">
            <wp:extent cx="5481638" cy="4759856"/>
            <wp:effectExtent b="0" l="0" r="0" t="0"/>
            <wp:docPr id="1" name="image4.png"/>
            <a:graphic>
              <a:graphicData uri="http://schemas.openxmlformats.org/drawingml/2006/picture">
                <pic:pic>
                  <pic:nvPicPr>
                    <pic:cNvPr id="0" name="image4.png"/>
                    <pic:cNvPicPr preferRelativeResize="0"/>
                  </pic:nvPicPr>
                  <pic:blipFill>
                    <a:blip r:embed="rId7"/>
                    <a:srcRect b="0" l="12179" r="0" t="8461"/>
                    <a:stretch>
                      <a:fillRect/>
                    </a:stretch>
                  </pic:blipFill>
                  <pic:spPr>
                    <a:xfrm>
                      <a:off x="0" y="0"/>
                      <a:ext cx="5481638" cy="475985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20" w:line="240" w:lineRule="auto"/>
        <w:jc w:val="both"/>
        <w:rPr>
          <w:sz w:val="24"/>
          <w:szCs w:val="24"/>
        </w:rPr>
      </w:pPr>
      <w:r w:rsidDel="00000000" w:rsidR="00000000" w:rsidRPr="00000000">
        <w:rPr>
          <w:sz w:val="24"/>
          <w:szCs w:val="24"/>
          <w:rtl w:val="0"/>
        </w:rPr>
        <w:t xml:space="preserve">Figure 2.</w:t>
      </w:r>
      <w:r w:rsidDel="00000000" w:rsidR="00000000" w:rsidRPr="00000000">
        <w:rPr>
          <w:i w:val="1"/>
          <w:sz w:val="24"/>
          <w:szCs w:val="24"/>
          <w:rtl w:val="0"/>
        </w:rPr>
        <w:t xml:space="preserve"> </w:t>
      </w:r>
      <w:r w:rsidDel="00000000" w:rsidR="00000000" w:rsidRPr="00000000">
        <w:rPr>
          <w:sz w:val="24"/>
          <w:szCs w:val="24"/>
          <w:rtl w:val="0"/>
        </w:rPr>
        <w:t xml:space="preserve">The evolutionary relationships between </w:t>
      </w:r>
      <w:r w:rsidDel="00000000" w:rsidR="00000000" w:rsidRPr="00000000">
        <w:rPr>
          <w:i w:val="1"/>
          <w:sz w:val="24"/>
          <w:szCs w:val="24"/>
          <w:rtl w:val="0"/>
        </w:rPr>
        <w:t xml:space="preserve">G. max</w:t>
      </w:r>
      <w:r w:rsidDel="00000000" w:rsidR="00000000" w:rsidRPr="00000000">
        <w:rPr>
          <w:sz w:val="24"/>
          <w:szCs w:val="24"/>
          <w:rtl w:val="0"/>
        </w:rPr>
        <w:t xml:space="preserve"> TIR1/AFB proteins, and </w:t>
      </w:r>
      <w:r w:rsidDel="00000000" w:rsidR="00000000" w:rsidRPr="00000000">
        <w:rPr>
          <w:i w:val="1"/>
          <w:sz w:val="24"/>
          <w:szCs w:val="24"/>
          <w:rtl w:val="0"/>
        </w:rPr>
        <w:t xml:space="preserve">A. thaliana</w:t>
      </w:r>
      <w:r w:rsidDel="00000000" w:rsidR="00000000" w:rsidRPr="00000000">
        <w:rPr>
          <w:sz w:val="24"/>
          <w:szCs w:val="24"/>
          <w:rtl w:val="0"/>
        </w:rPr>
        <w:t xml:space="preserve"> and other legume species orthologs. The historical relationship was inferred using the Bayesian Inference method (Ronquist </w:t>
      </w:r>
      <w:r w:rsidDel="00000000" w:rsidR="00000000" w:rsidRPr="00000000">
        <w:rPr>
          <w:i w:val="1"/>
          <w:sz w:val="24"/>
          <w:szCs w:val="24"/>
          <w:rtl w:val="0"/>
        </w:rPr>
        <w:t xml:space="preserve">et al</w:t>
      </w:r>
      <w:r w:rsidDel="00000000" w:rsidR="00000000" w:rsidRPr="00000000">
        <w:rPr>
          <w:sz w:val="24"/>
          <w:szCs w:val="24"/>
          <w:rtl w:val="0"/>
        </w:rPr>
        <w:t xml:space="preserve">., 2012). The optimal tree is drawn according to the posterior probability of the evolutionary distances. The posterior probability of each node is labeled. Each tip is colored according to species, with </w:t>
      </w:r>
      <w:r w:rsidDel="00000000" w:rsidR="00000000" w:rsidRPr="00000000">
        <w:rPr>
          <w:i w:val="1"/>
          <w:sz w:val="24"/>
          <w:szCs w:val="24"/>
          <w:rtl w:val="0"/>
        </w:rPr>
        <w:t xml:space="preserve">A. thaliana</w:t>
      </w:r>
      <w:r w:rsidDel="00000000" w:rsidR="00000000" w:rsidRPr="00000000">
        <w:rPr>
          <w:sz w:val="24"/>
          <w:szCs w:val="24"/>
          <w:rtl w:val="0"/>
        </w:rPr>
        <w:t xml:space="preserve"> in black, </w:t>
      </w:r>
      <w:r w:rsidDel="00000000" w:rsidR="00000000" w:rsidRPr="00000000">
        <w:rPr>
          <w:i w:val="1"/>
          <w:sz w:val="24"/>
          <w:szCs w:val="24"/>
          <w:rtl w:val="0"/>
        </w:rPr>
        <w:t xml:space="preserve">G. max</w:t>
      </w:r>
      <w:r w:rsidDel="00000000" w:rsidR="00000000" w:rsidRPr="00000000">
        <w:rPr>
          <w:sz w:val="24"/>
          <w:szCs w:val="24"/>
          <w:rtl w:val="0"/>
        </w:rPr>
        <w:t xml:space="preserve"> in orange, </w:t>
      </w:r>
      <w:r w:rsidDel="00000000" w:rsidR="00000000" w:rsidRPr="00000000">
        <w:rPr>
          <w:i w:val="1"/>
          <w:sz w:val="24"/>
          <w:szCs w:val="24"/>
          <w:rtl w:val="0"/>
        </w:rPr>
        <w:t xml:space="preserve">G. soja</w:t>
      </w:r>
      <w:r w:rsidDel="00000000" w:rsidR="00000000" w:rsidRPr="00000000">
        <w:rPr>
          <w:sz w:val="24"/>
          <w:szCs w:val="24"/>
          <w:rtl w:val="0"/>
        </w:rPr>
        <w:t xml:space="preserve"> in light blue, </w:t>
      </w:r>
      <w:r w:rsidDel="00000000" w:rsidR="00000000" w:rsidRPr="00000000">
        <w:rPr>
          <w:i w:val="1"/>
          <w:sz w:val="24"/>
          <w:szCs w:val="24"/>
          <w:rtl w:val="0"/>
        </w:rPr>
        <w:t xml:space="preserve">L. japonicus</w:t>
      </w:r>
      <w:r w:rsidDel="00000000" w:rsidR="00000000" w:rsidRPr="00000000">
        <w:rPr>
          <w:sz w:val="24"/>
          <w:szCs w:val="24"/>
          <w:rtl w:val="0"/>
        </w:rPr>
        <w:t xml:space="preserve"> in green, and </w:t>
      </w:r>
      <w:r w:rsidDel="00000000" w:rsidR="00000000" w:rsidRPr="00000000">
        <w:rPr>
          <w:i w:val="1"/>
          <w:sz w:val="24"/>
          <w:szCs w:val="24"/>
          <w:rtl w:val="0"/>
        </w:rPr>
        <w:t xml:space="preserve">M. truncatula</w:t>
      </w:r>
      <w:r w:rsidDel="00000000" w:rsidR="00000000" w:rsidRPr="00000000">
        <w:rPr>
          <w:sz w:val="24"/>
          <w:szCs w:val="24"/>
          <w:rtl w:val="0"/>
        </w:rPr>
        <w:t xml:space="preserve"> in yellow. </w:t>
      </w:r>
      <w:r w:rsidDel="00000000" w:rsidR="00000000" w:rsidRPr="00000000">
        <w:rPr>
          <w:i w:val="1"/>
          <w:sz w:val="24"/>
          <w:szCs w:val="24"/>
          <w:rtl w:val="0"/>
        </w:rPr>
        <w:t xml:space="preserve">A. thaliana</w:t>
      </w:r>
      <w:r w:rsidDel="00000000" w:rsidR="00000000" w:rsidRPr="00000000">
        <w:rPr>
          <w:sz w:val="24"/>
          <w:szCs w:val="24"/>
          <w:rtl w:val="0"/>
        </w:rPr>
        <w:t xml:space="preserve"> gene symbols are displayed in bold to better visualize clade separation. Clades are also defined by the shapes towards tip extremities, with clade I as a circle, clade II as a triangle, clade III as a square, clade IV as an addition sign, and clade V as a ballot box with an x. </w:t>
      </w:r>
      <w:r w:rsidDel="00000000" w:rsidR="00000000" w:rsidRPr="00000000">
        <w:rPr>
          <w:i w:val="1"/>
          <w:sz w:val="24"/>
          <w:szCs w:val="24"/>
          <w:rtl w:val="0"/>
        </w:rPr>
        <w:t xml:space="preserve">G. max </w:t>
      </w:r>
      <w:r w:rsidDel="00000000" w:rsidR="00000000" w:rsidRPr="00000000">
        <w:rPr>
          <w:sz w:val="24"/>
          <w:szCs w:val="24"/>
          <w:rtl w:val="0"/>
        </w:rPr>
        <w:t xml:space="preserve">genes</w:t>
      </w:r>
      <w:r w:rsidDel="00000000" w:rsidR="00000000" w:rsidRPr="00000000">
        <w:rPr>
          <w:i w:val="1"/>
          <w:sz w:val="24"/>
          <w:szCs w:val="24"/>
          <w:rtl w:val="0"/>
        </w:rPr>
        <w:t xml:space="preserve"> </w:t>
      </w:r>
      <w:r w:rsidDel="00000000" w:rsidR="00000000" w:rsidRPr="00000000">
        <w:rPr>
          <w:sz w:val="24"/>
          <w:szCs w:val="24"/>
          <w:rtl w:val="0"/>
        </w:rPr>
        <w:t xml:space="preserve">were named according to their orthology to </w:t>
      </w:r>
      <w:r w:rsidDel="00000000" w:rsidR="00000000" w:rsidRPr="00000000">
        <w:rPr>
          <w:i w:val="1"/>
          <w:sz w:val="24"/>
          <w:szCs w:val="24"/>
          <w:rtl w:val="0"/>
        </w:rPr>
        <w:t xml:space="preserve">A. thaliana </w:t>
      </w:r>
      <w:r w:rsidDel="00000000" w:rsidR="00000000" w:rsidRPr="00000000">
        <w:rPr>
          <w:sz w:val="24"/>
          <w:szCs w:val="24"/>
          <w:rtl w:val="0"/>
        </w:rPr>
        <w:t xml:space="preserve">followed by their gene ID.</w:t>
      </w:r>
    </w:p>
    <w:p w:rsidR="00000000" w:rsidDel="00000000" w:rsidP="00000000" w:rsidRDefault="00000000" w:rsidRPr="00000000" w14:paraId="0000000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7">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8">
      <w:pPr>
        <w:keepNext w:val="1"/>
        <w:spacing w:after="200" w:line="240" w:lineRule="auto"/>
        <w:jc w:val="both"/>
        <w:rPr>
          <w:sz w:val="24"/>
          <w:szCs w:val="24"/>
        </w:rPr>
      </w:pPr>
      <w:r w:rsidDel="00000000" w:rsidR="00000000" w:rsidRPr="00000000">
        <w:rPr>
          <w:sz w:val="24"/>
          <w:szCs w:val="24"/>
        </w:rPr>
        <w:drawing>
          <wp:inline distB="114300" distT="114300" distL="114300" distR="114300">
            <wp:extent cx="5943600" cy="59436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20" w:line="240" w:lineRule="auto"/>
        <w:jc w:val="both"/>
        <w:rPr>
          <w:sz w:val="24"/>
          <w:szCs w:val="24"/>
        </w:rPr>
      </w:pPr>
      <w:r w:rsidDel="00000000" w:rsidR="00000000" w:rsidRPr="00000000">
        <w:rPr>
          <w:sz w:val="24"/>
          <w:szCs w:val="24"/>
          <w:rtl w:val="0"/>
        </w:rPr>
        <w:t xml:space="preserve">Figure 3. The evolutionary relationships between </w:t>
      </w:r>
      <w:r w:rsidDel="00000000" w:rsidR="00000000" w:rsidRPr="00000000">
        <w:rPr>
          <w:i w:val="1"/>
          <w:sz w:val="24"/>
          <w:szCs w:val="24"/>
          <w:rtl w:val="0"/>
        </w:rPr>
        <w:t xml:space="preserve">G. max</w:t>
      </w:r>
      <w:r w:rsidDel="00000000" w:rsidR="00000000" w:rsidRPr="00000000">
        <w:rPr>
          <w:sz w:val="24"/>
          <w:szCs w:val="24"/>
          <w:rtl w:val="0"/>
        </w:rPr>
        <w:t xml:space="preserve"> Aux/IAA proteins, </w:t>
      </w:r>
      <w:r w:rsidDel="00000000" w:rsidR="00000000" w:rsidRPr="00000000">
        <w:rPr>
          <w:i w:val="1"/>
          <w:sz w:val="24"/>
          <w:szCs w:val="24"/>
          <w:rtl w:val="0"/>
        </w:rPr>
        <w:t xml:space="preserve">A. thaliana</w:t>
      </w:r>
      <w:r w:rsidDel="00000000" w:rsidR="00000000" w:rsidRPr="00000000">
        <w:rPr>
          <w:sz w:val="24"/>
          <w:szCs w:val="24"/>
          <w:rtl w:val="0"/>
        </w:rPr>
        <w:t xml:space="preserve"> and other legume species orthologs. The historical relationship was inferred using the Bayesian Inference method (Ronquist </w:t>
      </w:r>
      <w:r w:rsidDel="00000000" w:rsidR="00000000" w:rsidRPr="00000000">
        <w:rPr>
          <w:i w:val="1"/>
          <w:sz w:val="24"/>
          <w:szCs w:val="24"/>
          <w:rtl w:val="0"/>
        </w:rPr>
        <w:t xml:space="preserve">et al</w:t>
      </w:r>
      <w:r w:rsidDel="00000000" w:rsidR="00000000" w:rsidRPr="00000000">
        <w:rPr>
          <w:sz w:val="24"/>
          <w:szCs w:val="24"/>
          <w:rtl w:val="0"/>
        </w:rPr>
        <w:t xml:space="preserve">., 2012). The optimal tree is drawn according to the posterior probability of the evolutionary distances. The posterior probability of each node is labeled. Each tip is colored according to species, with </w:t>
      </w:r>
      <w:r w:rsidDel="00000000" w:rsidR="00000000" w:rsidRPr="00000000">
        <w:rPr>
          <w:i w:val="1"/>
          <w:sz w:val="24"/>
          <w:szCs w:val="24"/>
          <w:rtl w:val="0"/>
        </w:rPr>
        <w:t xml:space="preserve">A. thaliana</w:t>
      </w:r>
      <w:r w:rsidDel="00000000" w:rsidR="00000000" w:rsidRPr="00000000">
        <w:rPr>
          <w:sz w:val="24"/>
          <w:szCs w:val="24"/>
          <w:rtl w:val="0"/>
        </w:rPr>
        <w:t xml:space="preserve"> in black, </w:t>
      </w:r>
      <w:r w:rsidDel="00000000" w:rsidR="00000000" w:rsidRPr="00000000">
        <w:rPr>
          <w:i w:val="1"/>
          <w:sz w:val="24"/>
          <w:szCs w:val="24"/>
          <w:rtl w:val="0"/>
        </w:rPr>
        <w:t xml:space="preserve">G. max</w:t>
      </w:r>
      <w:r w:rsidDel="00000000" w:rsidR="00000000" w:rsidRPr="00000000">
        <w:rPr>
          <w:sz w:val="24"/>
          <w:szCs w:val="24"/>
          <w:rtl w:val="0"/>
        </w:rPr>
        <w:t xml:space="preserve"> in orange, </w:t>
      </w:r>
      <w:r w:rsidDel="00000000" w:rsidR="00000000" w:rsidRPr="00000000">
        <w:rPr>
          <w:i w:val="1"/>
          <w:sz w:val="24"/>
          <w:szCs w:val="24"/>
          <w:rtl w:val="0"/>
        </w:rPr>
        <w:t xml:space="preserve">G. soja</w:t>
      </w:r>
      <w:r w:rsidDel="00000000" w:rsidR="00000000" w:rsidRPr="00000000">
        <w:rPr>
          <w:sz w:val="24"/>
          <w:szCs w:val="24"/>
          <w:rtl w:val="0"/>
        </w:rPr>
        <w:t xml:space="preserve"> in light blue, </w:t>
      </w:r>
      <w:r w:rsidDel="00000000" w:rsidR="00000000" w:rsidRPr="00000000">
        <w:rPr>
          <w:i w:val="1"/>
          <w:sz w:val="24"/>
          <w:szCs w:val="24"/>
          <w:rtl w:val="0"/>
        </w:rPr>
        <w:t xml:space="preserve">L. japonicus</w:t>
      </w:r>
      <w:r w:rsidDel="00000000" w:rsidR="00000000" w:rsidRPr="00000000">
        <w:rPr>
          <w:sz w:val="24"/>
          <w:szCs w:val="24"/>
          <w:rtl w:val="0"/>
        </w:rPr>
        <w:t xml:space="preserve"> in green, and </w:t>
      </w:r>
      <w:r w:rsidDel="00000000" w:rsidR="00000000" w:rsidRPr="00000000">
        <w:rPr>
          <w:i w:val="1"/>
          <w:sz w:val="24"/>
          <w:szCs w:val="24"/>
          <w:rtl w:val="0"/>
        </w:rPr>
        <w:t xml:space="preserve">M. truncatula</w:t>
      </w:r>
      <w:r w:rsidDel="00000000" w:rsidR="00000000" w:rsidRPr="00000000">
        <w:rPr>
          <w:sz w:val="24"/>
          <w:szCs w:val="24"/>
          <w:rtl w:val="0"/>
        </w:rPr>
        <w:t xml:space="preserve"> in yellow. </w:t>
      </w:r>
      <w:r w:rsidDel="00000000" w:rsidR="00000000" w:rsidRPr="00000000">
        <w:rPr>
          <w:i w:val="1"/>
          <w:sz w:val="24"/>
          <w:szCs w:val="24"/>
          <w:rtl w:val="0"/>
        </w:rPr>
        <w:t xml:space="preserve">A. thaliana</w:t>
      </w:r>
      <w:r w:rsidDel="00000000" w:rsidR="00000000" w:rsidRPr="00000000">
        <w:rPr>
          <w:sz w:val="24"/>
          <w:szCs w:val="24"/>
          <w:rtl w:val="0"/>
        </w:rPr>
        <w:t xml:space="preserve"> gene symbols are displayed in bold to better visualize assigned orthology. Aux/IAAs co-receptors are divided here into three classes/clades: Class A - I, represented as a circle; Class B - II, represented as a triangle, and class C - III, represented as a square. </w:t>
      </w:r>
      <w:r w:rsidDel="00000000" w:rsidR="00000000" w:rsidRPr="00000000">
        <w:rPr>
          <w:i w:val="1"/>
          <w:sz w:val="24"/>
          <w:szCs w:val="24"/>
          <w:rtl w:val="0"/>
        </w:rPr>
        <w:t xml:space="preserve">G. max </w:t>
      </w:r>
      <w:r w:rsidDel="00000000" w:rsidR="00000000" w:rsidRPr="00000000">
        <w:rPr>
          <w:sz w:val="24"/>
          <w:szCs w:val="24"/>
          <w:rtl w:val="0"/>
        </w:rPr>
        <w:t xml:space="preserve">were named according to both their orthology to </w:t>
      </w:r>
      <w:r w:rsidDel="00000000" w:rsidR="00000000" w:rsidRPr="00000000">
        <w:rPr>
          <w:i w:val="1"/>
          <w:sz w:val="24"/>
          <w:szCs w:val="24"/>
          <w:rtl w:val="0"/>
        </w:rPr>
        <w:t xml:space="preserve">A. thaliana </w:t>
      </w:r>
      <w:r w:rsidDel="00000000" w:rsidR="00000000" w:rsidRPr="00000000">
        <w:rPr>
          <w:sz w:val="24"/>
          <w:szCs w:val="24"/>
          <w:rtl w:val="0"/>
        </w:rPr>
        <w:t xml:space="preserve">followed by its gene ID. Nodes are labeled with their supporting probabilities in the center. </w:t>
      </w:r>
    </w:p>
    <w:p w:rsidR="00000000" w:rsidDel="00000000" w:rsidP="00000000" w:rsidRDefault="00000000" w:rsidRPr="00000000" w14:paraId="0000000A">
      <w:pPr>
        <w:keepNext w:val="1"/>
        <w:spacing w:after="200" w:line="240" w:lineRule="auto"/>
        <w:jc w:val="both"/>
        <w:rPr>
          <w:sz w:val="24"/>
          <w:szCs w:val="24"/>
        </w:rPr>
      </w:pPr>
      <w:r w:rsidDel="00000000" w:rsidR="00000000" w:rsidRPr="00000000">
        <w:rPr>
          <w:rtl w:val="0"/>
        </w:rPr>
      </w:r>
    </w:p>
    <w:p w:rsidR="00000000" w:rsidDel="00000000" w:rsidP="00000000" w:rsidRDefault="00000000" w:rsidRPr="00000000" w14:paraId="0000000B">
      <w:pPr>
        <w:keepNext w:val="1"/>
        <w:spacing w:after="200" w:line="240" w:lineRule="auto"/>
        <w:jc w:val="both"/>
        <w:rPr>
          <w:sz w:val="24"/>
          <w:szCs w:val="24"/>
        </w:rPr>
      </w:pPr>
      <w:r w:rsidDel="00000000" w:rsidR="00000000" w:rsidRPr="00000000">
        <w:rPr>
          <w:sz w:val="24"/>
          <w:szCs w:val="24"/>
        </w:rPr>
        <w:drawing>
          <wp:inline distB="114300" distT="114300" distL="114300" distR="114300">
            <wp:extent cx="5943600" cy="5943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20" w:line="240" w:lineRule="auto"/>
        <w:jc w:val="both"/>
        <w:rPr>
          <w:sz w:val="24"/>
          <w:szCs w:val="24"/>
        </w:rPr>
      </w:pPr>
      <w:r w:rsidDel="00000000" w:rsidR="00000000" w:rsidRPr="00000000">
        <w:rPr>
          <w:sz w:val="24"/>
          <w:szCs w:val="24"/>
          <w:rtl w:val="0"/>
        </w:rPr>
        <w:t xml:space="preserve">Figure</w:t>
      </w:r>
      <w:r w:rsidDel="00000000" w:rsidR="00000000" w:rsidRPr="00000000">
        <w:rPr>
          <w:i w:val="1"/>
          <w:sz w:val="24"/>
          <w:szCs w:val="24"/>
          <w:rtl w:val="0"/>
        </w:rPr>
        <w:t xml:space="preserve"> </w:t>
      </w:r>
      <w:r w:rsidDel="00000000" w:rsidR="00000000" w:rsidRPr="00000000">
        <w:rPr>
          <w:sz w:val="24"/>
          <w:szCs w:val="24"/>
          <w:rtl w:val="0"/>
        </w:rPr>
        <w:t xml:space="preserve">4</w:t>
      </w:r>
      <w:r w:rsidDel="00000000" w:rsidR="00000000" w:rsidRPr="00000000">
        <w:rPr>
          <w:i w:val="1"/>
          <w:sz w:val="24"/>
          <w:szCs w:val="24"/>
          <w:rtl w:val="0"/>
        </w:rPr>
        <w:t xml:space="preserve">. </w:t>
      </w:r>
      <w:r w:rsidDel="00000000" w:rsidR="00000000" w:rsidRPr="00000000">
        <w:rPr>
          <w:sz w:val="24"/>
          <w:szCs w:val="24"/>
          <w:rtl w:val="0"/>
        </w:rPr>
        <w:t xml:space="preserve">The evolutionary relationships between </w:t>
      </w:r>
      <w:r w:rsidDel="00000000" w:rsidR="00000000" w:rsidRPr="00000000">
        <w:rPr>
          <w:i w:val="1"/>
          <w:sz w:val="24"/>
          <w:szCs w:val="24"/>
          <w:rtl w:val="0"/>
        </w:rPr>
        <w:t xml:space="preserve">G. max</w:t>
      </w:r>
      <w:r w:rsidDel="00000000" w:rsidR="00000000" w:rsidRPr="00000000">
        <w:rPr>
          <w:sz w:val="24"/>
          <w:szCs w:val="24"/>
          <w:rtl w:val="0"/>
        </w:rPr>
        <w:t xml:space="preserve"> ARFs proteins, </w:t>
      </w:r>
      <w:r w:rsidDel="00000000" w:rsidR="00000000" w:rsidRPr="00000000">
        <w:rPr>
          <w:i w:val="1"/>
          <w:sz w:val="24"/>
          <w:szCs w:val="24"/>
          <w:rtl w:val="0"/>
        </w:rPr>
        <w:t xml:space="preserve">A. thaliana</w:t>
      </w:r>
      <w:r w:rsidDel="00000000" w:rsidR="00000000" w:rsidRPr="00000000">
        <w:rPr>
          <w:sz w:val="24"/>
          <w:szCs w:val="24"/>
          <w:rtl w:val="0"/>
        </w:rPr>
        <w:t xml:space="preserve"> and other legume species orthologs. The historical relationship was inferred using Bayesian Inference (Ronquist </w:t>
      </w:r>
      <w:r w:rsidDel="00000000" w:rsidR="00000000" w:rsidRPr="00000000">
        <w:rPr>
          <w:i w:val="1"/>
          <w:sz w:val="24"/>
          <w:szCs w:val="24"/>
          <w:rtl w:val="0"/>
        </w:rPr>
        <w:t xml:space="preserve">et al</w:t>
      </w:r>
      <w:r w:rsidDel="00000000" w:rsidR="00000000" w:rsidRPr="00000000">
        <w:rPr>
          <w:sz w:val="24"/>
          <w:szCs w:val="24"/>
          <w:rtl w:val="0"/>
        </w:rPr>
        <w:t xml:space="preserve">., 2012). The optimal tree is drawn according to the posterior probability of the evolutionary distances. The posterior probability of each node is labeled. Each tip is colored according to species, with </w:t>
      </w:r>
      <w:r w:rsidDel="00000000" w:rsidR="00000000" w:rsidRPr="00000000">
        <w:rPr>
          <w:i w:val="1"/>
          <w:sz w:val="24"/>
          <w:szCs w:val="24"/>
          <w:rtl w:val="0"/>
        </w:rPr>
        <w:t xml:space="preserve">A. thaliana</w:t>
      </w:r>
      <w:r w:rsidDel="00000000" w:rsidR="00000000" w:rsidRPr="00000000">
        <w:rPr>
          <w:sz w:val="24"/>
          <w:szCs w:val="24"/>
          <w:rtl w:val="0"/>
        </w:rPr>
        <w:t xml:space="preserve"> in dark grey, </w:t>
      </w:r>
      <w:r w:rsidDel="00000000" w:rsidR="00000000" w:rsidRPr="00000000">
        <w:rPr>
          <w:i w:val="1"/>
          <w:sz w:val="24"/>
          <w:szCs w:val="24"/>
          <w:rtl w:val="0"/>
        </w:rPr>
        <w:t xml:space="preserve">G. max</w:t>
      </w:r>
      <w:r w:rsidDel="00000000" w:rsidR="00000000" w:rsidRPr="00000000">
        <w:rPr>
          <w:sz w:val="24"/>
          <w:szCs w:val="24"/>
          <w:rtl w:val="0"/>
        </w:rPr>
        <w:t xml:space="preserve"> in orange, </w:t>
      </w:r>
      <w:r w:rsidDel="00000000" w:rsidR="00000000" w:rsidRPr="00000000">
        <w:rPr>
          <w:i w:val="1"/>
          <w:sz w:val="24"/>
          <w:szCs w:val="24"/>
          <w:rtl w:val="0"/>
        </w:rPr>
        <w:t xml:space="preserve">G. soja</w:t>
      </w:r>
      <w:r w:rsidDel="00000000" w:rsidR="00000000" w:rsidRPr="00000000">
        <w:rPr>
          <w:sz w:val="24"/>
          <w:szCs w:val="24"/>
          <w:rtl w:val="0"/>
        </w:rPr>
        <w:t xml:space="preserve"> in light blue, </w:t>
      </w:r>
      <w:r w:rsidDel="00000000" w:rsidR="00000000" w:rsidRPr="00000000">
        <w:rPr>
          <w:i w:val="1"/>
          <w:sz w:val="24"/>
          <w:szCs w:val="24"/>
          <w:rtl w:val="0"/>
        </w:rPr>
        <w:t xml:space="preserve">L. japonicus</w:t>
      </w:r>
      <w:r w:rsidDel="00000000" w:rsidR="00000000" w:rsidRPr="00000000">
        <w:rPr>
          <w:sz w:val="24"/>
          <w:szCs w:val="24"/>
          <w:rtl w:val="0"/>
        </w:rPr>
        <w:t xml:space="preserve"> in green, and </w:t>
      </w:r>
      <w:r w:rsidDel="00000000" w:rsidR="00000000" w:rsidRPr="00000000">
        <w:rPr>
          <w:i w:val="1"/>
          <w:sz w:val="24"/>
          <w:szCs w:val="24"/>
          <w:rtl w:val="0"/>
        </w:rPr>
        <w:t xml:space="preserve">M. truncatula</w:t>
      </w:r>
      <w:r w:rsidDel="00000000" w:rsidR="00000000" w:rsidRPr="00000000">
        <w:rPr>
          <w:sz w:val="24"/>
          <w:szCs w:val="24"/>
          <w:rtl w:val="0"/>
        </w:rPr>
        <w:t xml:space="preserve"> in yellow. </w:t>
      </w:r>
      <w:r w:rsidDel="00000000" w:rsidR="00000000" w:rsidRPr="00000000">
        <w:rPr>
          <w:i w:val="1"/>
          <w:sz w:val="24"/>
          <w:szCs w:val="24"/>
          <w:rtl w:val="0"/>
        </w:rPr>
        <w:t xml:space="preserve">A. thaliana</w:t>
      </w:r>
      <w:r w:rsidDel="00000000" w:rsidR="00000000" w:rsidRPr="00000000">
        <w:rPr>
          <w:sz w:val="24"/>
          <w:szCs w:val="24"/>
          <w:rtl w:val="0"/>
        </w:rPr>
        <w:t xml:space="preserve"> gene symbols are displayed in bold to better visualize assigned orthology. ARFs are divided here into three classes/clades (Ulmasov </w:t>
      </w:r>
      <w:r w:rsidDel="00000000" w:rsidR="00000000" w:rsidRPr="00000000">
        <w:rPr>
          <w:i w:val="1"/>
          <w:sz w:val="24"/>
          <w:szCs w:val="24"/>
          <w:rtl w:val="0"/>
        </w:rPr>
        <w:t xml:space="preserve">et al</w:t>
      </w:r>
      <w:r w:rsidDel="00000000" w:rsidR="00000000" w:rsidRPr="00000000">
        <w:rPr>
          <w:sz w:val="24"/>
          <w:szCs w:val="24"/>
          <w:rtl w:val="0"/>
        </w:rPr>
        <w:t xml:space="preserve">., 1999; Finet </w:t>
      </w:r>
      <w:r w:rsidDel="00000000" w:rsidR="00000000" w:rsidRPr="00000000">
        <w:rPr>
          <w:i w:val="1"/>
          <w:sz w:val="24"/>
          <w:szCs w:val="24"/>
          <w:rtl w:val="0"/>
        </w:rPr>
        <w:t xml:space="preserve">et al</w:t>
      </w:r>
      <w:r w:rsidDel="00000000" w:rsidR="00000000" w:rsidRPr="00000000">
        <w:rPr>
          <w:sz w:val="24"/>
          <w:szCs w:val="24"/>
          <w:rtl w:val="0"/>
        </w:rPr>
        <w:t xml:space="preserve">., 2013): Class A - II, represented as a circle; Class B - I, represented as a triangle, and class C - III, represented as a square. </w:t>
      </w:r>
      <w:r w:rsidDel="00000000" w:rsidR="00000000" w:rsidRPr="00000000">
        <w:rPr>
          <w:i w:val="1"/>
          <w:sz w:val="24"/>
          <w:szCs w:val="24"/>
          <w:rtl w:val="0"/>
        </w:rPr>
        <w:t xml:space="preserve">G. max </w:t>
      </w:r>
      <w:r w:rsidDel="00000000" w:rsidR="00000000" w:rsidRPr="00000000">
        <w:rPr>
          <w:sz w:val="24"/>
          <w:szCs w:val="24"/>
          <w:rtl w:val="0"/>
        </w:rPr>
        <w:t xml:space="preserve">were named according to both their orthology to </w:t>
      </w:r>
      <w:r w:rsidDel="00000000" w:rsidR="00000000" w:rsidRPr="00000000">
        <w:rPr>
          <w:i w:val="1"/>
          <w:sz w:val="24"/>
          <w:szCs w:val="24"/>
          <w:rtl w:val="0"/>
        </w:rPr>
        <w:t xml:space="preserve">A. thaliana </w:t>
      </w:r>
      <w:r w:rsidDel="00000000" w:rsidR="00000000" w:rsidRPr="00000000">
        <w:rPr>
          <w:sz w:val="24"/>
          <w:szCs w:val="24"/>
          <w:rtl w:val="0"/>
        </w:rPr>
        <w:t xml:space="preserve">followed by its gene ID.</w:t>
      </w:r>
    </w:p>
    <w:p w:rsidR="00000000" w:rsidDel="00000000" w:rsidP="00000000" w:rsidRDefault="00000000" w:rsidRPr="00000000" w14:paraId="0000000D">
      <w:pPr>
        <w:keepNext w:val="1"/>
        <w:spacing w:after="200" w:line="240" w:lineRule="auto"/>
        <w:jc w:val="both"/>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