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63EAA" w14:textId="77777777" w:rsidR="001E7CBD" w:rsidRPr="001E7CBD" w:rsidRDefault="001E7CBD" w:rsidP="001E7CBD">
      <w:pPr>
        <w:spacing w:before="200"/>
        <w:outlineLvl w:val="1"/>
        <w:rPr>
          <w:rFonts w:ascii="Times New Roman" w:hAnsi="Times New Roman" w:cs="Times New Roman"/>
          <w:b/>
        </w:rPr>
      </w:pPr>
      <w:r w:rsidRPr="001E7CBD">
        <w:rPr>
          <w:rFonts w:ascii="Times New Roman" w:hAnsi="Times New Roman" w:cs="Times New Roman"/>
          <w:b/>
        </w:rPr>
        <w:t xml:space="preserve">Supplemental Document S1: Creating PO annotations. </w:t>
      </w:r>
    </w:p>
    <w:p w14:paraId="44AED733" w14:textId="77777777" w:rsidR="001E7CBD" w:rsidRPr="001E7CBD" w:rsidRDefault="001E7CBD" w:rsidP="001E7CBD">
      <w:pPr>
        <w:spacing w:before="200"/>
        <w:outlineLvl w:val="1"/>
        <w:rPr>
          <w:rFonts w:ascii="Times New Roman" w:hAnsi="Times New Roman" w:cs="Times New Roman"/>
          <w:b/>
        </w:rPr>
      </w:pPr>
    </w:p>
    <w:p w14:paraId="02829865" w14:textId="5806F8A5" w:rsidR="00332C09" w:rsidRDefault="001E7CBD" w:rsidP="00332C09">
      <w:pPr>
        <w:rPr>
          <w:rFonts w:ascii="Times New Roman" w:eastAsia="Times New Roman" w:hAnsi="Times New Roman" w:cs="Times New Roman"/>
        </w:rPr>
      </w:pPr>
      <w:r w:rsidRPr="001E7CBD">
        <w:rPr>
          <w:rFonts w:ascii="Times New Roman" w:eastAsia="Times New Roman" w:hAnsi="Times New Roman" w:cs="Times New Roman"/>
          <w:b/>
          <w:bCs/>
          <w:color w:val="000000"/>
        </w:rPr>
        <w:t>Methods</w:t>
      </w:r>
    </w:p>
    <w:p w14:paraId="671D1E80" w14:textId="77777777" w:rsidR="00332C09" w:rsidRDefault="00332C09" w:rsidP="00332C09">
      <w:pPr>
        <w:rPr>
          <w:rFonts w:ascii="Times New Roman" w:eastAsia="Times New Roman" w:hAnsi="Times New Roman" w:cs="Times New Roman"/>
        </w:rPr>
      </w:pPr>
    </w:p>
    <w:p w14:paraId="6327FD1A" w14:textId="49049342" w:rsidR="00332C09" w:rsidRDefault="00332C09" w:rsidP="00332C09">
      <w:pPr>
        <w:rPr>
          <w:rFonts w:ascii="Times New Roman" w:eastAsia="Times New Roman" w:hAnsi="Times New Roman" w:cs="Times New Roman"/>
        </w:rPr>
      </w:pPr>
      <w:r>
        <w:rPr>
          <w:rFonts w:ascii="Times New Roman" w:eastAsia="Times New Roman" w:hAnsi="Times New Roman" w:cs="Times New Roman"/>
        </w:rPr>
        <w:t xml:space="preserve">Annotations can be created and submitted by anyone, but most annotations in the </w:t>
      </w:r>
      <w:r w:rsidR="009A73B4">
        <w:rPr>
          <w:rFonts w:ascii="Times New Roman" w:eastAsia="Times New Roman" w:hAnsi="Times New Roman" w:cs="Times New Roman"/>
        </w:rPr>
        <w:t>Plant Ontology (</w:t>
      </w:r>
      <w:r>
        <w:rPr>
          <w:rFonts w:ascii="Times New Roman" w:eastAsia="Times New Roman" w:hAnsi="Times New Roman" w:cs="Times New Roman"/>
        </w:rPr>
        <w:t>PO</w:t>
      </w:r>
      <w:r w:rsidR="009A73B4">
        <w:rPr>
          <w:rFonts w:ascii="Times New Roman" w:eastAsia="Times New Roman" w:hAnsi="Times New Roman" w:cs="Times New Roman"/>
        </w:rPr>
        <w:t>)</w:t>
      </w:r>
      <w:r>
        <w:rPr>
          <w:rFonts w:ascii="Times New Roman" w:eastAsia="Times New Roman" w:hAnsi="Times New Roman" w:cs="Times New Roman"/>
        </w:rPr>
        <w:t xml:space="preserve"> database are created by curators and model organism data</w:t>
      </w:r>
      <w:r w:rsidR="00AE4B50">
        <w:rPr>
          <w:rFonts w:ascii="Times New Roman" w:eastAsia="Times New Roman" w:hAnsi="Times New Roman" w:cs="Times New Roman"/>
        </w:rPr>
        <w:t xml:space="preserve">bases (DB) such as TAIR and </w:t>
      </w:r>
      <w:proofErr w:type="spellStart"/>
      <w:r w:rsidR="00AE4B50">
        <w:rPr>
          <w:rFonts w:ascii="Times New Roman" w:eastAsia="Times New Roman" w:hAnsi="Times New Roman" w:cs="Times New Roman"/>
        </w:rPr>
        <w:t>MaizeGDB</w:t>
      </w:r>
      <w:proofErr w:type="spellEnd"/>
      <w:r w:rsidR="00AE4B50">
        <w:rPr>
          <w:rFonts w:ascii="Times New Roman" w:eastAsia="Times New Roman" w:hAnsi="Times New Roman" w:cs="Times New Roman"/>
        </w:rPr>
        <w:t xml:space="preserve">, </w:t>
      </w:r>
      <w:proofErr w:type="gramStart"/>
      <w:r>
        <w:rPr>
          <w:rFonts w:ascii="Times New Roman" w:eastAsia="Times New Roman" w:hAnsi="Times New Roman" w:cs="Times New Roman"/>
        </w:rPr>
        <w:t>then</w:t>
      </w:r>
      <w:proofErr w:type="gramEnd"/>
      <w:r>
        <w:rPr>
          <w:rFonts w:ascii="Times New Roman" w:eastAsia="Times New Roman" w:hAnsi="Times New Roman" w:cs="Times New Roman"/>
        </w:rPr>
        <w:t xml:space="preserve"> submitted to the PO for ingestion.</w:t>
      </w:r>
      <w:r w:rsidR="00AE4B50">
        <w:rPr>
          <w:rFonts w:ascii="Times New Roman" w:eastAsia="Times New Roman" w:hAnsi="Times New Roman" w:cs="Times New Roman"/>
        </w:rPr>
        <w:t xml:space="preserve"> The process – described in the follow steps – is </w:t>
      </w:r>
      <w:proofErr w:type="gramStart"/>
      <w:r w:rsidR="00AE4B50">
        <w:rPr>
          <w:rFonts w:ascii="Times New Roman" w:eastAsia="Times New Roman" w:hAnsi="Times New Roman" w:cs="Times New Roman"/>
        </w:rPr>
        <w:t>a collaboration</w:t>
      </w:r>
      <w:proofErr w:type="gramEnd"/>
      <w:r w:rsidR="00AE4B50">
        <w:rPr>
          <w:rFonts w:ascii="Times New Roman" w:eastAsia="Times New Roman" w:hAnsi="Times New Roman" w:cs="Times New Roman"/>
        </w:rPr>
        <w:t xml:space="preserve"> between DB curators, the original study authors, and PO curators.</w:t>
      </w:r>
    </w:p>
    <w:p w14:paraId="1025AECE" w14:textId="77777777" w:rsidR="00332C09" w:rsidRPr="00332C09" w:rsidRDefault="00332C09" w:rsidP="00332C09">
      <w:pPr>
        <w:rPr>
          <w:rFonts w:ascii="Times New Roman" w:eastAsia="Times New Roman" w:hAnsi="Times New Roman" w:cs="Times New Roman"/>
        </w:rPr>
      </w:pPr>
    </w:p>
    <w:p w14:paraId="10AFDEF1" w14:textId="38169421" w:rsidR="002546C4" w:rsidRDefault="00AE4B50" w:rsidP="00AE4B50">
      <w:pPr>
        <w:numPr>
          <w:ilvl w:val="0"/>
          <w:numId w:val="1"/>
        </w:numPr>
        <w:textAlignment w:val="baseline"/>
        <w:rPr>
          <w:rFonts w:ascii="Times New Roman" w:hAnsi="Times New Roman" w:cs="Times New Roman"/>
          <w:color w:val="000000"/>
        </w:rPr>
      </w:pPr>
      <w:r w:rsidRPr="002546C4">
        <w:rPr>
          <w:rFonts w:ascii="Times New Roman" w:hAnsi="Times New Roman" w:cs="Times New Roman"/>
          <w:color w:val="000000"/>
        </w:rPr>
        <w:t>DB curator s</w:t>
      </w:r>
      <w:r w:rsidR="001E7CBD" w:rsidRPr="002546C4">
        <w:rPr>
          <w:rFonts w:ascii="Times New Roman" w:hAnsi="Times New Roman" w:cs="Times New Roman"/>
          <w:color w:val="000000"/>
        </w:rPr>
        <w:t>elect</w:t>
      </w:r>
      <w:r w:rsidRPr="002546C4">
        <w:rPr>
          <w:rFonts w:ascii="Times New Roman" w:hAnsi="Times New Roman" w:cs="Times New Roman"/>
          <w:color w:val="000000"/>
        </w:rPr>
        <w:t>s an</w:t>
      </w:r>
      <w:r w:rsidR="001E7CBD" w:rsidRPr="002546C4">
        <w:rPr>
          <w:rFonts w:ascii="Times New Roman" w:hAnsi="Times New Roman" w:cs="Times New Roman"/>
          <w:color w:val="000000"/>
        </w:rPr>
        <w:t xml:space="preserve"> appropriate study</w:t>
      </w:r>
      <w:r w:rsidRPr="002546C4">
        <w:rPr>
          <w:rFonts w:ascii="Times New Roman" w:hAnsi="Times New Roman" w:cs="Times New Roman"/>
          <w:color w:val="000000"/>
        </w:rPr>
        <w:t xml:space="preserve"> for annotation [</w:t>
      </w:r>
      <w:proofErr w:type="spellStart"/>
      <w:r w:rsidR="001E7CBD" w:rsidRPr="002546C4">
        <w:rPr>
          <w:rFonts w:ascii="Times New Roman" w:hAnsi="Times New Roman" w:cs="Times New Roman"/>
          <w:color w:val="000000"/>
        </w:rPr>
        <w:t>eg</w:t>
      </w:r>
      <w:proofErr w:type="spellEnd"/>
      <w:proofErr w:type="gramStart"/>
      <w:r w:rsidR="001E7CBD" w:rsidRPr="002546C4">
        <w:rPr>
          <w:rFonts w:ascii="Times New Roman" w:hAnsi="Times New Roman" w:cs="Times New Roman"/>
          <w:color w:val="000000"/>
        </w:rPr>
        <w:t>.</w:t>
      </w:r>
      <w:r w:rsidRPr="002546C4">
        <w:rPr>
          <w:rFonts w:ascii="Times New Roman" w:hAnsi="Times New Roman" w:cs="Times New Roman"/>
          <w:color w:val="000000"/>
        </w:rPr>
        <w:t>,</w:t>
      </w:r>
      <w:proofErr w:type="gramEnd"/>
      <w:r w:rsidRPr="002546C4">
        <w:rPr>
          <w:rFonts w:ascii="Times New Roman" w:hAnsi="Times New Roman" w:cs="Times New Roman"/>
          <w:color w:val="000000"/>
        </w:rPr>
        <w:t xml:space="preserve"> </w:t>
      </w:r>
      <w:r w:rsidR="002546C4" w:rsidRPr="002546C4">
        <w:rPr>
          <w:rFonts w:ascii="Times New Roman" w:hAnsi="Times New Roman" w:cs="Times New Roman"/>
          <w:color w:val="000000"/>
        </w:rPr>
        <w:fldChar w:fldCharType="begin"/>
      </w:r>
      <w:r w:rsidR="002546C4" w:rsidRPr="002546C4">
        <w:rPr>
          <w:rFonts w:ascii="Times New Roman" w:hAnsi="Times New Roman" w:cs="Times New Roman"/>
          <w:color w:val="000000"/>
        </w:rPr>
        <w:instrText xml:space="preserve"> ADDIN ZOTERO_ITEM CSL_CITATION {"citationID":"AVDzPgnW","properties":{"formattedCitation":"{\\rtf (Li {\\i{}et al.}, 2010; Sekhon {\\i{}et al.}, 2011; Fasoli {\\i{}et al.}, 2012; Kang {\\i{}et al.}, 2013)}","plainCitation":"(Li et al., 2010; Sekhon et al., 2011; Fasoli et al., 2012; Kang et al., 2013)"},"citationItems":[{"id":1757,"uris":["http://zotero.org/users/453261/items/JSQ952ZP"],"uri":["http://zotero.org/users/453261/items/JSQ952ZP"],"itemData":{"id":1757,"type":"article-journal","title":"The developmental dynamics of the maize leaf transcriptome","container-title":"Nature Genetics","page":"1060-1067","volume":"42","issue":"12","source":"www.nature.com","abstract":"Thomas Brutnell and colleagues report RNA-Seq analysis of the maize leaf transcriptome during stages of leaf development. They identify dynamic changes in gene expression during the progression of leaf development.","DOI":"10.1038/ng.703","ISSN":"1061-4036","language":"en","author":[{"family":"Li","given":"Pinghua"},{"family":"Ponnala","given":"Lalit"},{"family":"Gandotra","given":"Neeru"},{"family":"Wang","given":"Lin"},{"family":"Si","given":"Yaqing"},{"family":"Tausta","given":"S. Lori"},{"family":"Kebrom","given":"Tesfamichael H."},{"family":"Provart","given":"Nicholas"},{"family":"Patel","given":"Rohan"},{"family":"Myers","given":"Christopher R."},{"family":"Reidel","given":"Edwin J."},{"family":"Turgeon","given":"Robert"},{"family":"Liu","given":"Peng"},{"family":"Sun","given":"Qi"},{"family":"Nelson","given":"Timothy"},{"family":"Brutnell","given":"Thomas P."}],"issued":{"date-parts":[["2010",12,1]]}}},{"id":1768,"uris":["http://zotero.org/users/453261/items/796SIUKS"],"uri":["http://zotero.org/users/453261/items/796SIUKS"],"itemData":{"id":1768,"type":"article-journal","title":</w:instrText>
      </w:r>
      <w:r w:rsidR="002546C4" w:rsidRPr="002546C4">
        <w:rPr>
          <w:rFonts w:ascii="Times New Roman" w:hAnsi="Times New Roman" w:cs="Times New Roman" w:hint="eastAsia"/>
          <w:color w:val="000000"/>
        </w:rPr>
        <w:instrText>"Genome</w:instrText>
      </w:r>
      <w:r w:rsidR="002546C4" w:rsidRPr="002546C4">
        <w:rPr>
          <w:rFonts w:ascii="Times New Roman" w:hAnsi="Times New Roman" w:cs="Times New Roman" w:hint="eastAsia"/>
          <w:color w:val="000000"/>
        </w:rPr>
        <w:instrText>‐</w:instrText>
      </w:r>
      <w:r w:rsidR="002546C4" w:rsidRPr="002546C4">
        <w:rPr>
          <w:rFonts w:ascii="Times New Roman" w:hAnsi="Times New Roman" w:cs="Times New Roman" w:hint="eastAsia"/>
          <w:color w:val="000000"/>
        </w:rPr>
        <w:instrText>wide atlas of transcription during maize development","container-title":"The Plant Journal","page":"553-563","volume":"66","issue":"4","source":"onlinelibrary.wiley.com","abstract":"Maize is an important model species and a major constituent of hu</w:instrText>
      </w:r>
      <w:r w:rsidR="002546C4" w:rsidRPr="002546C4">
        <w:rPr>
          <w:rFonts w:ascii="Times New Roman" w:hAnsi="Times New Roman" w:cs="Times New Roman"/>
          <w:color w:val="000000"/>
        </w:rPr>
        <w:instrText xml:space="preserve">man and animal diets. It has also emerged as a potential feedstock and model system for bioenergy research due to recent worldwide interest...","DOI":"10.1111/j.1365-313X.2011.04527.x","ISSN":"1365-313X","language":"en","author":[{"family":"Sekhon","given":"Rajandeep S."},{"family":"Lin","given":"Haining"},{"family":"Childs","given":"Kevin L."},{"family":"Hansey","given":"Candice N."},{"family":"Buell","given":"C. Robin"},{"family":"Leon","given":"Natalia","non-dropping-particle":"de"},{"family":"Kaeppler","given":"Shawn M."}],"issued":{"date-parts":[["2011",5,1]]}}},{"id":1198,"uris":["http://zotero.org/users/453261/items/FG6GJ7TT"],"uri":["http://zotero.org/users/453261/items/FG6GJ7TT"],"itemData":{"id":1198,"type":"article-journal","title":"The grapevine expression atlas reveals a deep transcriptome shift driving the entire plant into a maturation program","container-title":"The Plant cell","page":"3489-3505","volume":"24","issue":"9","source":"NCBI PubMed","abstract":"We developed a genome-wide transcriptomic atlas of grapevine (Vitis vinifera) based on 54 samples representing green and woody tissues and organs at different developmental stages as well as specialized tissues such as pollen and senescent leaves. Together, these samples expressed </w:instrText>
      </w:r>
      <w:r w:rsidR="002546C4" w:rsidRPr="002546C4">
        <w:rPr>
          <w:rFonts w:ascii="BlairMdITC TT-Medium" w:hAnsi="BlairMdITC TT-Medium" w:cs="BlairMdITC TT-Medium"/>
          <w:color w:val="000000"/>
        </w:rPr>
        <w:instrText>∼</w:instrText>
      </w:r>
      <w:r w:rsidR="002546C4" w:rsidRPr="002546C4">
        <w:rPr>
          <w:rFonts w:ascii="Times New Roman" w:hAnsi="Times New Roman" w:cs="Times New Roman"/>
          <w:color w:val="000000"/>
        </w:rPr>
        <w:instrText xml:space="preserve">91% of the predicted grapevine genes. Pollen and senescent leaves had unique transcriptomes reflecting their specialized functions and physiological status. However, microarray and RNA-seq analysis grouped all the other samples into two major classes based on maturity rather than organ identity, namely, the vegetative/green and mature/woody categories. This division represents a fundamental transcriptomic reprogramming during the maturation process and was highlighted by three statistical approaches identifying the transcriptional relationships among samples (correlation analysis), putative biomarkers (O2PLS-DA approach), and sets of strongly and consistently expressed genes that define groups (topics) of similar samples (biclustering analysis). Gene coexpression analysis indicated that the mature/woody developmental program results from the reiterative coactivation of pathways that are largely inactive in vegetative/green tissues, often involving the coregulation of clusters of neighboring genes and global regulation based on codon preference. This global transcriptomic reprogramming during maturation has not been observed in herbaceous annual species and may be a defining characteristic of perennial woody plants.","DOI":"10.1105/tpc.112.100230","ISSN":"1532-298X","note":"PMID: 22948079","journalAbbreviation":"Plant Cell","author":[{"family":"Fasoli","given":"Marianna"},{"family":"Dal Santo","given":"Silvia"},{"family":"Zenoni","given":"Sara"},{"family":"Tornielli","given":"Giovanni Battista"},{"family":"Farina","given":"Lorenzo"},{"family":"Zamboni","given":"Anita"},{"family":"Porceddu","given":"Andrea"},{"family":"Bicego","given":"Manuele"},{"family":"Murino","given":"Vittorio"},{"family":"Ferrarini","given":"Alberto"},{"family":"Delledonne","given":"Massimo"},{"family":"Pezzotti","given":"Mario"}],"issued":{"date-parts":[["2012",9]]}}},{"id":1759,"uris":["http://zotero.org/users/453261/items/8T669IFQ"],"uri":["http://zotero.org/users/453261/items/8T669IFQ"],"itemData":{"id":1759,"type":"article-journal","title":"Genome-scale transcriptomic insights into early-stage fruit development in woodland strawberry Fragaria vesca","container-title":"The Plant Cell","page":"1960-1978","volume":"25","issue":"6","source":"www.plantcell.org","DOI":"10.1105/tpc.113.111732","ISSN":", 1532-298X","note":"PMID: 23898027","journalAbbreviation":"Plant Cell","language":"en","author":[{"family":"Kang","given":"Chunying"},{"family":"Darwish","given":"Omar"},{"family":"Geretz","given":"Aviva"},{"family":"Shahan","given":"Rachel"},{"family":"Alkharouf","given":"Nadim"},{"family":"Liu","given":"Zhongchi"}],"issued":{"date-parts":[["2013",6,1]]}}}],"schema":"https://github.com/citation-style-language/schema/raw/master/csl-citation.json"} </w:instrText>
      </w:r>
      <w:r w:rsidR="002546C4" w:rsidRPr="002546C4">
        <w:rPr>
          <w:rFonts w:ascii="Times New Roman" w:hAnsi="Times New Roman" w:cs="Times New Roman"/>
          <w:color w:val="000000"/>
        </w:rPr>
        <w:fldChar w:fldCharType="separate"/>
      </w:r>
      <w:r w:rsidR="002546C4" w:rsidRPr="002546C4">
        <w:rPr>
          <w:rFonts w:ascii="Times New Roman" w:hAnsi="Times New Roman" w:cs="Times New Roman"/>
          <w:color w:val="000000"/>
        </w:rPr>
        <w:t xml:space="preserve">(Li </w:t>
      </w:r>
      <w:r w:rsidR="002546C4" w:rsidRPr="002546C4">
        <w:rPr>
          <w:rFonts w:ascii="Times New Roman" w:hAnsi="Times New Roman" w:cs="Times New Roman"/>
          <w:i/>
          <w:iCs/>
          <w:color w:val="000000"/>
        </w:rPr>
        <w:t>et al.</w:t>
      </w:r>
      <w:r w:rsidR="002546C4" w:rsidRPr="002546C4">
        <w:rPr>
          <w:rFonts w:ascii="Times New Roman" w:hAnsi="Times New Roman" w:cs="Times New Roman"/>
          <w:color w:val="000000"/>
        </w:rPr>
        <w:t xml:space="preserve">, 2010; </w:t>
      </w:r>
      <w:proofErr w:type="spellStart"/>
      <w:r w:rsidR="002546C4" w:rsidRPr="002546C4">
        <w:rPr>
          <w:rFonts w:ascii="Times New Roman" w:hAnsi="Times New Roman" w:cs="Times New Roman"/>
          <w:color w:val="000000"/>
        </w:rPr>
        <w:t>Sekhon</w:t>
      </w:r>
      <w:proofErr w:type="spellEnd"/>
      <w:r w:rsidR="002546C4" w:rsidRPr="002546C4">
        <w:rPr>
          <w:rFonts w:ascii="Times New Roman" w:hAnsi="Times New Roman" w:cs="Times New Roman"/>
          <w:color w:val="000000"/>
        </w:rPr>
        <w:t xml:space="preserve"> </w:t>
      </w:r>
      <w:r w:rsidR="002546C4" w:rsidRPr="002546C4">
        <w:rPr>
          <w:rFonts w:ascii="Times New Roman" w:hAnsi="Times New Roman" w:cs="Times New Roman"/>
          <w:i/>
          <w:iCs/>
          <w:color w:val="000000"/>
        </w:rPr>
        <w:t>et al.</w:t>
      </w:r>
      <w:r w:rsidR="002546C4" w:rsidRPr="002546C4">
        <w:rPr>
          <w:rFonts w:ascii="Times New Roman" w:hAnsi="Times New Roman" w:cs="Times New Roman"/>
          <w:color w:val="000000"/>
        </w:rPr>
        <w:t xml:space="preserve">, 2011; </w:t>
      </w:r>
      <w:proofErr w:type="spellStart"/>
      <w:r w:rsidR="002546C4" w:rsidRPr="002546C4">
        <w:rPr>
          <w:rFonts w:ascii="Times New Roman" w:hAnsi="Times New Roman" w:cs="Times New Roman"/>
          <w:color w:val="000000"/>
        </w:rPr>
        <w:t>Fasoli</w:t>
      </w:r>
      <w:proofErr w:type="spellEnd"/>
      <w:r w:rsidR="002546C4" w:rsidRPr="002546C4">
        <w:rPr>
          <w:rFonts w:ascii="Times New Roman" w:hAnsi="Times New Roman" w:cs="Times New Roman"/>
          <w:color w:val="000000"/>
        </w:rPr>
        <w:t xml:space="preserve"> </w:t>
      </w:r>
      <w:r w:rsidR="002546C4" w:rsidRPr="002546C4">
        <w:rPr>
          <w:rFonts w:ascii="Times New Roman" w:hAnsi="Times New Roman" w:cs="Times New Roman"/>
          <w:i/>
          <w:iCs/>
          <w:color w:val="000000"/>
        </w:rPr>
        <w:t>et al.</w:t>
      </w:r>
      <w:r w:rsidR="002546C4" w:rsidRPr="002546C4">
        <w:rPr>
          <w:rFonts w:ascii="Times New Roman" w:hAnsi="Times New Roman" w:cs="Times New Roman"/>
          <w:color w:val="000000"/>
        </w:rPr>
        <w:t xml:space="preserve">, 2012; Kang </w:t>
      </w:r>
      <w:r w:rsidR="002546C4" w:rsidRPr="002546C4">
        <w:rPr>
          <w:rFonts w:ascii="Times New Roman" w:hAnsi="Times New Roman" w:cs="Times New Roman"/>
          <w:i/>
          <w:iCs/>
          <w:color w:val="000000"/>
        </w:rPr>
        <w:t>et al.</w:t>
      </w:r>
      <w:r w:rsidR="002546C4" w:rsidRPr="002546C4">
        <w:rPr>
          <w:rFonts w:ascii="Times New Roman" w:hAnsi="Times New Roman" w:cs="Times New Roman"/>
          <w:color w:val="000000"/>
        </w:rPr>
        <w:t>, 2013)</w:t>
      </w:r>
      <w:r w:rsidR="002546C4" w:rsidRPr="002546C4">
        <w:rPr>
          <w:rFonts w:ascii="Times New Roman" w:hAnsi="Times New Roman" w:cs="Times New Roman"/>
          <w:color w:val="000000"/>
        </w:rPr>
        <w:fldChar w:fldCharType="end"/>
      </w:r>
      <w:r w:rsidR="00086D93">
        <w:rPr>
          <w:rFonts w:ascii="Times New Roman" w:hAnsi="Times New Roman" w:cs="Times New Roman"/>
          <w:color w:val="000000"/>
        </w:rPr>
        <w:t>].</w:t>
      </w:r>
    </w:p>
    <w:p w14:paraId="46088FAE" w14:textId="394D88DD" w:rsidR="00AE4B50" w:rsidRPr="002546C4" w:rsidRDefault="002546C4" w:rsidP="00AE4B50">
      <w:pPr>
        <w:numPr>
          <w:ilvl w:val="0"/>
          <w:numId w:val="1"/>
        </w:numPr>
        <w:textAlignment w:val="baseline"/>
        <w:rPr>
          <w:rFonts w:ascii="Times New Roman" w:hAnsi="Times New Roman" w:cs="Times New Roman"/>
          <w:color w:val="000000"/>
        </w:rPr>
      </w:pPr>
      <w:r>
        <w:rPr>
          <w:rFonts w:ascii="Times New Roman" w:hAnsi="Times New Roman" w:cs="Times New Roman"/>
          <w:color w:val="000000"/>
        </w:rPr>
        <w:t>DB curator c</w:t>
      </w:r>
      <w:r w:rsidR="001E7CBD" w:rsidRPr="002546C4">
        <w:rPr>
          <w:rFonts w:ascii="Times New Roman" w:hAnsi="Times New Roman" w:cs="Times New Roman"/>
          <w:color w:val="000000"/>
        </w:rPr>
        <w:t>reate</w:t>
      </w:r>
      <w:r>
        <w:rPr>
          <w:rFonts w:ascii="Times New Roman" w:hAnsi="Times New Roman" w:cs="Times New Roman"/>
          <w:color w:val="000000"/>
        </w:rPr>
        <w:t>s</w:t>
      </w:r>
      <w:r w:rsidR="001E7CBD" w:rsidRPr="002546C4">
        <w:rPr>
          <w:rFonts w:ascii="Times New Roman" w:hAnsi="Times New Roman" w:cs="Times New Roman"/>
          <w:color w:val="000000"/>
        </w:rPr>
        <w:t xml:space="preserve"> a mapping table between the terms used</w:t>
      </w:r>
      <w:r w:rsidR="00AE4B50" w:rsidRPr="002546C4">
        <w:rPr>
          <w:rFonts w:ascii="Times New Roman" w:hAnsi="Times New Roman" w:cs="Times New Roman"/>
          <w:color w:val="000000"/>
        </w:rPr>
        <w:t xml:space="preserve"> in the study and </w:t>
      </w:r>
      <w:r>
        <w:rPr>
          <w:rFonts w:ascii="Times New Roman" w:hAnsi="Times New Roman" w:cs="Times New Roman"/>
          <w:color w:val="000000"/>
        </w:rPr>
        <w:t>PO terms</w:t>
      </w:r>
      <w:r w:rsidR="00FD77C1">
        <w:rPr>
          <w:rFonts w:ascii="Times New Roman" w:hAnsi="Times New Roman" w:cs="Times New Roman"/>
          <w:color w:val="000000"/>
        </w:rPr>
        <w:t xml:space="preserve"> and a table of sources. Mappings are created in </w:t>
      </w:r>
      <w:r>
        <w:rPr>
          <w:rFonts w:ascii="Times New Roman" w:hAnsi="Times New Roman" w:cs="Times New Roman"/>
          <w:color w:val="000000"/>
        </w:rPr>
        <w:t xml:space="preserve">consultation with study authors and PO curators as needed. This is </w:t>
      </w:r>
      <w:r w:rsidRPr="001E7CBD">
        <w:rPr>
          <w:rFonts w:ascii="Times New Roman" w:hAnsi="Times New Roman" w:cs="Times New Roman"/>
          <w:color w:val="000000"/>
        </w:rPr>
        <w:t xml:space="preserve">usually done using </w:t>
      </w:r>
      <w:r>
        <w:rPr>
          <w:rFonts w:ascii="Times New Roman" w:hAnsi="Times New Roman" w:cs="Times New Roman"/>
          <w:color w:val="000000"/>
        </w:rPr>
        <w:t>collaborative editing software such as Google D</w:t>
      </w:r>
      <w:r w:rsidRPr="001E7CBD">
        <w:rPr>
          <w:rFonts w:ascii="Times New Roman" w:hAnsi="Times New Roman" w:cs="Times New Roman"/>
          <w:color w:val="000000"/>
        </w:rPr>
        <w:t>oc</w:t>
      </w:r>
      <w:r>
        <w:rPr>
          <w:rFonts w:ascii="Times New Roman" w:hAnsi="Times New Roman" w:cs="Times New Roman"/>
          <w:color w:val="000000"/>
        </w:rPr>
        <w:t xml:space="preserve">s or </w:t>
      </w:r>
      <w:proofErr w:type="spellStart"/>
      <w:r>
        <w:rPr>
          <w:rFonts w:ascii="Times New Roman" w:hAnsi="Times New Roman" w:cs="Times New Roman"/>
          <w:color w:val="000000"/>
        </w:rPr>
        <w:t>Dropbox</w:t>
      </w:r>
      <w:proofErr w:type="spellEnd"/>
      <w:r>
        <w:rPr>
          <w:rFonts w:ascii="Times New Roman" w:hAnsi="Times New Roman" w:cs="Times New Roman"/>
          <w:color w:val="000000"/>
        </w:rPr>
        <w:t>.</w:t>
      </w:r>
    </w:p>
    <w:p w14:paraId="43573B92" w14:textId="77777777" w:rsidR="002D2641" w:rsidRDefault="002546C4" w:rsidP="002D2641">
      <w:pPr>
        <w:numPr>
          <w:ilvl w:val="0"/>
          <w:numId w:val="1"/>
        </w:numPr>
        <w:textAlignment w:val="baseline"/>
        <w:rPr>
          <w:rFonts w:ascii="Times New Roman" w:hAnsi="Times New Roman" w:cs="Times New Roman"/>
          <w:color w:val="000000"/>
        </w:rPr>
      </w:pPr>
      <w:r>
        <w:rPr>
          <w:rFonts w:ascii="Times New Roman" w:hAnsi="Times New Roman" w:cs="Times New Roman"/>
          <w:color w:val="000000"/>
        </w:rPr>
        <w:t>PO curators a</w:t>
      </w:r>
      <w:r w:rsidR="001E7CBD" w:rsidRPr="00AE4B50">
        <w:rPr>
          <w:rFonts w:ascii="Times New Roman" w:hAnsi="Times New Roman" w:cs="Times New Roman"/>
          <w:color w:val="000000"/>
        </w:rPr>
        <w:t xml:space="preserve">dd any needed terms </w:t>
      </w:r>
      <w:r>
        <w:rPr>
          <w:rFonts w:ascii="Times New Roman" w:hAnsi="Times New Roman" w:cs="Times New Roman"/>
          <w:color w:val="000000"/>
        </w:rPr>
        <w:t xml:space="preserve">to the ontology </w:t>
      </w:r>
      <w:r w:rsidR="001E7CBD" w:rsidRPr="00AE4B50">
        <w:rPr>
          <w:rFonts w:ascii="Times New Roman" w:hAnsi="Times New Roman" w:cs="Times New Roman"/>
          <w:color w:val="000000"/>
        </w:rPr>
        <w:t>and fix any issues with existing terms and definitions.</w:t>
      </w:r>
    </w:p>
    <w:p w14:paraId="05DF144E" w14:textId="78254FE7" w:rsidR="00FD77C1" w:rsidRDefault="002D2641" w:rsidP="00FD77C1">
      <w:pPr>
        <w:numPr>
          <w:ilvl w:val="0"/>
          <w:numId w:val="1"/>
        </w:numPr>
        <w:textAlignment w:val="baseline"/>
        <w:rPr>
          <w:rFonts w:ascii="Times New Roman" w:hAnsi="Times New Roman" w:cs="Times New Roman"/>
          <w:color w:val="000000"/>
        </w:rPr>
      </w:pPr>
      <w:r>
        <w:rPr>
          <w:rFonts w:ascii="Times New Roman" w:hAnsi="Times New Roman" w:cs="Times New Roman"/>
          <w:color w:val="000000"/>
        </w:rPr>
        <w:t>PO curators c</w:t>
      </w:r>
      <w:r w:rsidR="001E7CBD" w:rsidRPr="002D2641">
        <w:rPr>
          <w:rFonts w:ascii="Times New Roman" w:hAnsi="Times New Roman" w:cs="Times New Roman"/>
          <w:color w:val="000000"/>
        </w:rPr>
        <w:t xml:space="preserve">reate </w:t>
      </w:r>
      <w:r w:rsidR="00FD77C1">
        <w:rPr>
          <w:rFonts w:ascii="Times New Roman" w:hAnsi="Times New Roman" w:cs="Times New Roman"/>
          <w:color w:val="000000"/>
        </w:rPr>
        <w:t xml:space="preserve">an appropriate </w:t>
      </w:r>
      <w:proofErr w:type="spellStart"/>
      <w:r w:rsidR="00FD77C1">
        <w:rPr>
          <w:rFonts w:ascii="Times New Roman" w:hAnsi="Times New Roman" w:cs="Times New Roman"/>
          <w:color w:val="000000"/>
        </w:rPr>
        <w:t>databse</w:t>
      </w:r>
      <w:proofErr w:type="spellEnd"/>
      <w:r w:rsidR="00FD77C1">
        <w:rPr>
          <w:rFonts w:ascii="Times New Roman" w:hAnsi="Times New Roman" w:cs="Times New Roman"/>
          <w:color w:val="000000"/>
        </w:rPr>
        <w:t xml:space="preserve"> cross-reference (</w:t>
      </w:r>
      <w:proofErr w:type="spellStart"/>
      <w:r w:rsidR="00FD77C1">
        <w:rPr>
          <w:rFonts w:ascii="Times New Roman" w:hAnsi="Times New Roman" w:cs="Times New Roman"/>
          <w:color w:val="000000"/>
        </w:rPr>
        <w:t>dbxRef</w:t>
      </w:r>
      <w:proofErr w:type="spellEnd"/>
      <w:r w:rsidR="00FD77C1">
        <w:rPr>
          <w:rFonts w:ascii="Times New Roman" w:hAnsi="Times New Roman" w:cs="Times New Roman"/>
          <w:color w:val="000000"/>
        </w:rPr>
        <w:t xml:space="preserve">) to the DB </w:t>
      </w:r>
      <w:r w:rsidR="00FD77C1" w:rsidRPr="002D2641">
        <w:rPr>
          <w:rFonts w:ascii="Times New Roman" w:hAnsi="Times New Roman" w:cs="Times New Roman"/>
          <w:color w:val="000000"/>
        </w:rPr>
        <w:t>database holding the expression data</w:t>
      </w:r>
      <w:r w:rsidR="00FD77C1">
        <w:rPr>
          <w:rFonts w:ascii="Times New Roman" w:hAnsi="Times New Roman" w:cs="Times New Roman"/>
          <w:color w:val="000000"/>
        </w:rPr>
        <w:t xml:space="preserve">, if one does not exist. A </w:t>
      </w:r>
      <w:proofErr w:type="spellStart"/>
      <w:r w:rsidR="00FD77C1">
        <w:rPr>
          <w:rFonts w:ascii="Times New Roman" w:hAnsi="Times New Roman" w:cs="Times New Roman"/>
          <w:color w:val="000000"/>
        </w:rPr>
        <w:t>dbxRef</w:t>
      </w:r>
      <w:proofErr w:type="spellEnd"/>
      <w:r w:rsidR="001E7CBD" w:rsidRPr="002D2641">
        <w:rPr>
          <w:rFonts w:ascii="Times New Roman" w:hAnsi="Times New Roman" w:cs="Times New Roman"/>
          <w:color w:val="000000"/>
        </w:rPr>
        <w:t xml:space="preserve"> </w:t>
      </w:r>
      <w:r w:rsidR="00FD77C1">
        <w:rPr>
          <w:rFonts w:ascii="Times New Roman" w:hAnsi="Times New Roman" w:cs="Times New Roman"/>
          <w:color w:val="000000"/>
        </w:rPr>
        <w:t xml:space="preserve">is a code used in the annotation database that is converted to hyperlink to the DB in the PO browser. </w:t>
      </w:r>
    </w:p>
    <w:p w14:paraId="1D4A8553" w14:textId="277D2E0D" w:rsidR="00086D93" w:rsidRDefault="00FD77C1" w:rsidP="00086D93">
      <w:pPr>
        <w:numPr>
          <w:ilvl w:val="0"/>
          <w:numId w:val="1"/>
        </w:numPr>
        <w:textAlignment w:val="baseline"/>
        <w:rPr>
          <w:rFonts w:ascii="Times New Roman" w:hAnsi="Times New Roman" w:cs="Times New Roman"/>
          <w:color w:val="000000"/>
        </w:rPr>
      </w:pPr>
      <w:r>
        <w:rPr>
          <w:rFonts w:ascii="Times New Roman" w:hAnsi="Times New Roman" w:cs="Times New Roman"/>
          <w:color w:val="000000"/>
        </w:rPr>
        <w:t>DB curator c</w:t>
      </w:r>
      <w:r w:rsidR="001E7CBD" w:rsidRPr="00FD77C1">
        <w:rPr>
          <w:rFonts w:ascii="Times New Roman" w:hAnsi="Times New Roman" w:cs="Times New Roman"/>
          <w:color w:val="000000"/>
        </w:rPr>
        <w:t>reate</w:t>
      </w:r>
      <w:r>
        <w:rPr>
          <w:rFonts w:ascii="Times New Roman" w:hAnsi="Times New Roman" w:cs="Times New Roman"/>
          <w:color w:val="000000"/>
        </w:rPr>
        <w:t>s</w:t>
      </w:r>
      <w:r w:rsidR="001E7CBD" w:rsidRPr="00FD77C1">
        <w:rPr>
          <w:rFonts w:ascii="Times New Roman" w:hAnsi="Times New Roman" w:cs="Times New Roman"/>
          <w:color w:val="000000"/>
        </w:rPr>
        <w:t xml:space="preserve"> </w:t>
      </w:r>
      <w:r>
        <w:rPr>
          <w:rFonts w:ascii="Times New Roman" w:hAnsi="Times New Roman" w:cs="Times New Roman"/>
          <w:color w:val="000000"/>
        </w:rPr>
        <w:t>a</w:t>
      </w:r>
      <w:r w:rsidR="001E7CBD" w:rsidRPr="00FD77C1">
        <w:rPr>
          <w:rFonts w:ascii="Times New Roman" w:hAnsi="Times New Roman" w:cs="Times New Roman"/>
          <w:color w:val="000000"/>
        </w:rPr>
        <w:t xml:space="preserve"> </w:t>
      </w:r>
      <w:r>
        <w:rPr>
          <w:rFonts w:ascii="Times New Roman" w:hAnsi="Times New Roman" w:cs="Times New Roman"/>
          <w:color w:val="000000"/>
        </w:rPr>
        <w:t>16-</w:t>
      </w:r>
      <w:r w:rsidR="001E7CBD" w:rsidRPr="00FD77C1">
        <w:rPr>
          <w:rFonts w:ascii="Times New Roman" w:hAnsi="Times New Roman" w:cs="Times New Roman"/>
          <w:color w:val="000000"/>
        </w:rPr>
        <w:t xml:space="preserve">column spreadsheet </w:t>
      </w:r>
      <w:r>
        <w:rPr>
          <w:rFonts w:ascii="Times New Roman" w:hAnsi="Times New Roman" w:cs="Times New Roman"/>
          <w:color w:val="000000"/>
        </w:rPr>
        <w:t xml:space="preserve">following the </w:t>
      </w:r>
      <w:r w:rsidR="003A3BDE">
        <w:rPr>
          <w:rFonts w:ascii="Times New Roman" w:hAnsi="Times New Roman" w:cs="Times New Roman"/>
          <w:color w:val="000000"/>
        </w:rPr>
        <w:t xml:space="preserve">gene </w:t>
      </w:r>
      <w:r w:rsidR="003A3BDE" w:rsidRPr="001E7CBD">
        <w:rPr>
          <w:rFonts w:ascii="Times New Roman" w:hAnsi="Times New Roman" w:cs="Times New Roman"/>
          <w:color w:val="000000"/>
        </w:rPr>
        <w:t>associations file (GAF 2.0)</w:t>
      </w:r>
      <w:r w:rsidR="003A3BDE">
        <w:rPr>
          <w:rFonts w:ascii="Times New Roman" w:hAnsi="Times New Roman" w:cs="Times New Roman"/>
          <w:color w:val="000000"/>
        </w:rPr>
        <w:t xml:space="preserve"> format</w:t>
      </w:r>
      <w:r w:rsidR="006868EA">
        <w:rPr>
          <w:rFonts w:ascii="Times New Roman" w:hAnsi="Times New Roman" w:cs="Times New Roman"/>
          <w:color w:val="000000"/>
        </w:rPr>
        <w:t xml:space="preserve"> (</w:t>
      </w:r>
      <w:hyperlink r:id="rId6" w:history="1">
        <w:r w:rsidR="006868EA" w:rsidRPr="000B6666">
          <w:rPr>
            <w:rStyle w:val="Hyperlink"/>
            <w:rFonts w:ascii="Times New Roman" w:hAnsi="Times New Roman" w:cs="Times New Roman"/>
          </w:rPr>
          <w:t>http://www.geneontology.org/GO.format.annotation.shtml</w:t>
        </w:r>
      </w:hyperlink>
      <w:r w:rsidR="006868EA">
        <w:rPr>
          <w:rFonts w:ascii="Times New Roman" w:hAnsi="Times New Roman" w:cs="Times New Roman"/>
          <w:color w:val="000000"/>
        </w:rPr>
        <w:t>)</w:t>
      </w:r>
      <w:r>
        <w:rPr>
          <w:rFonts w:ascii="Times New Roman" w:hAnsi="Times New Roman" w:cs="Times New Roman"/>
          <w:color w:val="000000"/>
        </w:rPr>
        <w:t>.</w:t>
      </w:r>
      <w:r w:rsidR="006868EA">
        <w:rPr>
          <w:rFonts w:ascii="Times New Roman" w:hAnsi="Times New Roman" w:cs="Times New Roman"/>
          <w:color w:val="000000"/>
        </w:rPr>
        <w:t xml:space="preserve"> </w:t>
      </w:r>
      <w:r>
        <w:rPr>
          <w:rFonts w:ascii="Times New Roman" w:hAnsi="Times New Roman" w:cs="Times New Roman"/>
          <w:color w:val="000000"/>
        </w:rPr>
        <w:t>This spreadsheet is</w:t>
      </w:r>
      <w:r w:rsidR="001E7CBD" w:rsidRPr="00FD77C1">
        <w:rPr>
          <w:rFonts w:ascii="Times New Roman" w:hAnsi="Times New Roman" w:cs="Times New Roman"/>
          <w:color w:val="000000"/>
        </w:rPr>
        <w:t xml:space="preserve"> listing </w:t>
      </w:r>
      <w:r>
        <w:rPr>
          <w:rFonts w:ascii="Times New Roman" w:hAnsi="Times New Roman" w:cs="Times New Roman"/>
          <w:color w:val="000000"/>
        </w:rPr>
        <w:t xml:space="preserve">of the PO identifiers, </w:t>
      </w:r>
      <w:r w:rsidR="001E7CBD" w:rsidRPr="00FD77C1">
        <w:rPr>
          <w:rFonts w:ascii="Times New Roman" w:hAnsi="Times New Roman" w:cs="Times New Roman"/>
          <w:color w:val="000000"/>
        </w:rPr>
        <w:t>the associated genes, gene models, proteins etc.</w:t>
      </w:r>
      <w:r>
        <w:rPr>
          <w:rFonts w:ascii="Times New Roman" w:hAnsi="Times New Roman" w:cs="Times New Roman"/>
          <w:color w:val="000000"/>
        </w:rPr>
        <w:t xml:space="preserve">, the </w:t>
      </w:r>
      <w:proofErr w:type="spellStart"/>
      <w:r>
        <w:rPr>
          <w:rFonts w:ascii="Times New Roman" w:hAnsi="Times New Roman" w:cs="Times New Roman"/>
          <w:color w:val="000000"/>
        </w:rPr>
        <w:t>dbxRef</w:t>
      </w:r>
      <w:proofErr w:type="spellEnd"/>
      <w:r>
        <w:rPr>
          <w:rFonts w:ascii="Times New Roman" w:hAnsi="Times New Roman" w:cs="Times New Roman"/>
          <w:color w:val="000000"/>
        </w:rPr>
        <w:t xml:space="preserve"> and other information.</w:t>
      </w:r>
      <w:r w:rsidR="001E7CBD" w:rsidRPr="00FD77C1">
        <w:rPr>
          <w:rFonts w:ascii="Times New Roman" w:hAnsi="Times New Roman" w:cs="Times New Roman"/>
          <w:color w:val="000000"/>
        </w:rPr>
        <w:t xml:space="preserve"> </w:t>
      </w:r>
      <w:r>
        <w:rPr>
          <w:rFonts w:ascii="Times New Roman" w:hAnsi="Times New Roman" w:cs="Times New Roman"/>
          <w:color w:val="000000"/>
        </w:rPr>
        <w:t>Annotations for plant</w:t>
      </w:r>
      <w:r w:rsidR="001E7CBD" w:rsidRPr="00FD77C1">
        <w:rPr>
          <w:rFonts w:ascii="Times New Roman" w:hAnsi="Times New Roman" w:cs="Times New Roman"/>
          <w:color w:val="000000"/>
        </w:rPr>
        <w:t xml:space="preserve"> anatomy terms</w:t>
      </w:r>
      <w:r>
        <w:rPr>
          <w:rFonts w:ascii="Times New Roman" w:hAnsi="Times New Roman" w:cs="Times New Roman"/>
          <w:color w:val="000000"/>
        </w:rPr>
        <w:t xml:space="preserve"> (</w:t>
      </w:r>
      <w:r w:rsidRPr="00FD77C1">
        <w:rPr>
          <w:rFonts w:ascii="Times New Roman" w:hAnsi="Times New Roman" w:cs="Times New Roman"/>
          <w:i/>
          <w:color w:val="000000"/>
        </w:rPr>
        <w:t>plant anatomical structures</w:t>
      </w:r>
      <w:r>
        <w:rPr>
          <w:rFonts w:ascii="Times New Roman" w:hAnsi="Times New Roman" w:cs="Times New Roman"/>
          <w:color w:val="000000"/>
        </w:rPr>
        <w:t xml:space="preserve">) are kept in a separate table from annotations for </w:t>
      </w:r>
      <w:r w:rsidRPr="00FD77C1">
        <w:rPr>
          <w:rFonts w:ascii="Times New Roman" w:hAnsi="Times New Roman" w:cs="Times New Roman"/>
          <w:i/>
          <w:color w:val="000000"/>
        </w:rPr>
        <w:t>plant structure development stages</w:t>
      </w:r>
      <w:r>
        <w:rPr>
          <w:rFonts w:ascii="Times New Roman" w:hAnsi="Times New Roman" w:cs="Times New Roman"/>
          <w:color w:val="000000"/>
        </w:rPr>
        <w:t>.</w:t>
      </w:r>
    </w:p>
    <w:p w14:paraId="75267408" w14:textId="77777777" w:rsidR="00086D93" w:rsidRDefault="00086D93" w:rsidP="00086D93">
      <w:pPr>
        <w:numPr>
          <w:ilvl w:val="0"/>
          <w:numId w:val="1"/>
        </w:numPr>
        <w:textAlignment w:val="baseline"/>
        <w:rPr>
          <w:rFonts w:ascii="Times New Roman" w:hAnsi="Times New Roman" w:cs="Times New Roman"/>
          <w:color w:val="000000"/>
        </w:rPr>
      </w:pPr>
      <w:r>
        <w:rPr>
          <w:rFonts w:ascii="Times New Roman" w:hAnsi="Times New Roman" w:cs="Times New Roman"/>
          <w:color w:val="000000"/>
        </w:rPr>
        <w:t xml:space="preserve">A </w:t>
      </w:r>
      <w:r w:rsidR="001E7CBD" w:rsidRPr="00086D93">
        <w:rPr>
          <w:rFonts w:ascii="Times New Roman" w:hAnsi="Times New Roman" w:cs="Times New Roman"/>
          <w:color w:val="000000"/>
        </w:rPr>
        <w:t xml:space="preserve">tab delimited text file </w:t>
      </w:r>
      <w:r>
        <w:rPr>
          <w:rFonts w:ascii="Times New Roman" w:hAnsi="Times New Roman" w:cs="Times New Roman"/>
          <w:color w:val="000000"/>
        </w:rPr>
        <w:t xml:space="preserve">version of the spreadsheet is </w:t>
      </w:r>
      <w:proofErr w:type="gramStart"/>
      <w:r w:rsidR="001E7CBD" w:rsidRPr="00086D93">
        <w:rPr>
          <w:rFonts w:ascii="Times New Roman" w:hAnsi="Times New Roman" w:cs="Times New Roman"/>
          <w:color w:val="000000"/>
        </w:rPr>
        <w:t>upload</w:t>
      </w:r>
      <w:proofErr w:type="gramEnd"/>
      <w:r w:rsidR="001E7CBD" w:rsidRPr="00086D93">
        <w:rPr>
          <w:rFonts w:ascii="Times New Roman" w:hAnsi="Times New Roman" w:cs="Times New Roman"/>
          <w:color w:val="000000"/>
        </w:rPr>
        <w:t xml:space="preserve"> to</w:t>
      </w:r>
      <w:r>
        <w:rPr>
          <w:rFonts w:ascii="Times New Roman" w:hAnsi="Times New Roman" w:cs="Times New Roman"/>
          <w:color w:val="000000"/>
        </w:rPr>
        <w:t xml:space="preserve"> the PO</w:t>
      </w:r>
      <w:r w:rsidR="001E7CBD" w:rsidRPr="00086D93">
        <w:rPr>
          <w:rFonts w:ascii="Times New Roman" w:hAnsi="Times New Roman" w:cs="Times New Roman"/>
          <w:color w:val="000000"/>
        </w:rPr>
        <w:t xml:space="preserve"> SVN</w:t>
      </w:r>
      <w:r>
        <w:rPr>
          <w:rFonts w:ascii="Times New Roman" w:hAnsi="Times New Roman" w:cs="Times New Roman"/>
          <w:color w:val="000000"/>
        </w:rPr>
        <w:t xml:space="preserve"> repository at </w:t>
      </w:r>
      <w:hyperlink r:id="rId7" w:history="1">
        <w:r w:rsidRPr="000B6666">
          <w:rPr>
            <w:rStyle w:val="Hyperlink"/>
            <w:rFonts w:ascii="Times New Roman" w:hAnsi="Times New Roman" w:cs="Times New Roman"/>
          </w:rPr>
          <w:t>http://palea.cgrb.oregonstate.edu/viewsvn/Poc/trunk/associations/</w:t>
        </w:r>
      </w:hyperlink>
      <w:r>
        <w:rPr>
          <w:rFonts w:ascii="Times New Roman" w:hAnsi="Times New Roman" w:cs="Times New Roman"/>
          <w:color w:val="000000"/>
        </w:rPr>
        <w:t xml:space="preserve">. </w:t>
      </w:r>
    </w:p>
    <w:p w14:paraId="7DC58A5A" w14:textId="77777777" w:rsidR="00086D93" w:rsidRDefault="00086D93" w:rsidP="00086D93">
      <w:pPr>
        <w:numPr>
          <w:ilvl w:val="0"/>
          <w:numId w:val="1"/>
        </w:numPr>
        <w:textAlignment w:val="baseline"/>
        <w:rPr>
          <w:rFonts w:ascii="Times New Roman" w:hAnsi="Times New Roman" w:cs="Times New Roman"/>
          <w:color w:val="000000"/>
        </w:rPr>
      </w:pPr>
      <w:r>
        <w:rPr>
          <w:rFonts w:ascii="Times New Roman" w:hAnsi="Times New Roman" w:cs="Times New Roman"/>
          <w:color w:val="000000"/>
        </w:rPr>
        <w:t>PO curators integrate the new annotations into the PO database and check it against the most current version of the PO.</w:t>
      </w:r>
    </w:p>
    <w:p w14:paraId="120961DE" w14:textId="3ABA883C" w:rsidR="001E7CBD" w:rsidRPr="00086D93" w:rsidRDefault="00086D93" w:rsidP="001E7CBD">
      <w:pPr>
        <w:numPr>
          <w:ilvl w:val="0"/>
          <w:numId w:val="1"/>
        </w:numPr>
        <w:textAlignment w:val="baseline"/>
        <w:rPr>
          <w:rFonts w:ascii="Times New Roman" w:hAnsi="Times New Roman" w:cs="Times New Roman"/>
          <w:color w:val="000000"/>
        </w:rPr>
      </w:pPr>
      <w:r>
        <w:rPr>
          <w:rFonts w:ascii="Times New Roman" w:hAnsi="Times New Roman" w:cs="Times New Roman"/>
          <w:color w:val="000000"/>
        </w:rPr>
        <w:t>New annotations are made public when a new version of the PO is released.</w:t>
      </w:r>
      <w:r w:rsidR="001E7CBD" w:rsidRPr="00086D93">
        <w:rPr>
          <w:rFonts w:ascii="Times New Roman" w:eastAsia="Times New Roman" w:hAnsi="Times New Roman" w:cs="Times New Roman"/>
        </w:rPr>
        <w:br/>
      </w:r>
    </w:p>
    <w:p w14:paraId="3E66327A" w14:textId="77777777" w:rsidR="00E3217A" w:rsidRDefault="001E7CBD" w:rsidP="00E3217A">
      <w:pPr>
        <w:spacing w:before="200"/>
        <w:outlineLvl w:val="1"/>
        <w:rPr>
          <w:rFonts w:ascii="Times New Roman" w:eastAsia="Times New Roman" w:hAnsi="Times New Roman" w:cs="Times New Roman"/>
          <w:b/>
          <w:bCs/>
          <w:color w:val="000000"/>
        </w:rPr>
      </w:pPr>
      <w:r w:rsidRPr="001E7CBD">
        <w:rPr>
          <w:rFonts w:ascii="Times New Roman" w:eastAsia="Times New Roman" w:hAnsi="Times New Roman" w:cs="Times New Roman"/>
          <w:b/>
          <w:bCs/>
          <w:color w:val="000000"/>
        </w:rPr>
        <w:t>Discussion</w:t>
      </w:r>
    </w:p>
    <w:p w14:paraId="1C88429A" w14:textId="085C7946" w:rsidR="001E7CBD" w:rsidRDefault="009A73B4" w:rsidP="006868EA">
      <w:pPr>
        <w:spacing w:before="200"/>
        <w:outlineLvl w:val="1"/>
        <w:rPr>
          <w:rFonts w:ascii="Times New Roman" w:hAnsi="Times New Roman" w:cs="Times New Roman"/>
          <w:color w:val="000000"/>
        </w:rPr>
      </w:pPr>
      <w:r>
        <w:rPr>
          <w:rFonts w:ascii="Times New Roman" w:hAnsi="Times New Roman" w:cs="Times New Roman"/>
          <w:color w:val="000000"/>
        </w:rPr>
        <w:t xml:space="preserve">PO annotations </w:t>
      </w:r>
      <w:r w:rsidR="001E7CBD" w:rsidRPr="001E7CBD">
        <w:rPr>
          <w:rFonts w:ascii="Times New Roman" w:hAnsi="Times New Roman" w:cs="Times New Roman"/>
          <w:color w:val="000000"/>
        </w:rPr>
        <w:t>the GO model</w:t>
      </w:r>
      <w:r>
        <w:rPr>
          <w:rFonts w:ascii="Times New Roman" w:hAnsi="Times New Roman" w:cs="Times New Roman"/>
          <w:color w:val="000000"/>
        </w:rPr>
        <w:t xml:space="preserve"> and adhere to the G</w:t>
      </w:r>
      <w:r w:rsidR="00E3217A">
        <w:rPr>
          <w:rFonts w:ascii="Times New Roman" w:hAnsi="Times New Roman" w:cs="Times New Roman"/>
          <w:color w:val="000000"/>
        </w:rPr>
        <w:t>AF</w:t>
      </w:r>
      <w:r>
        <w:rPr>
          <w:rFonts w:ascii="Times New Roman" w:hAnsi="Times New Roman" w:cs="Times New Roman"/>
          <w:color w:val="000000"/>
        </w:rPr>
        <w:t xml:space="preserve"> format as described in more detail </w:t>
      </w:r>
      <w:r w:rsidR="00E3217A">
        <w:rPr>
          <w:rFonts w:ascii="Times New Roman" w:hAnsi="Times New Roman" w:cs="Times New Roman"/>
          <w:color w:val="000000"/>
        </w:rPr>
        <w:t xml:space="preserve">in the </w:t>
      </w:r>
      <w:hyperlink r:id="rId8" w:anchor="Ontology_Annotations" w:history="1">
        <w:r w:rsidR="00E3217A" w:rsidRPr="00E3217A">
          <w:rPr>
            <w:rStyle w:val="Hyperlink"/>
            <w:rFonts w:ascii="Times New Roman" w:hAnsi="Times New Roman" w:cs="Times New Roman"/>
          </w:rPr>
          <w:t>PO wiki section on annotations</w:t>
        </w:r>
      </w:hyperlink>
      <w:r>
        <w:rPr>
          <w:rFonts w:ascii="Times New Roman" w:hAnsi="Times New Roman" w:cs="Times New Roman"/>
          <w:color w:val="000000"/>
        </w:rPr>
        <w:t xml:space="preserve">. There are two major components to annotation: a link </w:t>
      </w:r>
      <w:r w:rsidR="001E7CBD" w:rsidRPr="001E7CBD">
        <w:rPr>
          <w:rFonts w:ascii="Times New Roman" w:hAnsi="Times New Roman" w:cs="Times New Roman"/>
          <w:color w:val="000000"/>
        </w:rPr>
        <w:t xml:space="preserve">between a gene product and a descriptive </w:t>
      </w:r>
      <w:r>
        <w:rPr>
          <w:rFonts w:ascii="Times New Roman" w:hAnsi="Times New Roman" w:cs="Times New Roman"/>
          <w:color w:val="000000"/>
        </w:rPr>
        <w:t xml:space="preserve">PO definition </w:t>
      </w:r>
      <w:r w:rsidR="001E7CBD" w:rsidRPr="001E7CBD">
        <w:rPr>
          <w:rFonts w:ascii="Times New Roman" w:hAnsi="Times New Roman" w:cs="Times New Roman"/>
          <w:color w:val="000000"/>
        </w:rPr>
        <w:t xml:space="preserve">and </w:t>
      </w:r>
      <w:r>
        <w:rPr>
          <w:rFonts w:ascii="Times New Roman" w:hAnsi="Times New Roman" w:cs="Times New Roman"/>
          <w:color w:val="000000"/>
        </w:rPr>
        <w:t>data about</w:t>
      </w:r>
      <w:r w:rsidR="001E7CBD" w:rsidRPr="001E7CBD">
        <w:rPr>
          <w:rFonts w:ascii="Times New Roman" w:hAnsi="Times New Roman" w:cs="Times New Roman"/>
          <w:color w:val="000000"/>
        </w:rPr>
        <w:t xml:space="preserve"> the source and</w:t>
      </w:r>
      <w:r>
        <w:rPr>
          <w:rFonts w:ascii="Times New Roman" w:hAnsi="Times New Roman" w:cs="Times New Roman"/>
          <w:color w:val="000000"/>
        </w:rPr>
        <w:t xml:space="preserve"> evidence used to make the link.</w:t>
      </w:r>
      <w:r>
        <w:rPr>
          <w:rFonts w:ascii="Times New Roman" w:hAnsi="Times New Roman" w:cs="Times New Roman"/>
        </w:rPr>
        <w:t xml:space="preserve"> </w:t>
      </w:r>
      <w:r>
        <w:rPr>
          <w:rFonts w:ascii="Times New Roman" w:hAnsi="Times New Roman" w:cs="Times New Roman"/>
          <w:color w:val="000000"/>
        </w:rPr>
        <w:t xml:space="preserve">Each </w:t>
      </w:r>
      <w:r w:rsidR="003A3BDE">
        <w:rPr>
          <w:rFonts w:ascii="Times New Roman" w:hAnsi="Times New Roman" w:cs="Times New Roman"/>
          <w:color w:val="000000"/>
        </w:rPr>
        <w:t>annotation must include a reference. This is usually a PubMed ID (PMID) linking back to the original scientific paper describing the study used for annotation.</w:t>
      </w:r>
      <w:r w:rsidR="00E3217A">
        <w:rPr>
          <w:rFonts w:ascii="Times New Roman" w:hAnsi="Times New Roman" w:cs="Times New Roman"/>
          <w:color w:val="000000"/>
        </w:rPr>
        <w:t xml:space="preserve"> The type of evidence used to make an annotation is recorded in the </w:t>
      </w:r>
      <w:hyperlink r:id="rId9" w:history="1">
        <w:r w:rsidR="00E3217A" w:rsidRPr="006868EA">
          <w:rPr>
            <w:rStyle w:val="Hyperlink"/>
            <w:rFonts w:ascii="Times New Roman" w:hAnsi="Times New Roman" w:cs="Times New Roman"/>
          </w:rPr>
          <w:t>evidence code column</w:t>
        </w:r>
      </w:hyperlink>
      <w:r w:rsidR="006868EA">
        <w:rPr>
          <w:rFonts w:ascii="Times New Roman" w:hAnsi="Times New Roman" w:cs="Times New Roman"/>
          <w:color w:val="000000"/>
        </w:rPr>
        <w:t>.</w:t>
      </w:r>
    </w:p>
    <w:p w14:paraId="6224747D" w14:textId="77777777" w:rsidR="006868EA" w:rsidRPr="001E7CBD" w:rsidRDefault="006868EA" w:rsidP="006868EA">
      <w:pPr>
        <w:spacing w:before="200"/>
        <w:outlineLvl w:val="1"/>
        <w:rPr>
          <w:rFonts w:ascii="Times New Roman" w:eastAsia="Times New Roman" w:hAnsi="Times New Roman" w:cs="Times New Roman"/>
        </w:rPr>
      </w:pPr>
      <w:bookmarkStart w:id="0" w:name="_GoBack"/>
      <w:bookmarkEnd w:id="0"/>
    </w:p>
    <w:p w14:paraId="4A335374" w14:textId="1DA945E6" w:rsidR="00770186" w:rsidRDefault="001E7CBD" w:rsidP="003A3BDE">
      <w:pPr>
        <w:ind w:hanging="440"/>
        <w:rPr>
          <w:rFonts w:ascii="Times New Roman" w:hAnsi="Times New Roman" w:cs="Times New Roman"/>
        </w:rPr>
      </w:pPr>
      <w:r w:rsidRPr="001E7CBD">
        <w:rPr>
          <w:rFonts w:ascii="Times New Roman" w:hAnsi="Times New Roman" w:cs="Times New Roman"/>
          <w:b/>
          <w:bCs/>
          <w:color w:val="000000"/>
        </w:rPr>
        <w:lastRenderedPageBreak/>
        <w:t>Literature cited:</w:t>
      </w:r>
    </w:p>
    <w:p w14:paraId="2125D17B" w14:textId="77777777" w:rsidR="006868EA" w:rsidRPr="006868EA" w:rsidRDefault="006868EA" w:rsidP="006868EA">
      <w:pPr>
        <w:pStyle w:val="Bibliography"/>
        <w:rPr>
          <w:rFonts w:ascii="Cambria"/>
        </w:rPr>
      </w:pPr>
      <w:r>
        <w:rPr>
          <w:rFonts w:ascii="Times New Roman" w:hAnsi="Times New Roman" w:cs="Times New Roman"/>
        </w:rPr>
        <w:fldChar w:fldCharType="begin"/>
      </w:r>
      <w:r>
        <w:rPr>
          <w:rFonts w:ascii="Times New Roman" w:hAnsi="Times New Roman" w:cs="Times New Roman"/>
        </w:rPr>
        <w:instrText xml:space="preserve"> ADDIN ZOTERO_BIBL {"custom":[]} CSL_BIBLIOGRAPHY </w:instrText>
      </w:r>
      <w:r>
        <w:rPr>
          <w:rFonts w:ascii="Times New Roman" w:hAnsi="Times New Roman" w:cs="Times New Roman"/>
        </w:rPr>
        <w:fldChar w:fldCharType="separate"/>
      </w:r>
      <w:proofErr w:type="spellStart"/>
      <w:r w:rsidRPr="006868EA">
        <w:rPr>
          <w:rFonts w:ascii="Cambria"/>
          <w:b/>
          <w:bCs/>
        </w:rPr>
        <w:t>Fasoli</w:t>
      </w:r>
      <w:proofErr w:type="spellEnd"/>
      <w:r w:rsidRPr="006868EA">
        <w:rPr>
          <w:rFonts w:ascii="Cambria"/>
          <w:b/>
          <w:bCs/>
        </w:rPr>
        <w:t xml:space="preserve"> M, Dal Santo S, </w:t>
      </w:r>
      <w:proofErr w:type="spellStart"/>
      <w:r w:rsidRPr="006868EA">
        <w:rPr>
          <w:rFonts w:ascii="Cambria"/>
          <w:b/>
          <w:bCs/>
        </w:rPr>
        <w:t>Zenoni</w:t>
      </w:r>
      <w:proofErr w:type="spellEnd"/>
      <w:r w:rsidRPr="006868EA">
        <w:rPr>
          <w:rFonts w:ascii="Cambria"/>
          <w:b/>
          <w:bCs/>
        </w:rPr>
        <w:t xml:space="preserve"> S, </w:t>
      </w:r>
      <w:proofErr w:type="spellStart"/>
      <w:r w:rsidRPr="006868EA">
        <w:rPr>
          <w:rFonts w:ascii="Cambria"/>
          <w:b/>
          <w:bCs/>
        </w:rPr>
        <w:t>Tornielli</w:t>
      </w:r>
      <w:proofErr w:type="spellEnd"/>
      <w:r w:rsidRPr="006868EA">
        <w:rPr>
          <w:rFonts w:ascii="Cambria"/>
          <w:b/>
          <w:bCs/>
        </w:rPr>
        <w:t xml:space="preserve"> GB, Farina L, Zamboni A, </w:t>
      </w:r>
      <w:proofErr w:type="spellStart"/>
      <w:r w:rsidRPr="006868EA">
        <w:rPr>
          <w:rFonts w:ascii="Cambria"/>
          <w:b/>
          <w:bCs/>
        </w:rPr>
        <w:t>Porceddu</w:t>
      </w:r>
      <w:proofErr w:type="spellEnd"/>
      <w:r w:rsidRPr="006868EA">
        <w:rPr>
          <w:rFonts w:ascii="Cambria"/>
          <w:b/>
          <w:bCs/>
        </w:rPr>
        <w:t xml:space="preserve"> A, </w:t>
      </w:r>
      <w:proofErr w:type="spellStart"/>
      <w:r w:rsidRPr="006868EA">
        <w:rPr>
          <w:rFonts w:ascii="Cambria"/>
          <w:b/>
          <w:bCs/>
        </w:rPr>
        <w:t>Bicego</w:t>
      </w:r>
      <w:proofErr w:type="spellEnd"/>
      <w:r w:rsidRPr="006868EA">
        <w:rPr>
          <w:rFonts w:ascii="Cambria"/>
          <w:b/>
          <w:bCs/>
        </w:rPr>
        <w:t xml:space="preserve"> M, </w:t>
      </w:r>
      <w:proofErr w:type="spellStart"/>
      <w:r w:rsidRPr="006868EA">
        <w:rPr>
          <w:rFonts w:ascii="Cambria"/>
          <w:b/>
          <w:bCs/>
        </w:rPr>
        <w:t>Murino</w:t>
      </w:r>
      <w:proofErr w:type="spellEnd"/>
      <w:r w:rsidRPr="006868EA">
        <w:rPr>
          <w:rFonts w:ascii="Cambria"/>
          <w:b/>
          <w:bCs/>
        </w:rPr>
        <w:t xml:space="preserve"> V, </w:t>
      </w:r>
      <w:proofErr w:type="spellStart"/>
      <w:r w:rsidRPr="006868EA">
        <w:rPr>
          <w:rFonts w:ascii="Cambria"/>
          <w:b/>
          <w:bCs/>
        </w:rPr>
        <w:t>Ferrarini</w:t>
      </w:r>
      <w:proofErr w:type="spellEnd"/>
      <w:r w:rsidRPr="006868EA">
        <w:rPr>
          <w:rFonts w:ascii="Cambria"/>
          <w:b/>
          <w:bCs/>
        </w:rPr>
        <w:t xml:space="preserve"> A, </w:t>
      </w:r>
      <w:r w:rsidRPr="006868EA">
        <w:rPr>
          <w:rFonts w:ascii="Cambria"/>
          <w:b/>
          <w:bCs/>
          <w:i/>
          <w:iCs/>
        </w:rPr>
        <w:t>et al.</w:t>
      </w:r>
      <w:r w:rsidRPr="006868EA">
        <w:rPr>
          <w:rFonts w:ascii="Cambria"/>
        </w:rPr>
        <w:t xml:space="preserve"> </w:t>
      </w:r>
      <w:r w:rsidRPr="006868EA">
        <w:rPr>
          <w:rFonts w:ascii="Cambria"/>
          <w:b/>
          <w:bCs/>
        </w:rPr>
        <w:t>2012</w:t>
      </w:r>
      <w:r w:rsidRPr="006868EA">
        <w:rPr>
          <w:rFonts w:ascii="Cambria"/>
        </w:rPr>
        <w:t xml:space="preserve">. The grapevine expression atlas reveals a deep </w:t>
      </w:r>
      <w:proofErr w:type="spellStart"/>
      <w:r w:rsidRPr="006868EA">
        <w:rPr>
          <w:rFonts w:ascii="Cambria"/>
        </w:rPr>
        <w:t>transcriptome</w:t>
      </w:r>
      <w:proofErr w:type="spellEnd"/>
      <w:r w:rsidRPr="006868EA">
        <w:rPr>
          <w:rFonts w:ascii="Cambria"/>
        </w:rPr>
        <w:t xml:space="preserve"> shift driving the entire plant into a maturation </w:t>
      </w:r>
      <w:proofErr w:type="gramStart"/>
      <w:r w:rsidRPr="006868EA">
        <w:rPr>
          <w:rFonts w:ascii="Cambria"/>
        </w:rPr>
        <w:t>program</w:t>
      </w:r>
      <w:proofErr w:type="gramEnd"/>
      <w:r w:rsidRPr="006868EA">
        <w:rPr>
          <w:rFonts w:ascii="Cambria"/>
        </w:rPr>
        <w:t xml:space="preserve">. </w:t>
      </w:r>
      <w:proofErr w:type="gramStart"/>
      <w:r w:rsidRPr="006868EA">
        <w:rPr>
          <w:rFonts w:ascii="Cambria"/>
          <w:i/>
          <w:iCs/>
        </w:rPr>
        <w:t>The Plant cell</w:t>
      </w:r>
      <w:r w:rsidRPr="006868EA">
        <w:rPr>
          <w:rFonts w:ascii="Cambria"/>
        </w:rPr>
        <w:t xml:space="preserve"> </w:t>
      </w:r>
      <w:r w:rsidRPr="006868EA">
        <w:rPr>
          <w:rFonts w:ascii="Cambria"/>
          <w:b/>
          <w:bCs/>
        </w:rPr>
        <w:t>24</w:t>
      </w:r>
      <w:r w:rsidRPr="006868EA">
        <w:rPr>
          <w:rFonts w:ascii="Cambria"/>
        </w:rPr>
        <w:t>: 3489–3505.</w:t>
      </w:r>
      <w:proofErr w:type="gramEnd"/>
    </w:p>
    <w:p w14:paraId="42E21BF9" w14:textId="77777777" w:rsidR="006868EA" w:rsidRPr="006868EA" w:rsidRDefault="006868EA" w:rsidP="006868EA">
      <w:pPr>
        <w:pStyle w:val="Bibliography"/>
        <w:rPr>
          <w:rFonts w:ascii="Cambria"/>
        </w:rPr>
      </w:pPr>
      <w:r w:rsidRPr="006868EA">
        <w:rPr>
          <w:rFonts w:ascii="Cambria"/>
          <w:b/>
          <w:bCs/>
        </w:rPr>
        <w:t xml:space="preserve">Kang C, </w:t>
      </w:r>
      <w:proofErr w:type="spellStart"/>
      <w:r w:rsidRPr="006868EA">
        <w:rPr>
          <w:rFonts w:ascii="Cambria"/>
          <w:b/>
          <w:bCs/>
        </w:rPr>
        <w:t>Darwish</w:t>
      </w:r>
      <w:proofErr w:type="spellEnd"/>
      <w:r w:rsidRPr="006868EA">
        <w:rPr>
          <w:rFonts w:ascii="Cambria"/>
          <w:b/>
          <w:bCs/>
        </w:rPr>
        <w:t xml:space="preserve"> O, </w:t>
      </w:r>
      <w:proofErr w:type="spellStart"/>
      <w:r w:rsidRPr="006868EA">
        <w:rPr>
          <w:rFonts w:ascii="Cambria"/>
          <w:b/>
          <w:bCs/>
        </w:rPr>
        <w:t>Geretz</w:t>
      </w:r>
      <w:proofErr w:type="spellEnd"/>
      <w:r w:rsidRPr="006868EA">
        <w:rPr>
          <w:rFonts w:ascii="Cambria"/>
          <w:b/>
          <w:bCs/>
        </w:rPr>
        <w:t xml:space="preserve"> A, </w:t>
      </w:r>
      <w:proofErr w:type="spellStart"/>
      <w:r w:rsidRPr="006868EA">
        <w:rPr>
          <w:rFonts w:ascii="Cambria"/>
          <w:b/>
          <w:bCs/>
        </w:rPr>
        <w:t>Shahan</w:t>
      </w:r>
      <w:proofErr w:type="spellEnd"/>
      <w:r w:rsidRPr="006868EA">
        <w:rPr>
          <w:rFonts w:ascii="Cambria"/>
          <w:b/>
          <w:bCs/>
        </w:rPr>
        <w:t xml:space="preserve"> R, </w:t>
      </w:r>
      <w:proofErr w:type="spellStart"/>
      <w:r w:rsidRPr="006868EA">
        <w:rPr>
          <w:rFonts w:ascii="Cambria"/>
          <w:b/>
          <w:bCs/>
        </w:rPr>
        <w:t>Alkharouf</w:t>
      </w:r>
      <w:proofErr w:type="spellEnd"/>
      <w:r w:rsidRPr="006868EA">
        <w:rPr>
          <w:rFonts w:ascii="Cambria"/>
          <w:b/>
          <w:bCs/>
        </w:rPr>
        <w:t xml:space="preserve"> N, Liu Z</w:t>
      </w:r>
      <w:r w:rsidRPr="006868EA">
        <w:rPr>
          <w:rFonts w:ascii="Cambria"/>
        </w:rPr>
        <w:t xml:space="preserve">. </w:t>
      </w:r>
      <w:r w:rsidRPr="006868EA">
        <w:rPr>
          <w:rFonts w:ascii="Cambria"/>
          <w:b/>
          <w:bCs/>
        </w:rPr>
        <w:t>2013</w:t>
      </w:r>
      <w:r w:rsidRPr="006868EA">
        <w:rPr>
          <w:rFonts w:ascii="Cambria"/>
        </w:rPr>
        <w:t xml:space="preserve">. </w:t>
      </w:r>
      <w:proofErr w:type="gramStart"/>
      <w:r w:rsidRPr="006868EA">
        <w:rPr>
          <w:rFonts w:ascii="Cambria"/>
        </w:rPr>
        <w:t xml:space="preserve">Genome-scale </w:t>
      </w:r>
      <w:proofErr w:type="spellStart"/>
      <w:r w:rsidRPr="006868EA">
        <w:rPr>
          <w:rFonts w:ascii="Cambria"/>
        </w:rPr>
        <w:t>transcriptomic</w:t>
      </w:r>
      <w:proofErr w:type="spellEnd"/>
      <w:r w:rsidRPr="006868EA">
        <w:rPr>
          <w:rFonts w:ascii="Cambria"/>
        </w:rPr>
        <w:t xml:space="preserve"> insights into early-stage fruit development in woodland strawberry </w:t>
      </w:r>
      <w:proofErr w:type="spellStart"/>
      <w:r w:rsidRPr="006868EA">
        <w:rPr>
          <w:rFonts w:ascii="Cambria"/>
        </w:rPr>
        <w:t>Fragaria</w:t>
      </w:r>
      <w:proofErr w:type="spellEnd"/>
      <w:r w:rsidRPr="006868EA">
        <w:rPr>
          <w:rFonts w:ascii="Cambria"/>
        </w:rPr>
        <w:t xml:space="preserve"> </w:t>
      </w:r>
      <w:proofErr w:type="spellStart"/>
      <w:r w:rsidRPr="006868EA">
        <w:rPr>
          <w:rFonts w:ascii="Cambria"/>
        </w:rPr>
        <w:t>vesca</w:t>
      </w:r>
      <w:proofErr w:type="spellEnd"/>
      <w:r w:rsidRPr="006868EA">
        <w:rPr>
          <w:rFonts w:ascii="Cambria"/>
        </w:rPr>
        <w:t>.</w:t>
      </w:r>
      <w:proofErr w:type="gramEnd"/>
      <w:r w:rsidRPr="006868EA">
        <w:rPr>
          <w:rFonts w:ascii="Cambria"/>
        </w:rPr>
        <w:t xml:space="preserve"> </w:t>
      </w:r>
      <w:proofErr w:type="gramStart"/>
      <w:r w:rsidRPr="006868EA">
        <w:rPr>
          <w:rFonts w:ascii="Cambria"/>
          <w:i/>
          <w:iCs/>
        </w:rPr>
        <w:t>The Plant Cell</w:t>
      </w:r>
      <w:r w:rsidRPr="006868EA">
        <w:rPr>
          <w:rFonts w:ascii="Cambria"/>
        </w:rPr>
        <w:t xml:space="preserve"> </w:t>
      </w:r>
      <w:r w:rsidRPr="006868EA">
        <w:rPr>
          <w:rFonts w:ascii="Cambria"/>
          <w:b/>
          <w:bCs/>
        </w:rPr>
        <w:t>25</w:t>
      </w:r>
      <w:r w:rsidRPr="006868EA">
        <w:rPr>
          <w:rFonts w:ascii="Cambria"/>
        </w:rPr>
        <w:t>: 1960–1978.</w:t>
      </w:r>
      <w:proofErr w:type="gramEnd"/>
    </w:p>
    <w:p w14:paraId="7757F373" w14:textId="77777777" w:rsidR="006868EA" w:rsidRPr="006868EA" w:rsidRDefault="006868EA" w:rsidP="006868EA">
      <w:pPr>
        <w:pStyle w:val="Bibliography"/>
        <w:rPr>
          <w:rFonts w:ascii="Cambria"/>
        </w:rPr>
      </w:pPr>
      <w:r w:rsidRPr="006868EA">
        <w:rPr>
          <w:rFonts w:ascii="Cambria"/>
          <w:b/>
          <w:bCs/>
        </w:rPr>
        <w:t xml:space="preserve">Li P, </w:t>
      </w:r>
      <w:proofErr w:type="spellStart"/>
      <w:r w:rsidRPr="006868EA">
        <w:rPr>
          <w:rFonts w:ascii="Cambria"/>
          <w:b/>
          <w:bCs/>
        </w:rPr>
        <w:t>Ponnala</w:t>
      </w:r>
      <w:proofErr w:type="spellEnd"/>
      <w:r w:rsidRPr="006868EA">
        <w:rPr>
          <w:rFonts w:ascii="Cambria"/>
          <w:b/>
          <w:bCs/>
        </w:rPr>
        <w:t xml:space="preserve"> L, </w:t>
      </w:r>
      <w:proofErr w:type="spellStart"/>
      <w:r w:rsidRPr="006868EA">
        <w:rPr>
          <w:rFonts w:ascii="Cambria"/>
          <w:b/>
          <w:bCs/>
        </w:rPr>
        <w:t>Gandotra</w:t>
      </w:r>
      <w:proofErr w:type="spellEnd"/>
      <w:r w:rsidRPr="006868EA">
        <w:rPr>
          <w:rFonts w:ascii="Cambria"/>
          <w:b/>
          <w:bCs/>
        </w:rPr>
        <w:t xml:space="preserve"> N, Wang L, Si Y, </w:t>
      </w:r>
      <w:proofErr w:type="spellStart"/>
      <w:r w:rsidRPr="006868EA">
        <w:rPr>
          <w:rFonts w:ascii="Cambria"/>
          <w:b/>
          <w:bCs/>
        </w:rPr>
        <w:t>Tausta</w:t>
      </w:r>
      <w:proofErr w:type="spellEnd"/>
      <w:r w:rsidRPr="006868EA">
        <w:rPr>
          <w:rFonts w:ascii="Cambria"/>
          <w:b/>
          <w:bCs/>
        </w:rPr>
        <w:t xml:space="preserve"> SL, </w:t>
      </w:r>
      <w:proofErr w:type="spellStart"/>
      <w:r w:rsidRPr="006868EA">
        <w:rPr>
          <w:rFonts w:ascii="Cambria"/>
          <w:b/>
          <w:bCs/>
        </w:rPr>
        <w:t>Kebrom</w:t>
      </w:r>
      <w:proofErr w:type="spellEnd"/>
      <w:r w:rsidRPr="006868EA">
        <w:rPr>
          <w:rFonts w:ascii="Cambria"/>
          <w:b/>
          <w:bCs/>
        </w:rPr>
        <w:t xml:space="preserve"> TH, </w:t>
      </w:r>
      <w:proofErr w:type="spellStart"/>
      <w:r w:rsidRPr="006868EA">
        <w:rPr>
          <w:rFonts w:ascii="Cambria"/>
          <w:b/>
          <w:bCs/>
        </w:rPr>
        <w:t>Provart</w:t>
      </w:r>
      <w:proofErr w:type="spellEnd"/>
      <w:r w:rsidRPr="006868EA">
        <w:rPr>
          <w:rFonts w:ascii="Cambria"/>
          <w:b/>
          <w:bCs/>
        </w:rPr>
        <w:t xml:space="preserve"> N, Patel R, Myers CR, </w:t>
      </w:r>
      <w:r w:rsidRPr="006868EA">
        <w:rPr>
          <w:rFonts w:ascii="Cambria"/>
          <w:b/>
          <w:bCs/>
          <w:i/>
          <w:iCs/>
        </w:rPr>
        <w:t>et al.</w:t>
      </w:r>
      <w:r w:rsidRPr="006868EA">
        <w:rPr>
          <w:rFonts w:ascii="Cambria"/>
        </w:rPr>
        <w:t xml:space="preserve"> </w:t>
      </w:r>
      <w:r w:rsidRPr="006868EA">
        <w:rPr>
          <w:rFonts w:ascii="Cambria"/>
          <w:b/>
          <w:bCs/>
        </w:rPr>
        <w:t>2010</w:t>
      </w:r>
      <w:r w:rsidRPr="006868EA">
        <w:rPr>
          <w:rFonts w:ascii="Cambria"/>
        </w:rPr>
        <w:t xml:space="preserve">. </w:t>
      </w:r>
      <w:proofErr w:type="gramStart"/>
      <w:r w:rsidRPr="006868EA">
        <w:rPr>
          <w:rFonts w:ascii="Cambria"/>
        </w:rPr>
        <w:t xml:space="preserve">The developmental dynamics of the maize leaf </w:t>
      </w:r>
      <w:proofErr w:type="spellStart"/>
      <w:r w:rsidRPr="006868EA">
        <w:rPr>
          <w:rFonts w:ascii="Cambria"/>
        </w:rPr>
        <w:t>transcriptome</w:t>
      </w:r>
      <w:proofErr w:type="spellEnd"/>
      <w:r w:rsidRPr="006868EA">
        <w:rPr>
          <w:rFonts w:ascii="Cambria"/>
        </w:rPr>
        <w:t>.</w:t>
      </w:r>
      <w:proofErr w:type="gramEnd"/>
      <w:r w:rsidRPr="006868EA">
        <w:rPr>
          <w:rFonts w:ascii="Cambria"/>
        </w:rPr>
        <w:t xml:space="preserve"> </w:t>
      </w:r>
      <w:proofErr w:type="gramStart"/>
      <w:r w:rsidRPr="006868EA">
        <w:rPr>
          <w:rFonts w:ascii="Cambria"/>
          <w:i/>
          <w:iCs/>
        </w:rPr>
        <w:t>Nature Genetics</w:t>
      </w:r>
      <w:r w:rsidRPr="006868EA">
        <w:rPr>
          <w:rFonts w:ascii="Cambria"/>
        </w:rPr>
        <w:t xml:space="preserve"> </w:t>
      </w:r>
      <w:r w:rsidRPr="006868EA">
        <w:rPr>
          <w:rFonts w:ascii="Cambria"/>
          <w:b/>
          <w:bCs/>
        </w:rPr>
        <w:t>42</w:t>
      </w:r>
      <w:r w:rsidRPr="006868EA">
        <w:rPr>
          <w:rFonts w:ascii="Cambria"/>
        </w:rPr>
        <w:t>: 1060–1067.</w:t>
      </w:r>
      <w:proofErr w:type="gramEnd"/>
    </w:p>
    <w:p w14:paraId="0423745F" w14:textId="77777777" w:rsidR="006868EA" w:rsidRPr="006868EA" w:rsidRDefault="006868EA" w:rsidP="006868EA">
      <w:pPr>
        <w:pStyle w:val="Bibliography"/>
        <w:rPr>
          <w:rFonts w:ascii="Cambria"/>
        </w:rPr>
      </w:pPr>
      <w:proofErr w:type="spellStart"/>
      <w:r w:rsidRPr="006868EA">
        <w:rPr>
          <w:rFonts w:ascii="Cambria"/>
          <w:b/>
          <w:bCs/>
        </w:rPr>
        <w:t>Sekhon</w:t>
      </w:r>
      <w:proofErr w:type="spellEnd"/>
      <w:r w:rsidRPr="006868EA">
        <w:rPr>
          <w:rFonts w:ascii="Cambria"/>
          <w:b/>
          <w:bCs/>
        </w:rPr>
        <w:t xml:space="preserve"> RS, Lin H, Childs KL, </w:t>
      </w:r>
      <w:proofErr w:type="spellStart"/>
      <w:r w:rsidRPr="006868EA">
        <w:rPr>
          <w:rFonts w:ascii="Cambria"/>
          <w:b/>
          <w:bCs/>
        </w:rPr>
        <w:t>Hansey</w:t>
      </w:r>
      <w:proofErr w:type="spellEnd"/>
      <w:r w:rsidRPr="006868EA">
        <w:rPr>
          <w:rFonts w:ascii="Cambria"/>
          <w:b/>
          <w:bCs/>
        </w:rPr>
        <w:t xml:space="preserve"> CN, Buell CR, de Leon N, </w:t>
      </w:r>
      <w:proofErr w:type="spellStart"/>
      <w:r w:rsidRPr="006868EA">
        <w:rPr>
          <w:rFonts w:ascii="Cambria"/>
          <w:b/>
          <w:bCs/>
        </w:rPr>
        <w:t>Kaeppler</w:t>
      </w:r>
      <w:proofErr w:type="spellEnd"/>
      <w:r w:rsidRPr="006868EA">
        <w:rPr>
          <w:rFonts w:ascii="Cambria"/>
          <w:b/>
          <w:bCs/>
        </w:rPr>
        <w:t xml:space="preserve"> SM</w:t>
      </w:r>
      <w:r w:rsidRPr="006868EA">
        <w:rPr>
          <w:rFonts w:ascii="Cambria"/>
        </w:rPr>
        <w:t xml:space="preserve">. </w:t>
      </w:r>
      <w:r w:rsidRPr="006868EA">
        <w:rPr>
          <w:rFonts w:ascii="Cambria"/>
          <w:b/>
          <w:bCs/>
        </w:rPr>
        <w:t>2011</w:t>
      </w:r>
      <w:r w:rsidRPr="006868EA">
        <w:rPr>
          <w:rFonts w:ascii="Cambria"/>
        </w:rPr>
        <w:t xml:space="preserve">. </w:t>
      </w:r>
      <w:proofErr w:type="gramStart"/>
      <w:r w:rsidRPr="006868EA">
        <w:rPr>
          <w:rFonts w:ascii="Cambria"/>
        </w:rPr>
        <w:t>Genome‐wide atlas of transcription during maize development.</w:t>
      </w:r>
      <w:proofErr w:type="gramEnd"/>
      <w:r w:rsidRPr="006868EA">
        <w:rPr>
          <w:rFonts w:ascii="Cambria"/>
        </w:rPr>
        <w:t xml:space="preserve"> </w:t>
      </w:r>
      <w:proofErr w:type="gramStart"/>
      <w:r w:rsidRPr="006868EA">
        <w:rPr>
          <w:rFonts w:ascii="Cambria"/>
          <w:i/>
          <w:iCs/>
        </w:rPr>
        <w:t>The Plant Journal</w:t>
      </w:r>
      <w:r w:rsidRPr="006868EA">
        <w:rPr>
          <w:rFonts w:ascii="Cambria"/>
        </w:rPr>
        <w:t xml:space="preserve"> </w:t>
      </w:r>
      <w:r w:rsidRPr="006868EA">
        <w:rPr>
          <w:rFonts w:ascii="Cambria"/>
          <w:b/>
          <w:bCs/>
        </w:rPr>
        <w:t>66</w:t>
      </w:r>
      <w:r w:rsidRPr="006868EA">
        <w:rPr>
          <w:rFonts w:ascii="Cambria"/>
        </w:rPr>
        <w:t>: 553–563.</w:t>
      </w:r>
      <w:proofErr w:type="gramEnd"/>
    </w:p>
    <w:p w14:paraId="01EB3EF5" w14:textId="09B56F46" w:rsidR="003A3BDE" w:rsidRPr="003A3BDE" w:rsidRDefault="006868EA" w:rsidP="006868EA">
      <w:pPr>
        <w:ind w:hanging="440"/>
        <w:rPr>
          <w:rFonts w:ascii="Times New Roman" w:hAnsi="Times New Roman" w:cs="Times New Roman"/>
          <w:b/>
        </w:rPr>
      </w:pPr>
      <w:r>
        <w:rPr>
          <w:rFonts w:ascii="Times New Roman" w:hAnsi="Times New Roman" w:cs="Times New Roman"/>
          <w:b/>
        </w:rPr>
        <w:fldChar w:fldCharType="end"/>
      </w:r>
    </w:p>
    <w:sectPr w:rsidR="003A3BDE" w:rsidRPr="003A3BDE" w:rsidSect="007701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2440"/>
    <w:multiLevelType w:val="multilevel"/>
    <w:tmpl w:val="B1FC93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867D5"/>
    <w:multiLevelType w:val="multilevel"/>
    <w:tmpl w:val="259E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8449C"/>
    <w:multiLevelType w:val="multilevel"/>
    <w:tmpl w:val="D1E4A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73A8C"/>
    <w:multiLevelType w:val="multilevel"/>
    <w:tmpl w:val="769C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A54C86"/>
    <w:multiLevelType w:val="multilevel"/>
    <w:tmpl w:val="F03005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CC45D3"/>
    <w:multiLevelType w:val="multilevel"/>
    <w:tmpl w:val="D038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966BBE"/>
    <w:multiLevelType w:val="multilevel"/>
    <w:tmpl w:val="3440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6D7CFA"/>
    <w:multiLevelType w:val="multilevel"/>
    <w:tmpl w:val="951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FA73E8"/>
    <w:multiLevelType w:val="multilevel"/>
    <w:tmpl w:val="B22018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9D7323"/>
    <w:multiLevelType w:val="multilevel"/>
    <w:tmpl w:val="C52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E941F3"/>
    <w:multiLevelType w:val="multilevel"/>
    <w:tmpl w:val="AF5878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FA450C"/>
    <w:multiLevelType w:val="multilevel"/>
    <w:tmpl w:val="46C08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F17843"/>
    <w:multiLevelType w:val="multilevel"/>
    <w:tmpl w:val="0EE4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147F16"/>
    <w:multiLevelType w:val="multilevel"/>
    <w:tmpl w:val="A93279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693731"/>
    <w:multiLevelType w:val="multilevel"/>
    <w:tmpl w:val="468CB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9E5055"/>
    <w:multiLevelType w:val="multilevel"/>
    <w:tmpl w:val="2F7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E12F05"/>
    <w:multiLevelType w:val="multilevel"/>
    <w:tmpl w:val="399A26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5756C2"/>
    <w:multiLevelType w:val="multilevel"/>
    <w:tmpl w:val="2F8A0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92094E"/>
    <w:multiLevelType w:val="multilevel"/>
    <w:tmpl w:val="584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lvlOverride w:ilvl="0">
      <w:lvl w:ilvl="0">
        <w:numFmt w:val="decimal"/>
        <w:lvlText w:val="%1."/>
        <w:lvlJc w:val="left"/>
      </w:lvl>
    </w:lvlOverride>
  </w:num>
  <w:num w:numId="3">
    <w:abstractNumId w:val="14"/>
    <w:lvlOverride w:ilvl="1">
      <w:lvl w:ilvl="1">
        <w:numFmt w:val="lowerLetter"/>
        <w:lvlText w:val="%2."/>
        <w:lvlJc w:val="left"/>
      </w:lvl>
    </w:lvlOverride>
  </w:num>
  <w:num w:numId="4">
    <w:abstractNumId w:val="16"/>
    <w:lvlOverride w:ilvl="0">
      <w:lvl w:ilvl="0">
        <w:numFmt w:val="decimal"/>
        <w:lvlText w:val="%1."/>
        <w:lvlJc w:val="left"/>
      </w:lvl>
    </w:lvlOverride>
  </w:num>
  <w:num w:numId="5">
    <w:abstractNumId w:val="16"/>
    <w:lvlOverride w:ilvl="0">
      <w:lvl w:ilvl="0">
        <w:numFmt w:val="decimal"/>
        <w:lvlText w:val="%1."/>
        <w:lvlJc w:val="left"/>
      </w:lvl>
    </w:lvlOverride>
    <w:lvlOverride w:ilvl="1">
      <w:lvl w:ilvl="1">
        <w:numFmt w:val="lowerLetter"/>
        <w:lvlText w:val="%2."/>
        <w:lvlJc w:val="left"/>
      </w:lvl>
    </w:lvlOverride>
  </w:num>
  <w:num w:numId="6">
    <w:abstractNumId w:val="13"/>
    <w:lvlOverride w:ilvl="0">
      <w:lvl w:ilvl="0">
        <w:numFmt w:val="decimal"/>
        <w:lvlText w:val="%1."/>
        <w:lvlJc w:val="left"/>
      </w:lvl>
    </w:lvlOverride>
  </w:num>
  <w:num w:numId="7">
    <w:abstractNumId w:val="4"/>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9"/>
  </w:num>
  <w:num w:numId="11">
    <w:abstractNumId w:val="17"/>
  </w:num>
  <w:num w:numId="12">
    <w:abstractNumId w:val="6"/>
  </w:num>
  <w:num w:numId="13">
    <w:abstractNumId w:val="11"/>
  </w:num>
  <w:num w:numId="14">
    <w:abstractNumId w:val="12"/>
  </w:num>
  <w:num w:numId="15">
    <w:abstractNumId w:val="1"/>
  </w:num>
  <w:num w:numId="16">
    <w:abstractNumId w:val="18"/>
  </w:num>
  <w:num w:numId="17">
    <w:abstractNumId w:val="2"/>
  </w:num>
  <w:num w:numId="18">
    <w:abstractNumId w:val="7"/>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CBD"/>
    <w:rsid w:val="00086D93"/>
    <w:rsid w:val="001E7CBD"/>
    <w:rsid w:val="002546C4"/>
    <w:rsid w:val="002D2641"/>
    <w:rsid w:val="00332C09"/>
    <w:rsid w:val="003A3BDE"/>
    <w:rsid w:val="006868EA"/>
    <w:rsid w:val="00770186"/>
    <w:rsid w:val="009A73B4"/>
    <w:rsid w:val="00AE4B50"/>
    <w:rsid w:val="00E3217A"/>
    <w:rsid w:val="00FD7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F4B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7CB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E7CB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CBD"/>
    <w:rPr>
      <w:rFonts w:ascii="Times" w:hAnsi="Times"/>
      <w:b/>
      <w:bCs/>
      <w:kern w:val="36"/>
      <w:sz w:val="48"/>
      <w:szCs w:val="48"/>
    </w:rPr>
  </w:style>
  <w:style w:type="character" w:customStyle="1" w:styleId="Heading2Char">
    <w:name w:val="Heading 2 Char"/>
    <w:basedOn w:val="DefaultParagraphFont"/>
    <w:link w:val="Heading2"/>
    <w:uiPriority w:val="9"/>
    <w:rsid w:val="001E7CBD"/>
    <w:rPr>
      <w:rFonts w:ascii="Times" w:hAnsi="Times"/>
      <w:b/>
      <w:bCs/>
      <w:sz w:val="36"/>
      <w:szCs w:val="36"/>
    </w:rPr>
  </w:style>
  <w:style w:type="paragraph" w:styleId="NormalWeb">
    <w:name w:val="Normal (Web)"/>
    <w:basedOn w:val="Normal"/>
    <w:uiPriority w:val="99"/>
    <w:semiHidden/>
    <w:unhideWhenUsed/>
    <w:rsid w:val="001E7CB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E7CBD"/>
    <w:rPr>
      <w:color w:val="0000FF"/>
      <w:u w:val="single"/>
    </w:rPr>
  </w:style>
  <w:style w:type="paragraph" w:styleId="BalloonText">
    <w:name w:val="Balloon Text"/>
    <w:basedOn w:val="Normal"/>
    <w:link w:val="BalloonTextChar"/>
    <w:uiPriority w:val="99"/>
    <w:semiHidden/>
    <w:unhideWhenUsed/>
    <w:rsid w:val="001E7C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CBD"/>
    <w:rPr>
      <w:rFonts w:ascii="Lucida Grande" w:hAnsi="Lucida Grande" w:cs="Lucida Grande"/>
      <w:sz w:val="18"/>
      <w:szCs w:val="18"/>
    </w:rPr>
  </w:style>
  <w:style w:type="paragraph" w:styleId="ListParagraph">
    <w:name w:val="List Paragraph"/>
    <w:basedOn w:val="Normal"/>
    <w:uiPriority w:val="34"/>
    <w:qFormat/>
    <w:rsid w:val="00E3217A"/>
    <w:pPr>
      <w:ind w:left="720"/>
      <w:contextualSpacing/>
    </w:pPr>
  </w:style>
  <w:style w:type="paragraph" w:styleId="Bibliography">
    <w:name w:val="Bibliography"/>
    <w:basedOn w:val="Normal"/>
    <w:next w:val="Normal"/>
    <w:uiPriority w:val="37"/>
    <w:unhideWhenUsed/>
    <w:rsid w:val="006868EA"/>
    <w:pPr>
      <w:spacing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7CB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E7CB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CBD"/>
    <w:rPr>
      <w:rFonts w:ascii="Times" w:hAnsi="Times"/>
      <w:b/>
      <w:bCs/>
      <w:kern w:val="36"/>
      <w:sz w:val="48"/>
      <w:szCs w:val="48"/>
    </w:rPr>
  </w:style>
  <w:style w:type="character" w:customStyle="1" w:styleId="Heading2Char">
    <w:name w:val="Heading 2 Char"/>
    <w:basedOn w:val="DefaultParagraphFont"/>
    <w:link w:val="Heading2"/>
    <w:uiPriority w:val="9"/>
    <w:rsid w:val="001E7CBD"/>
    <w:rPr>
      <w:rFonts w:ascii="Times" w:hAnsi="Times"/>
      <w:b/>
      <w:bCs/>
      <w:sz w:val="36"/>
      <w:szCs w:val="36"/>
    </w:rPr>
  </w:style>
  <w:style w:type="paragraph" w:styleId="NormalWeb">
    <w:name w:val="Normal (Web)"/>
    <w:basedOn w:val="Normal"/>
    <w:uiPriority w:val="99"/>
    <w:semiHidden/>
    <w:unhideWhenUsed/>
    <w:rsid w:val="001E7CB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E7CBD"/>
    <w:rPr>
      <w:color w:val="0000FF"/>
      <w:u w:val="single"/>
    </w:rPr>
  </w:style>
  <w:style w:type="paragraph" w:styleId="BalloonText">
    <w:name w:val="Balloon Text"/>
    <w:basedOn w:val="Normal"/>
    <w:link w:val="BalloonTextChar"/>
    <w:uiPriority w:val="99"/>
    <w:semiHidden/>
    <w:unhideWhenUsed/>
    <w:rsid w:val="001E7C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CBD"/>
    <w:rPr>
      <w:rFonts w:ascii="Lucida Grande" w:hAnsi="Lucida Grande" w:cs="Lucida Grande"/>
      <w:sz w:val="18"/>
      <w:szCs w:val="18"/>
    </w:rPr>
  </w:style>
  <w:style w:type="paragraph" w:styleId="ListParagraph">
    <w:name w:val="List Paragraph"/>
    <w:basedOn w:val="Normal"/>
    <w:uiPriority w:val="34"/>
    <w:qFormat/>
    <w:rsid w:val="00E3217A"/>
    <w:pPr>
      <w:ind w:left="720"/>
      <w:contextualSpacing/>
    </w:pPr>
  </w:style>
  <w:style w:type="paragraph" w:styleId="Bibliography">
    <w:name w:val="Bibliography"/>
    <w:basedOn w:val="Normal"/>
    <w:next w:val="Normal"/>
    <w:uiPriority w:val="37"/>
    <w:unhideWhenUsed/>
    <w:rsid w:val="006868EA"/>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079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eneontology.org/GO.format.annotation.shtml" TargetMode="External"/><Relationship Id="rId7" Type="http://schemas.openxmlformats.org/officeDocument/2006/relationships/hyperlink" Target="http://palea.cgrb.oregonstate.edu/viewsvn/Poc/trunk/associations/" TargetMode="External"/><Relationship Id="rId8" Type="http://schemas.openxmlformats.org/officeDocument/2006/relationships/hyperlink" Target="http://wiki.plantontology.org/index.php/Main_Page" TargetMode="External"/><Relationship Id="rId9" Type="http://schemas.openxmlformats.org/officeDocument/2006/relationships/hyperlink" Target="http://geneontology.org/page/guide-go-evidence-cod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1474</Words>
  <Characters>8404</Characters>
  <Application>Microsoft Macintosh Word</Application>
  <DocSecurity>0</DocSecurity>
  <Lines>70</Lines>
  <Paragraphs>19</Paragraphs>
  <ScaleCrop>false</ScaleCrop>
  <Company/>
  <LinksUpToDate>false</LinksUpToDate>
  <CharactersWithSpaces>9859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Walls</dc:creator>
  <cp:keywords/>
  <dc:description/>
  <cp:lastModifiedBy>Ramona Walls</cp:lastModifiedBy>
  <cp:revision>8</cp:revision>
  <dcterms:created xsi:type="dcterms:W3CDTF">2017-01-28T16:13:00Z</dcterms:created>
  <dcterms:modified xsi:type="dcterms:W3CDTF">2017-01-29T18:11:00Z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id="qbQLf7eH"/&gt;&lt;style id="http://www.zotero.org/styles/new-phytologist"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